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附表</w:t>
      </w:r>
      <w:r>
        <w:rPr>
          <w:rFonts w:hint="eastAsia" w:asciiTheme="minorEastAsia" w:hAnsiTheme="minorEastAsia" w:eastAsiaTheme="minorEastAsia" w:cstheme="minorEastAsia"/>
          <w:sz w:val="28"/>
          <w:szCs w:val="36"/>
          <w:lang w:val="en-US" w:eastAsia="zh-CN"/>
        </w:rPr>
        <w:t>3</w:t>
      </w:r>
      <w:r>
        <w:rPr>
          <w:rFonts w:hint="eastAsia" w:asciiTheme="minorEastAsia" w:hAnsiTheme="minorEastAsia" w:eastAsiaTheme="minorEastAsia" w:cstheme="minorEastAsia"/>
          <w:sz w:val="28"/>
          <w:szCs w:val="36"/>
        </w:rPr>
        <w:t xml:space="preserve"> </w:t>
      </w:r>
    </w:p>
    <w:p>
      <w:pPr>
        <w:pStyle w:val="3"/>
        <w:tabs>
          <w:tab w:val="left" w:pos="3600"/>
        </w:tabs>
        <w:spacing w:after="120"/>
        <w:ind w:firstLine="0" w:firstLineChars="0"/>
        <w:jc w:val="center"/>
        <w:rPr>
          <w:rFonts w:hint="eastAsia" w:ascii="仿宋_GB2312" w:hAnsi="仿宋_GB2312" w:eastAsia="仿宋_GB2312" w:cs="仿宋_GB2312"/>
          <w:sz w:val="32"/>
          <w:szCs w:val="32"/>
        </w:rPr>
      </w:pPr>
      <w:bookmarkStart w:id="0" w:name="_GoBack"/>
      <w:r>
        <w:rPr>
          <w:rFonts w:hint="eastAsia" w:ascii="仿宋_GB2312" w:hAnsi="仿宋_GB2312" w:eastAsia="仿宋_GB2312" w:cs="仿宋_GB2312"/>
          <w:sz w:val="32"/>
          <w:szCs w:val="32"/>
        </w:rPr>
        <w:t>地质灾害易发程度分区说明表</w:t>
      </w:r>
      <w:bookmarkEnd w:id="0"/>
    </w:p>
    <w:tbl>
      <w:tblPr>
        <w:tblStyle w:val="4"/>
        <w:tblW w:w="14181" w:type="dxa"/>
        <w:jc w:val="center"/>
        <w:tblLayout w:type="fixed"/>
        <w:tblCellMar>
          <w:top w:w="0" w:type="dxa"/>
          <w:left w:w="108" w:type="dxa"/>
          <w:bottom w:w="0" w:type="dxa"/>
          <w:right w:w="108" w:type="dxa"/>
        </w:tblCellMar>
      </w:tblPr>
      <w:tblGrid>
        <w:gridCol w:w="1009"/>
        <w:gridCol w:w="530"/>
        <w:gridCol w:w="1497"/>
        <w:gridCol w:w="1225"/>
        <w:gridCol w:w="818"/>
        <w:gridCol w:w="954"/>
        <w:gridCol w:w="818"/>
        <w:gridCol w:w="7330"/>
      </w:tblGrid>
      <w:tr>
        <w:tblPrEx>
          <w:tblCellMar>
            <w:top w:w="0" w:type="dxa"/>
            <w:left w:w="108" w:type="dxa"/>
            <w:bottom w:w="0" w:type="dxa"/>
            <w:right w:w="108" w:type="dxa"/>
          </w:tblCellMar>
        </w:tblPrEx>
        <w:trPr>
          <w:trHeight w:val="336" w:hRule="atLeast"/>
          <w:jc w:val="center"/>
        </w:trPr>
        <w:tc>
          <w:tcPr>
            <w:tcW w:w="1539"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
                <w:b/>
                <w:bCs/>
                <w:kern w:val="0"/>
                <w:sz w:val="24"/>
              </w:rPr>
            </w:pPr>
            <w:r>
              <w:rPr>
                <w:rFonts w:eastAsia="仿宋"/>
                <w:b/>
                <w:bCs/>
                <w:kern w:val="0"/>
                <w:sz w:val="24"/>
              </w:rPr>
              <w:t>易发区级别及编号</w:t>
            </w:r>
          </w:p>
        </w:tc>
        <w:tc>
          <w:tcPr>
            <w:tcW w:w="149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
                <w:b/>
                <w:bCs/>
                <w:kern w:val="0"/>
                <w:sz w:val="24"/>
              </w:rPr>
            </w:pPr>
            <w:r>
              <w:rPr>
                <w:rFonts w:eastAsia="仿宋"/>
                <w:b/>
                <w:bCs/>
                <w:kern w:val="0"/>
                <w:sz w:val="24"/>
              </w:rPr>
              <w:t>易发区名称</w:t>
            </w:r>
          </w:p>
        </w:tc>
        <w:tc>
          <w:tcPr>
            <w:tcW w:w="12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
                <w:b/>
                <w:bCs/>
                <w:kern w:val="0"/>
                <w:sz w:val="24"/>
              </w:rPr>
            </w:pPr>
            <w:r>
              <w:rPr>
                <w:rFonts w:eastAsia="仿宋"/>
                <w:b/>
                <w:bCs/>
                <w:kern w:val="0"/>
                <w:sz w:val="24"/>
              </w:rPr>
              <w:t>面积(km</w:t>
            </w:r>
            <w:r>
              <w:rPr>
                <w:rFonts w:eastAsia="仿宋"/>
                <w:b/>
                <w:bCs/>
                <w:kern w:val="0"/>
                <w:sz w:val="24"/>
                <w:vertAlign w:val="superscript"/>
              </w:rPr>
              <w:t>2</w:t>
            </w:r>
            <w:r>
              <w:rPr>
                <w:rFonts w:eastAsia="仿宋"/>
                <w:b/>
                <w:bCs/>
                <w:kern w:val="0"/>
                <w:sz w:val="24"/>
              </w:rPr>
              <w:t>)</w:t>
            </w:r>
          </w:p>
        </w:tc>
        <w:tc>
          <w:tcPr>
            <w:tcW w:w="259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仿宋"/>
                <w:b/>
                <w:bCs/>
                <w:kern w:val="0"/>
                <w:sz w:val="24"/>
              </w:rPr>
            </w:pPr>
            <w:r>
              <w:rPr>
                <w:rFonts w:eastAsia="仿宋"/>
                <w:b/>
                <w:bCs/>
                <w:kern w:val="0"/>
                <w:sz w:val="24"/>
              </w:rPr>
              <w:t>地质灾害隐患</w:t>
            </w:r>
            <w:r>
              <w:rPr>
                <w:rFonts w:hint="eastAsia" w:eastAsia="仿宋"/>
                <w:b/>
                <w:bCs/>
                <w:kern w:val="0"/>
                <w:sz w:val="24"/>
              </w:rPr>
              <w:t>点</w:t>
            </w:r>
          </w:p>
        </w:tc>
        <w:tc>
          <w:tcPr>
            <w:tcW w:w="73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
                <w:b/>
                <w:bCs/>
                <w:kern w:val="0"/>
                <w:sz w:val="24"/>
              </w:rPr>
            </w:pPr>
            <w:r>
              <w:rPr>
                <w:rFonts w:hint="eastAsia" w:eastAsia="仿宋"/>
                <w:b/>
                <w:bCs/>
                <w:kern w:val="0"/>
                <w:sz w:val="24"/>
              </w:rPr>
              <w:t>分布位置及地质灾害发育特征</w:t>
            </w:r>
          </w:p>
        </w:tc>
      </w:tr>
      <w:tr>
        <w:tblPrEx>
          <w:tblCellMar>
            <w:top w:w="0" w:type="dxa"/>
            <w:left w:w="108" w:type="dxa"/>
            <w:bottom w:w="0" w:type="dxa"/>
            <w:right w:w="108" w:type="dxa"/>
          </w:tblCellMar>
        </w:tblPrEx>
        <w:trPr>
          <w:trHeight w:val="624" w:hRule="atLeast"/>
          <w:jc w:val="center"/>
        </w:trPr>
        <w:tc>
          <w:tcPr>
            <w:tcW w:w="153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
                <w:b/>
                <w:bCs/>
                <w:kern w:val="0"/>
                <w:sz w:val="24"/>
              </w:rPr>
            </w:pPr>
          </w:p>
        </w:tc>
        <w:tc>
          <w:tcPr>
            <w:tcW w:w="14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
                <w:b/>
                <w:bCs/>
                <w:kern w:val="0"/>
                <w:sz w:val="24"/>
              </w:rPr>
            </w:pPr>
          </w:p>
        </w:tc>
        <w:tc>
          <w:tcPr>
            <w:tcW w:w="12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
                <w:b/>
                <w:bCs/>
                <w:kern w:val="0"/>
                <w:sz w:val="24"/>
              </w:rPr>
            </w:pPr>
          </w:p>
        </w:tc>
        <w:tc>
          <w:tcPr>
            <w:tcW w:w="818" w:type="dxa"/>
            <w:tcBorders>
              <w:top w:val="nil"/>
              <w:left w:val="nil"/>
              <w:bottom w:val="single" w:color="auto" w:sz="4" w:space="0"/>
              <w:right w:val="single" w:color="auto" w:sz="4" w:space="0"/>
            </w:tcBorders>
            <w:shd w:val="clear" w:color="auto" w:fill="auto"/>
            <w:vAlign w:val="center"/>
          </w:tcPr>
          <w:p>
            <w:pPr>
              <w:widowControl/>
              <w:jc w:val="center"/>
              <w:rPr>
                <w:rFonts w:eastAsia="仿宋"/>
                <w:b/>
                <w:bCs/>
                <w:kern w:val="0"/>
                <w:sz w:val="24"/>
              </w:rPr>
            </w:pPr>
            <w:r>
              <w:rPr>
                <w:rFonts w:hint="eastAsia" w:eastAsia="仿宋"/>
                <w:b/>
                <w:bCs/>
                <w:kern w:val="0"/>
                <w:sz w:val="24"/>
              </w:rPr>
              <w:t>崩塌</w:t>
            </w:r>
            <w:r>
              <w:rPr>
                <w:rFonts w:eastAsia="仿宋"/>
                <w:b/>
                <w:bCs/>
                <w:kern w:val="0"/>
                <w:sz w:val="24"/>
              </w:rPr>
              <w:t>（处）</w:t>
            </w:r>
          </w:p>
        </w:tc>
        <w:tc>
          <w:tcPr>
            <w:tcW w:w="954" w:type="dxa"/>
            <w:tcBorders>
              <w:top w:val="nil"/>
              <w:left w:val="nil"/>
              <w:bottom w:val="single" w:color="auto" w:sz="4" w:space="0"/>
              <w:right w:val="single" w:color="auto" w:sz="4" w:space="0"/>
            </w:tcBorders>
            <w:shd w:val="clear" w:color="auto" w:fill="auto"/>
            <w:vAlign w:val="center"/>
          </w:tcPr>
          <w:p>
            <w:pPr>
              <w:widowControl/>
              <w:jc w:val="center"/>
              <w:rPr>
                <w:rFonts w:eastAsia="仿宋"/>
                <w:b/>
                <w:bCs/>
                <w:kern w:val="0"/>
                <w:sz w:val="24"/>
              </w:rPr>
            </w:pPr>
            <w:r>
              <w:rPr>
                <w:rFonts w:hint="eastAsia" w:eastAsia="仿宋"/>
                <w:b/>
                <w:bCs/>
                <w:kern w:val="0"/>
                <w:sz w:val="24"/>
              </w:rPr>
              <w:t>泥石流</w:t>
            </w:r>
            <w:r>
              <w:rPr>
                <w:rFonts w:eastAsia="仿宋"/>
                <w:b/>
                <w:bCs/>
                <w:kern w:val="0"/>
                <w:sz w:val="24"/>
              </w:rPr>
              <w:t>（处）</w:t>
            </w:r>
          </w:p>
        </w:tc>
        <w:tc>
          <w:tcPr>
            <w:tcW w:w="818" w:type="dxa"/>
            <w:tcBorders>
              <w:top w:val="nil"/>
              <w:left w:val="nil"/>
              <w:bottom w:val="single" w:color="auto" w:sz="4" w:space="0"/>
              <w:right w:val="single" w:color="auto" w:sz="4" w:space="0"/>
            </w:tcBorders>
            <w:shd w:val="clear" w:color="auto" w:fill="auto"/>
            <w:vAlign w:val="center"/>
          </w:tcPr>
          <w:p>
            <w:pPr>
              <w:widowControl/>
              <w:jc w:val="center"/>
              <w:rPr>
                <w:rFonts w:eastAsia="仿宋"/>
                <w:b/>
                <w:bCs/>
                <w:kern w:val="0"/>
                <w:sz w:val="24"/>
              </w:rPr>
            </w:pPr>
            <w:r>
              <w:rPr>
                <w:rFonts w:hint="eastAsia" w:eastAsia="仿宋"/>
                <w:b/>
                <w:bCs/>
                <w:kern w:val="0"/>
                <w:sz w:val="24"/>
              </w:rPr>
              <w:t>滑坡</w:t>
            </w:r>
            <w:r>
              <w:rPr>
                <w:rFonts w:eastAsia="仿宋"/>
                <w:b/>
                <w:bCs/>
                <w:kern w:val="0"/>
                <w:sz w:val="24"/>
              </w:rPr>
              <w:t>（处）</w:t>
            </w:r>
          </w:p>
        </w:tc>
        <w:tc>
          <w:tcPr>
            <w:tcW w:w="73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
                <w:b/>
                <w:bCs/>
                <w:kern w:val="0"/>
                <w:sz w:val="24"/>
              </w:rPr>
            </w:pPr>
          </w:p>
        </w:tc>
      </w:tr>
      <w:tr>
        <w:tblPrEx>
          <w:tblCellMar>
            <w:top w:w="0" w:type="dxa"/>
            <w:left w:w="108" w:type="dxa"/>
            <w:bottom w:w="0" w:type="dxa"/>
            <w:right w:w="108" w:type="dxa"/>
          </w:tblCellMar>
        </w:tblPrEx>
        <w:trPr>
          <w:trHeight w:val="2364" w:hRule="atLeast"/>
          <w:jc w:val="center"/>
        </w:trPr>
        <w:tc>
          <w:tcPr>
            <w:tcW w:w="100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eastAsia="仿宋"/>
                <w:kern w:val="0"/>
                <w:sz w:val="24"/>
              </w:rPr>
            </w:pPr>
            <w:r>
              <w:rPr>
                <w:rFonts w:eastAsia="仿宋"/>
                <w:kern w:val="0"/>
                <w:sz w:val="24"/>
              </w:rPr>
              <w:t>高易发区（A）</w:t>
            </w:r>
          </w:p>
        </w:tc>
        <w:tc>
          <w:tcPr>
            <w:tcW w:w="530" w:type="dxa"/>
            <w:tcBorders>
              <w:top w:val="nil"/>
              <w:left w:val="nil"/>
              <w:bottom w:val="single" w:color="auto" w:sz="4" w:space="0"/>
              <w:right w:val="single" w:color="auto" w:sz="4" w:space="0"/>
            </w:tcBorders>
            <w:shd w:val="clear" w:color="auto" w:fill="auto"/>
            <w:vAlign w:val="center"/>
          </w:tcPr>
          <w:p>
            <w:pPr>
              <w:widowControl/>
              <w:jc w:val="center"/>
              <w:rPr>
                <w:rFonts w:eastAsia="仿宋"/>
                <w:kern w:val="0"/>
                <w:sz w:val="24"/>
              </w:rPr>
            </w:pPr>
            <w:r>
              <w:rPr>
                <w:rFonts w:eastAsia="仿宋"/>
                <w:kern w:val="0"/>
                <w:sz w:val="24"/>
              </w:rPr>
              <w:t>A</w:t>
            </w:r>
            <w:r>
              <w:rPr>
                <w:rFonts w:hint="eastAsia" w:eastAsia="仿宋"/>
                <w:kern w:val="0"/>
                <w:sz w:val="24"/>
              </w:rPr>
              <w:t>1</w:t>
            </w:r>
          </w:p>
        </w:tc>
        <w:tc>
          <w:tcPr>
            <w:tcW w:w="1497" w:type="dxa"/>
            <w:tcBorders>
              <w:top w:val="nil"/>
              <w:left w:val="nil"/>
              <w:bottom w:val="single" w:color="auto" w:sz="4" w:space="0"/>
              <w:right w:val="single" w:color="auto" w:sz="4" w:space="0"/>
            </w:tcBorders>
            <w:shd w:val="clear" w:color="auto" w:fill="auto"/>
            <w:vAlign w:val="center"/>
          </w:tcPr>
          <w:p>
            <w:pPr>
              <w:widowControl/>
              <w:jc w:val="left"/>
              <w:rPr>
                <w:rFonts w:eastAsia="仿宋"/>
                <w:kern w:val="0"/>
                <w:sz w:val="24"/>
              </w:rPr>
            </w:pPr>
            <w:r>
              <w:rPr>
                <w:rFonts w:hint="eastAsia" w:eastAsia="仿宋"/>
                <w:kern w:val="0"/>
                <w:sz w:val="24"/>
              </w:rPr>
              <w:t>东南部高山极高山及中山区地质灾害高易发亚区</w:t>
            </w:r>
          </w:p>
        </w:tc>
        <w:tc>
          <w:tcPr>
            <w:tcW w:w="122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color w:val="000000"/>
                <w:sz w:val="24"/>
              </w:rPr>
              <w:t>7225.05</w:t>
            </w:r>
          </w:p>
        </w:tc>
        <w:tc>
          <w:tcPr>
            <w:tcW w:w="818" w:type="dxa"/>
            <w:tcBorders>
              <w:top w:val="nil"/>
              <w:left w:val="nil"/>
              <w:bottom w:val="single" w:color="auto" w:sz="4" w:space="0"/>
              <w:right w:val="single" w:color="auto" w:sz="4" w:space="0"/>
            </w:tcBorders>
            <w:shd w:val="clear" w:color="auto" w:fill="auto"/>
            <w:vAlign w:val="center"/>
          </w:tcPr>
          <w:p>
            <w:pPr>
              <w:jc w:val="center"/>
              <w:rPr>
                <w:color w:val="000000"/>
                <w:sz w:val="24"/>
              </w:rPr>
            </w:pPr>
            <w:r>
              <w:rPr>
                <w:rFonts w:hint="eastAsia"/>
                <w:color w:val="000000"/>
                <w:sz w:val="24"/>
              </w:rPr>
              <w:t>96</w:t>
            </w:r>
          </w:p>
        </w:tc>
        <w:tc>
          <w:tcPr>
            <w:tcW w:w="954" w:type="dxa"/>
            <w:tcBorders>
              <w:top w:val="nil"/>
              <w:left w:val="nil"/>
              <w:bottom w:val="single" w:color="auto" w:sz="4" w:space="0"/>
              <w:right w:val="single" w:color="auto" w:sz="4" w:space="0"/>
            </w:tcBorders>
            <w:shd w:val="clear" w:color="auto" w:fill="auto"/>
            <w:vAlign w:val="center"/>
          </w:tcPr>
          <w:p>
            <w:pPr>
              <w:jc w:val="center"/>
              <w:rPr>
                <w:color w:val="000000"/>
                <w:sz w:val="24"/>
              </w:rPr>
            </w:pPr>
            <w:r>
              <w:rPr>
                <w:rFonts w:hint="eastAsia"/>
                <w:color w:val="000000"/>
                <w:sz w:val="24"/>
              </w:rPr>
              <w:t>144</w:t>
            </w:r>
          </w:p>
        </w:tc>
        <w:tc>
          <w:tcPr>
            <w:tcW w:w="818" w:type="dxa"/>
            <w:tcBorders>
              <w:top w:val="nil"/>
              <w:left w:val="nil"/>
              <w:bottom w:val="single" w:color="auto" w:sz="4" w:space="0"/>
              <w:right w:val="single" w:color="auto" w:sz="4" w:space="0"/>
            </w:tcBorders>
            <w:shd w:val="clear" w:color="auto" w:fill="auto"/>
            <w:vAlign w:val="center"/>
          </w:tcPr>
          <w:p>
            <w:pPr>
              <w:jc w:val="center"/>
              <w:rPr>
                <w:color w:val="000000"/>
                <w:sz w:val="24"/>
              </w:rPr>
            </w:pPr>
            <w:r>
              <w:rPr>
                <w:rFonts w:hint="eastAsia"/>
                <w:color w:val="000000"/>
                <w:sz w:val="24"/>
              </w:rPr>
              <w:t>6</w:t>
            </w:r>
          </w:p>
        </w:tc>
        <w:tc>
          <w:tcPr>
            <w:tcW w:w="7330"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eastAsia="仿宋"/>
                <w:kern w:val="0"/>
                <w:sz w:val="24"/>
              </w:rPr>
            </w:pPr>
            <w:r>
              <w:rPr>
                <w:rFonts w:hint="eastAsia" w:eastAsia="仿宋"/>
                <w:kern w:val="0"/>
                <w:sz w:val="24"/>
              </w:rPr>
              <w:t>位于县境东南，分布于昆仑山北麓的高山极高山及中山区内，灾种为泥石流、崩塌、滑坡。区段内河流切割强烈，地形高低不平，没有地形较平坦的地方供人类居住，乡政府均驻扎在较大型支沟与主沟交汇处的洪积扇上，而其它村落均分散居住在沿河两岸堆积的高河漫滩之上或是较小支沟与主沟交汇处堆积平台之上。人类工程经济活动较强，主要为牧业活动、切坡修路运输活动及小型矿山的开采活动。</w:t>
            </w:r>
          </w:p>
        </w:tc>
      </w:tr>
      <w:tr>
        <w:tblPrEx>
          <w:tblCellMar>
            <w:top w:w="0" w:type="dxa"/>
            <w:left w:w="108" w:type="dxa"/>
            <w:bottom w:w="0" w:type="dxa"/>
            <w:right w:w="108" w:type="dxa"/>
          </w:tblCellMar>
        </w:tblPrEx>
        <w:trPr>
          <w:trHeight w:val="2304" w:hRule="atLeast"/>
          <w:jc w:val="center"/>
        </w:trPr>
        <w:tc>
          <w:tcPr>
            <w:tcW w:w="100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
                <w:kern w:val="0"/>
                <w:sz w:val="24"/>
              </w:rPr>
            </w:pPr>
          </w:p>
        </w:tc>
        <w:tc>
          <w:tcPr>
            <w:tcW w:w="530" w:type="dxa"/>
            <w:tcBorders>
              <w:top w:val="nil"/>
              <w:left w:val="nil"/>
              <w:bottom w:val="single" w:color="auto" w:sz="4" w:space="0"/>
              <w:right w:val="single" w:color="auto" w:sz="4" w:space="0"/>
            </w:tcBorders>
            <w:shd w:val="clear" w:color="auto" w:fill="auto"/>
            <w:vAlign w:val="center"/>
          </w:tcPr>
          <w:p>
            <w:pPr>
              <w:widowControl/>
              <w:jc w:val="center"/>
              <w:rPr>
                <w:rFonts w:eastAsia="仿宋"/>
                <w:kern w:val="0"/>
                <w:sz w:val="24"/>
              </w:rPr>
            </w:pPr>
            <w:r>
              <w:rPr>
                <w:rFonts w:eastAsia="仿宋"/>
                <w:kern w:val="0"/>
                <w:sz w:val="24"/>
              </w:rPr>
              <w:t>A2</w:t>
            </w:r>
          </w:p>
        </w:tc>
        <w:tc>
          <w:tcPr>
            <w:tcW w:w="1497" w:type="dxa"/>
            <w:tcBorders>
              <w:top w:val="nil"/>
              <w:left w:val="nil"/>
              <w:bottom w:val="single" w:color="auto" w:sz="4" w:space="0"/>
              <w:right w:val="single" w:color="auto" w:sz="4" w:space="0"/>
            </w:tcBorders>
            <w:shd w:val="clear" w:color="auto" w:fill="auto"/>
            <w:vAlign w:val="center"/>
          </w:tcPr>
          <w:p>
            <w:pPr>
              <w:widowControl/>
              <w:jc w:val="left"/>
              <w:rPr>
                <w:rFonts w:eastAsia="仿宋"/>
                <w:kern w:val="0"/>
                <w:sz w:val="24"/>
              </w:rPr>
            </w:pPr>
            <w:r>
              <w:rPr>
                <w:rFonts w:hint="eastAsia" w:eastAsia="仿宋"/>
                <w:kern w:val="0"/>
                <w:sz w:val="24"/>
              </w:rPr>
              <w:t>314国道中巴公路国内段与木吉河流域南部地区地质灾害高易发亚区</w:t>
            </w:r>
          </w:p>
        </w:tc>
        <w:tc>
          <w:tcPr>
            <w:tcW w:w="122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color w:val="000000"/>
                <w:sz w:val="24"/>
              </w:rPr>
              <w:t>4101.09</w:t>
            </w:r>
          </w:p>
        </w:tc>
        <w:tc>
          <w:tcPr>
            <w:tcW w:w="818" w:type="dxa"/>
            <w:tcBorders>
              <w:top w:val="nil"/>
              <w:left w:val="nil"/>
              <w:bottom w:val="single" w:color="auto" w:sz="4" w:space="0"/>
              <w:right w:val="single" w:color="auto" w:sz="4" w:space="0"/>
            </w:tcBorders>
            <w:shd w:val="clear" w:color="auto" w:fill="auto"/>
            <w:vAlign w:val="center"/>
          </w:tcPr>
          <w:p>
            <w:pPr>
              <w:jc w:val="center"/>
              <w:rPr>
                <w:color w:val="000000"/>
                <w:sz w:val="24"/>
              </w:rPr>
            </w:pPr>
            <w:r>
              <w:rPr>
                <w:rFonts w:hint="eastAsia"/>
                <w:color w:val="000000"/>
                <w:sz w:val="24"/>
              </w:rPr>
              <w:t>88</w:t>
            </w:r>
          </w:p>
        </w:tc>
        <w:tc>
          <w:tcPr>
            <w:tcW w:w="954" w:type="dxa"/>
            <w:tcBorders>
              <w:top w:val="nil"/>
              <w:left w:val="nil"/>
              <w:bottom w:val="single" w:color="auto" w:sz="4" w:space="0"/>
              <w:right w:val="single" w:color="auto" w:sz="4" w:space="0"/>
            </w:tcBorders>
            <w:shd w:val="clear" w:color="auto" w:fill="auto"/>
            <w:vAlign w:val="center"/>
          </w:tcPr>
          <w:p>
            <w:pPr>
              <w:jc w:val="center"/>
              <w:rPr>
                <w:color w:val="000000"/>
                <w:sz w:val="24"/>
              </w:rPr>
            </w:pPr>
            <w:r>
              <w:rPr>
                <w:rFonts w:hint="eastAsia"/>
                <w:color w:val="000000"/>
                <w:sz w:val="24"/>
              </w:rPr>
              <w:t>141</w:t>
            </w:r>
          </w:p>
        </w:tc>
        <w:tc>
          <w:tcPr>
            <w:tcW w:w="818" w:type="dxa"/>
            <w:tcBorders>
              <w:top w:val="nil"/>
              <w:left w:val="nil"/>
              <w:bottom w:val="single" w:color="auto" w:sz="4" w:space="0"/>
              <w:right w:val="single" w:color="auto" w:sz="4" w:space="0"/>
            </w:tcBorders>
            <w:shd w:val="clear" w:color="auto" w:fill="auto"/>
            <w:vAlign w:val="center"/>
          </w:tcPr>
          <w:p>
            <w:pPr>
              <w:jc w:val="center"/>
              <w:rPr>
                <w:color w:val="000000"/>
                <w:sz w:val="24"/>
              </w:rPr>
            </w:pPr>
            <w:r>
              <w:rPr>
                <w:rFonts w:hint="eastAsia"/>
                <w:color w:val="000000"/>
                <w:sz w:val="24"/>
              </w:rPr>
              <w:t>2</w:t>
            </w:r>
          </w:p>
        </w:tc>
        <w:tc>
          <w:tcPr>
            <w:tcW w:w="7330"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eastAsia="仿宋"/>
                <w:kern w:val="0"/>
                <w:sz w:val="24"/>
              </w:rPr>
            </w:pPr>
            <w:r>
              <w:rPr>
                <w:rFonts w:hint="eastAsia" w:eastAsia="仿宋"/>
                <w:kern w:val="0"/>
                <w:sz w:val="24"/>
              </w:rPr>
              <w:t>位于县境内的中部及西南部，包括奥依塔克镇、布伦口乡、木吉乡，呈近东西向展布。由于该路段修建于盖孜河出山口处左岸山体边坡之下，多数地段因切坡形成了高陡边坡，同时线路北侧的沟谷又多为泥石流沟，故是崩塌、泥石流灾害多发地段。从灾害规模来看，平常年份较小，仅是造成交通中断，道路被掩埋，只有在较大降雨年份时，才发生规模较大的崩塌、泥石流灾害，使道路被毁，沟谷之上桥梁被破坏，造成的危害较大。</w:t>
            </w:r>
          </w:p>
        </w:tc>
      </w:tr>
      <w:tr>
        <w:tblPrEx>
          <w:tblCellMar>
            <w:top w:w="0" w:type="dxa"/>
            <w:left w:w="108" w:type="dxa"/>
            <w:bottom w:w="0" w:type="dxa"/>
            <w:right w:w="108" w:type="dxa"/>
          </w:tblCellMar>
        </w:tblPrEx>
        <w:trPr>
          <w:trHeight w:val="2040" w:hRule="atLeast"/>
          <w:jc w:val="center"/>
        </w:trPr>
        <w:tc>
          <w:tcPr>
            <w:tcW w:w="100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eastAsia="仿宋"/>
                <w:kern w:val="0"/>
                <w:sz w:val="24"/>
              </w:rPr>
            </w:pPr>
            <w:r>
              <w:rPr>
                <w:rFonts w:eastAsia="仿宋"/>
                <w:kern w:val="0"/>
                <w:sz w:val="24"/>
              </w:rPr>
              <w:t>中易发区（B）</w:t>
            </w:r>
          </w:p>
        </w:tc>
        <w:tc>
          <w:tcPr>
            <w:tcW w:w="530" w:type="dxa"/>
            <w:tcBorders>
              <w:top w:val="nil"/>
              <w:left w:val="nil"/>
              <w:bottom w:val="single" w:color="auto" w:sz="4" w:space="0"/>
              <w:right w:val="single" w:color="auto" w:sz="4" w:space="0"/>
            </w:tcBorders>
            <w:shd w:val="clear" w:color="auto" w:fill="auto"/>
            <w:vAlign w:val="center"/>
          </w:tcPr>
          <w:p>
            <w:pPr>
              <w:widowControl/>
              <w:jc w:val="center"/>
              <w:rPr>
                <w:rFonts w:eastAsia="仿宋"/>
                <w:kern w:val="0"/>
                <w:sz w:val="24"/>
              </w:rPr>
            </w:pPr>
            <w:r>
              <w:rPr>
                <w:rFonts w:eastAsia="仿宋"/>
                <w:kern w:val="0"/>
                <w:sz w:val="24"/>
              </w:rPr>
              <w:t>B1</w:t>
            </w:r>
          </w:p>
        </w:tc>
        <w:tc>
          <w:tcPr>
            <w:tcW w:w="1497" w:type="dxa"/>
            <w:tcBorders>
              <w:top w:val="nil"/>
              <w:left w:val="nil"/>
              <w:bottom w:val="single" w:color="auto" w:sz="4" w:space="0"/>
              <w:right w:val="single" w:color="auto" w:sz="4" w:space="0"/>
            </w:tcBorders>
            <w:shd w:val="clear" w:color="auto" w:fill="auto"/>
            <w:vAlign w:val="center"/>
          </w:tcPr>
          <w:p>
            <w:pPr>
              <w:widowControl/>
              <w:jc w:val="left"/>
              <w:rPr>
                <w:rFonts w:eastAsia="仿宋"/>
                <w:kern w:val="0"/>
                <w:sz w:val="24"/>
              </w:rPr>
            </w:pPr>
            <w:r>
              <w:rPr>
                <w:rFonts w:hint="eastAsia" w:eastAsia="仿宋"/>
                <w:kern w:val="0"/>
                <w:sz w:val="24"/>
              </w:rPr>
              <w:t>克孜勒陶镇东部地质灾害中易发亚区</w:t>
            </w:r>
          </w:p>
        </w:tc>
        <w:tc>
          <w:tcPr>
            <w:tcW w:w="122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color w:val="000000"/>
                <w:sz w:val="24"/>
              </w:rPr>
              <w:t>2888.68</w:t>
            </w:r>
          </w:p>
        </w:tc>
        <w:tc>
          <w:tcPr>
            <w:tcW w:w="818" w:type="dxa"/>
            <w:tcBorders>
              <w:top w:val="nil"/>
              <w:left w:val="nil"/>
              <w:bottom w:val="single" w:color="auto" w:sz="4" w:space="0"/>
              <w:right w:val="single" w:color="auto" w:sz="4" w:space="0"/>
            </w:tcBorders>
            <w:shd w:val="clear" w:color="auto" w:fill="auto"/>
            <w:vAlign w:val="center"/>
          </w:tcPr>
          <w:p>
            <w:pPr>
              <w:jc w:val="center"/>
              <w:rPr>
                <w:color w:val="000000"/>
                <w:sz w:val="24"/>
              </w:rPr>
            </w:pPr>
            <w:r>
              <w:rPr>
                <w:rFonts w:hint="eastAsia"/>
                <w:color w:val="000000"/>
                <w:sz w:val="24"/>
              </w:rPr>
              <w:t>4</w:t>
            </w:r>
          </w:p>
        </w:tc>
        <w:tc>
          <w:tcPr>
            <w:tcW w:w="954" w:type="dxa"/>
            <w:tcBorders>
              <w:top w:val="nil"/>
              <w:left w:val="nil"/>
              <w:bottom w:val="single" w:color="auto" w:sz="4" w:space="0"/>
              <w:right w:val="single" w:color="auto" w:sz="4" w:space="0"/>
            </w:tcBorders>
            <w:shd w:val="clear" w:color="auto" w:fill="auto"/>
            <w:vAlign w:val="center"/>
          </w:tcPr>
          <w:p>
            <w:pPr>
              <w:jc w:val="center"/>
              <w:rPr>
                <w:color w:val="000000"/>
                <w:sz w:val="24"/>
              </w:rPr>
            </w:pPr>
            <w:r>
              <w:rPr>
                <w:rFonts w:hint="eastAsia"/>
                <w:color w:val="000000"/>
                <w:sz w:val="24"/>
              </w:rPr>
              <w:t>1</w:t>
            </w:r>
          </w:p>
        </w:tc>
        <w:tc>
          <w:tcPr>
            <w:tcW w:w="818" w:type="dxa"/>
            <w:tcBorders>
              <w:top w:val="nil"/>
              <w:left w:val="nil"/>
              <w:bottom w:val="single" w:color="auto" w:sz="4" w:space="0"/>
              <w:right w:val="single" w:color="auto" w:sz="4" w:space="0"/>
            </w:tcBorders>
            <w:shd w:val="clear" w:color="auto" w:fill="auto"/>
            <w:vAlign w:val="center"/>
          </w:tcPr>
          <w:p>
            <w:pPr>
              <w:jc w:val="center"/>
              <w:rPr>
                <w:color w:val="000000"/>
                <w:sz w:val="24"/>
              </w:rPr>
            </w:pPr>
            <w:r>
              <w:rPr>
                <w:rFonts w:hint="eastAsia"/>
                <w:color w:val="000000"/>
                <w:sz w:val="24"/>
              </w:rPr>
              <w:t>0</w:t>
            </w:r>
          </w:p>
        </w:tc>
        <w:tc>
          <w:tcPr>
            <w:tcW w:w="7330"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eastAsia="仿宋"/>
                <w:kern w:val="0"/>
                <w:sz w:val="24"/>
              </w:rPr>
            </w:pPr>
            <w:r>
              <w:rPr>
                <w:rFonts w:hint="eastAsia" w:eastAsia="仿宋"/>
                <w:kern w:val="0"/>
                <w:sz w:val="24"/>
              </w:rPr>
              <w:t>位于县境内的中东部地区，行政区划主要属克孜勒陶镇管辖，灾种为泥石流、崩塌。横跨高山极高山区、中山区、低山丘陵区等三个地貌单元，地形高低起伏较大，河流切割强烈，地层岩性主要为砾岩、砂岩、白云岩、泥岩、灰岩、页岩等，村庄多分布在喀拉塔什河与汗铁力克河的两岸及支沟内，人类工程经济以牧业活动为主。</w:t>
            </w:r>
          </w:p>
        </w:tc>
      </w:tr>
      <w:tr>
        <w:tblPrEx>
          <w:tblCellMar>
            <w:top w:w="0" w:type="dxa"/>
            <w:left w:w="108" w:type="dxa"/>
            <w:bottom w:w="0" w:type="dxa"/>
            <w:right w:w="108" w:type="dxa"/>
          </w:tblCellMar>
        </w:tblPrEx>
        <w:trPr>
          <w:trHeight w:val="2040" w:hRule="atLeast"/>
          <w:jc w:val="center"/>
        </w:trPr>
        <w:tc>
          <w:tcPr>
            <w:tcW w:w="1009"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center"/>
              <w:rPr>
                <w:rFonts w:eastAsia="仿宋"/>
                <w:kern w:val="0"/>
                <w:sz w:val="24"/>
              </w:rPr>
            </w:pPr>
          </w:p>
        </w:tc>
        <w:tc>
          <w:tcPr>
            <w:tcW w:w="530" w:type="dxa"/>
            <w:tcBorders>
              <w:top w:val="nil"/>
              <w:left w:val="nil"/>
              <w:bottom w:val="single" w:color="auto" w:sz="4" w:space="0"/>
              <w:right w:val="single" w:color="auto" w:sz="4" w:space="0"/>
            </w:tcBorders>
            <w:shd w:val="clear" w:color="auto" w:fill="auto"/>
            <w:vAlign w:val="center"/>
          </w:tcPr>
          <w:p>
            <w:pPr>
              <w:widowControl/>
              <w:jc w:val="center"/>
              <w:rPr>
                <w:rFonts w:eastAsia="仿宋"/>
                <w:kern w:val="0"/>
                <w:sz w:val="24"/>
              </w:rPr>
            </w:pPr>
            <w:r>
              <w:rPr>
                <w:rFonts w:eastAsia="仿宋"/>
                <w:kern w:val="0"/>
                <w:sz w:val="24"/>
              </w:rPr>
              <w:t>B2</w:t>
            </w:r>
          </w:p>
        </w:tc>
        <w:tc>
          <w:tcPr>
            <w:tcW w:w="1497" w:type="dxa"/>
            <w:tcBorders>
              <w:top w:val="nil"/>
              <w:left w:val="nil"/>
              <w:bottom w:val="single" w:color="auto" w:sz="4" w:space="0"/>
              <w:right w:val="single" w:color="auto" w:sz="4" w:space="0"/>
            </w:tcBorders>
            <w:shd w:val="clear" w:color="auto" w:fill="auto"/>
            <w:vAlign w:val="center"/>
          </w:tcPr>
          <w:p>
            <w:pPr>
              <w:widowControl/>
              <w:jc w:val="left"/>
              <w:rPr>
                <w:rFonts w:eastAsia="仿宋"/>
                <w:kern w:val="0"/>
                <w:sz w:val="24"/>
              </w:rPr>
            </w:pPr>
            <w:r>
              <w:rPr>
                <w:rFonts w:hint="eastAsia" w:eastAsia="仿宋"/>
                <w:kern w:val="0"/>
                <w:sz w:val="24"/>
              </w:rPr>
              <w:t>木吉河流域上中游地质灾害中易发亚区</w:t>
            </w:r>
          </w:p>
        </w:tc>
        <w:tc>
          <w:tcPr>
            <w:tcW w:w="122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color w:val="000000"/>
                <w:sz w:val="24"/>
              </w:rPr>
              <w:t>6419.28</w:t>
            </w:r>
          </w:p>
        </w:tc>
        <w:tc>
          <w:tcPr>
            <w:tcW w:w="818" w:type="dxa"/>
            <w:tcBorders>
              <w:top w:val="nil"/>
              <w:left w:val="nil"/>
              <w:bottom w:val="single" w:color="auto" w:sz="4" w:space="0"/>
              <w:right w:val="single" w:color="auto" w:sz="4" w:space="0"/>
            </w:tcBorders>
            <w:shd w:val="clear" w:color="auto" w:fill="auto"/>
            <w:vAlign w:val="center"/>
          </w:tcPr>
          <w:p>
            <w:pPr>
              <w:jc w:val="center"/>
              <w:rPr>
                <w:color w:val="000000"/>
                <w:sz w:val="24"/>
              </w:rPr>
            </w:pPr>
            <w:r>
              <w:rPr>
                <w:rFonts w:hint="eastAsia"/>
                <w:color w:val="000000"/>
                <w:sz w:val="24"/>
              </w:rPr>
              <w:t>11</w:t>
            </w:r>
          </w:p>
        </w:tc>
        <w:tc>
          <w:tcPr>
            <w:tcW w:w="954" w:type="dxa"/>
            <w:tcBorders>
              <w:top w:val="nil"/>
              <w:left w:val="nil"/>
              <w:bottom w:val="single" w:color="auto" w:sz="4" w:space="0"/>
              <w:right w:val="single" w:color="auto" w:sz="4" w:space="0"/>
            </w:tcBorders>
            <w:shd w:val="clear" w:color="auto" w:fill="auto"/>
            <w:vAlign w:val="center"/>
          </w:tcPr>
          <w:p>
            <w:pPr>
              <w:jc w:val="center"/>
              <w:rPr>
                <w:color w:val="000000"/>
                <w:sz w:val="24"/>
              </w:rPr>
            </w:pPr>
            <w:r>
              <w:rPr>
                <w:rFonts w:hint="eastAsia"/>
                <w:color w:val="000000"/>
                <w:sz w:val="24"/>
              </w:rPr>
              <w:t>7</w:t>
            </w:r>
          </w:p>
        </w:tc>
        <w:tc>
          <w:tcPr>
            <w:tcW w:w="818" w:type="dxa"/>
            <w:tcBorders>
              <w:top w:val="nil"/>
              <w:left w:val="nil"/>
              <w:bottom w:val="single" w:color="auto" w:sz="4" w:space="0"/>
              <w:right w:val="single" w:color="auto" w:sz="4" w:space="0"/>
            </w:tcBorders>
            <w:shd w:val="clear" w:color="auto" w:fill="auto"/>
            <w:vAlign w:val="center"/>
          </w:tcPr>
          <w:p>
            <w:pPr>
              <w:jc w:val="center"/>
              <w:rPr>
                <w:color w:val="000000"/>
                <w:sz w:val="24"/>
              </w:rPr>
            </w:pPr>
            <w:r>
              <w:rPr>
                <w:rFonts w:hint="eastAsia"/>
                <w:color w:val="000000"/>
                <w:sz w:val="24"/>
              </w:rPr>
              <w:t>0</w:t>
            </w:r>
          </w:p>
        </w:tc>
        <w:tc>
          <w:tcPr>
            <w:tcW w:w="7330"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eastAsia="仿宋"/>
                <w:kern w:val="0"/>
                <w:sz w:val="24"/>
              </w:rPr>
            </w:pPr>
            <w:r>
              <w:rPr>
                <w:rFonts w:hint="eastAsia" w:eastAsia="仿宋"/>
                <w:kern w:val="0"/>
                <w:sz w:val="24"/>
              </w:rPr>
              <w:t>位于县境内的西北部，为木吉河流域的主要汇水区，行政区划主要属木吉乡管辖，灾种为泥石流、崩塌。地貌类型属高山极高山区，地形比东南部平坦开阔，地表植被覆盖率一般，构造运动较为发育，岩体较为破碎。人类工程经济活动以零星、分散的牧业活动为主，在最西北端的夏依特一带，存在小规模的矿业开发活动。</w:t>
            </w:r>
          </w:p>
        </w:tc>
      </w:tr>
      <w:tr>
        <w:tblPrEx>
          <w:tblCellMar>
            <w:top w:w="0" w:type="dxa"/>
            <w:left w:w="108" w:type="dxa"/>
            <w:bottom w:w="0" w:type="dxa"/>
            <w:right w:w="108" w:type="dxa"/>
          </w:tblCellMar>
        </w:tblPrEx>
        <w:trPr>
          <w:trHeight w:val="2064" w:hRule="atLeast"/>
          <w:jc w:val="center"/>
        </w:trPr>
        <w:tc>
          <w:tcPr>
            <w:tcW w:w="1009"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
                <w:kern w:val="0"/>
                <w:sz w:val="24"/>
              </w:rPr>
            </w:pPr>
          </w:p>
        </w:tc>
        <w:tc>
          <w:tcPr>
            <w:tcW w:w="530" w:type="dxa"/>
            <w:tcBorders>
              <w:top w:val="nil"/>
              <w:left w:val="nil"/>
              <w:bottom w:val="single" w:color="auto" w:sz="4" w:space="0"/>
              <w:right w:val="single" w:color="auto" w:sz="4" w:space="0"/>
            </w:tcBorders>
            <w:shd w:val="clear" w:color="auto" w:fill="auto"/>
            <w:vAlign w:val="center"/>
          </w:tcPr>
          <w:p>
            <w:pPr>
              <w:widowControl/>
              <w:jc w:val="center"/>
              <w:rPr>
                <w:rFonts w:eastAsia="仿宋"/>
                <w:kern w:val="0"/>
                <w:sz w:val="24"/>
              </w:rPr>
            </w:pPr>
            <w:r>
              <w:rPr>
                <w:rFonts w:eastAsia="仿宋"/>
                <w:kern w:val="0"/>
                <w:sz w:val="24"/>
              </w:rPr>
              <w:t>B</w:t>
            </w:r>
            <w:r>
              <w:rPr>
                <w:rFonts w:hint="eastAsia" w:eastAsia="仿宋"/>
                <w:kern w:val="0"/>
                <w:sz w:val="24"/>
              </w:rPr>
              <w:t>3</w:t>
            </w:r>
          </w:p>
        </w:tc>
        <w:tc>
          <w:tcPr>
            <w:tcW w:w="1497" w:type="dxa"/>
            <w:tcBorders>
              <w:top w:val="nil"/>
              <w:left w:val="nil"/>
              <w:bottom w:val="single" w:color="auto" w:sz="4" w:space="0"/>
              <w:right w:val="single" w:color="auto" w:sz="4" w:space="0"/>
            </w:tcBorders>
            <w:shd w:val="clear" w:color="auto" w:fill="auto"/>
            <w:vAlign w:val="center"/>
          </w:tcPr>
          <w:p>
            <w:pPr>
              <w:widowControl/>
              <w:jc w:val="left"/>
              <w:rPr>
                <w:rFonts w:eastAsia="仿宋"/>
                <w:kern w:val="0"/>
                <w:sz w:val="24"/>
              </w:rPr>
            </w:pPr>
            <w:r>
              <w:rPr>
                <w:rFonts w:hint="eastAsia" w:eastAsia="仿宋"/>
                <w:kern w:val="0"/>
                <w:sz w:val="24"/>
              </w:rPr>
              <w:t>奥依塔克河以北地质灾害中易发亚区</w:t>
            </w:r>
          </w:p>
        </w:tc>
        <w:tc>
          <w:tcPr>
            <w:tcW w:w="122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color w:val="000000"/>
                <w:sz w:val="24"/>
              </w:rPr>
              <w:t>723.84</w:t>
            </w:r>
          </w:p>
        </w:tc>
        <w:tc>
          <w:tcPr>
            <w:tcW w:w="818" w:type="dxa"/>
            <w:tcBorders>
              <w:top w:val="nil"/>
              <w:left w:val="nil"/>
              <w:bottom w:val="single" w:color="auto" w:sz="4" w:space="0"/>
              <w:right w:val="single" w:color="auto" w:sz="4" w:space="0"/>
            </w:tcBorders>
            <w:shd w:val="clear" w:color="auto" w:fill="auto"/>
            <w:vAlign w:val="center"/>
          </w:tcPr>
          <w:p>
            <w:pPr>
              <w:jc w:val="center"/>
              <w:rPr>
                <w:color w:val="000000"/>
                <w:sz w:val="24"/>
              </w:rPr>
            </w:pPr>
            <w:r>
              <w:rPr>
                <w:rFonts w:hint="eastAsia"/>
                <w:color w:val="000000"/>
                <w:sz w:val="24"/>
              </w:rPr>
              <w:t>1</w:t>
            </w:r>
          </w:p>
        </w:tc>
        <w:tc>
          <w:tcPr>
            <w:tcW w:w="954" w:type="dxa"/>
            <w:tcBorders>
              <w:top w:val="nil"/>
              <w:left w:val="nil"/>
              <w:bottom w:val="single" w:color="auto" w:sz="4" w:space="0"/>
              <w:right w:val="single" w:color="auto" w:sz="4" w:space="0"/>
            </w:tcBorders>
            <w:shd w:val="clear" w:color="auto" w:fill="auto"/>
            <w:vAlign w:val="center"/>
          </w:tcPr>
          <w:p>
            <w:pPr>
              <w:jc w:val="center"/>
              <w:rPr>
                <w:color w:val="000000"/>
                <w:sz w:val="24"/>
              </w:rPr>
            </w:pPr>
            <w:r>
              <w:rPr>
                <w:rFonts w:hint="eastAsia"/>
                <w:color w:val="000000"/>
                <w:sz w:val="24"/>
              </w:rPr>
              <w:t>5</w:t>
            </w:r>
          </w:p>
        </w:tc>
        <w:tc>
          <w:tcPr>
            <w:tcW w:w="818" w:type="dxa"/>
            <w:tcBorders>
              <w:top w:val="nil"/>
              <w:left w:val="nil"/>
              <w:bottom w:val="single" w:color="auto" w:sz="4" w:space="0"/>
              <w:right w:val="single" w:color="auto" w:sz="4" w:space="0"/>
            </w:tcBorders>
            <w:shd w:val="clear" w:color="auto" w:fill="auto"/>
            <w:vAlign w:val="center"/>
          </w:tcPr>
          <w:p>
            <w:pPr>
              <w:jc w:val="center"/>
              <w:rPr>
                <w:color w:val="000000"/>
                <w:sz w:val="24"/>
              </w:rPr>
            </w:pPr>
            <w:r>
              <w:rPr>
                <w:rFonts w:hint="eastAsia"/>
                <w:color w:val="000000"/>
                <w:sz w:val="24"/>
              </w:rPr>
              <w:t>0</w:t>
            </w:r>
          </w:p>
        </w:tc>
        <w:tc>
          <w:tcPr>
            <w:tcW w:w="7330"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eastAsia="仿宋"/>
                <w:kern w:val="0"/>
                <w:sz w:val="24"/>
              </w:rPr>
            </w:pPr>
            <w:r>
              <w:rPr>
                <w:rFonts w:hint="eastAsia" w:eastAsia="仿宋"/>
                <w:kern w:val="0"/>
                <w:sz w:val="24"/>
              </w:rPr>
              <w:t>位于县境内的中北部，行政区划主要属奥依塔克镇管辖，灾种为泥石流、崩塌。地貌类型主要属中山区，地形起伏较大，沟谷较为宽广，植被稀少，基岩裸露，表层被风化剥蚀。人类工程经济活动以分散的牧业活动为主，由于植被稀少，牧业活动的数量极少。</w:t>
            </w:r>
          </w:p>
        </w:tc>
      </w:tr>
      <w:tr>
        <w:tblPrEx>
          <w:tblCellMar>
            <w:top w:w="0" w:type="dxa"/>
            <w:left w:w="108" w:type="dxa"/>
            <w:bottom w:w="0" w:type="dxa"/>
            <w:right w:w="108" w:type="dxa"/>
          </w:tblCellMar>
        </w:tblPrEx>
        <w:trPr>
          <w:trHeight w:val="1668" w:hRule="atLeast"/>
          <w:jc w:val="center"/>
        </w:trPr>
        <w:tc>
          <w:tcPr>
            <w:tcW w:w="10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
                <w:kern w:val="0"/>
                <w:sz w:val="24"/>
              </w:rPr>
            </w:pPr>
            <w:r>
              <w:rPr>
                <w:rFonts w:eastAsia="仿宋"/>
                <w:kern w:val="0"/>
                <w:sz w:val="24"/>
              </w:rPr>
              <w:t>低易发区（C）</w:t>
            </w:r>
          </w:p>
        </w:tc>
        <w:tc>
          <w:tcPr>
            <w:tcW w:w="5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
                <w:kern w:val="0"/>
                <w:sz w:val="24"/>
              </w:rPr>
            </w:pPr>
            <w:r>
              <w:rPr>
                <w:rFonts w:eastAsia="仿宋"/>
                <w:kern w:val="0"/>
                <w:sz w:val="24"/>
              </w:rPr>
              <w:t>C1</w:t>
            </w:r>
          </w:p>
        </w:tc>
        <w:tc>
          <w:tcPr>
            <w:tcW w:w="14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
                <w:kern w:val="0"/>
                <w:sz w:val="24"/>
              </w:rPr>
            </w:pPr>
            <w:r>
              <w:rPr>
                <w:rFonts w:hint="eastAsia" w:eastAsia="仿宋"/>
                <w:kern w:val="0"/>
                <w:sz w:val="24"/>
              </w:rPr>
              <w:t>极高山峰周边低易发亚区</w:t>
            </w:r>
          </w:p>
        </w:tc>
        <w:tc>
          <w:tcPr>
            <w:tcW w:w="122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color w:val="000000"/>
                <w:sz w:val="24"/>
              </w:rPr>
              <w:t>2533.41</w:t>
            </w:r>
          </w:p>
        </w:tc>
        <w:tc>
          <w:tcPr>
            <w:tcW w:w="8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24"/>
              </w:rPr>
            </w:pPr>
            <w:r>
              <w:rPr>
                <w:rFonts w:hint="eastAsia"/>
                <w:color w:val="000000"/>
                <w:sz w:val="24"/>
              </w:rPr>
              <w:t>0</w:t>
            </w:r>
          </w:p>
        </w:tc>
        <w:tc>
          <w:tcPr>
            <w:tcW w:w="95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24"/>
              </w:rPr>
            </w:pPr>
            <w:r>
              <w:rPr>
                <w:rFonts w:hint="eastAsia"/>
                <w:color w:val="000000"/>
                <w:sz w:val="24"/>
              </w:rPr>
              <w:t>0</w:t>
            </w:r>
          </w:p>
        </w:tc>
        <w:tc>
          <w:tcPr>
            <w:tcW w:w="8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24"/>
              </w:rPr>
            </w:pPr>
            <w:r>
              <w:rPr>
                <w:rFonts w:hint="eastAsia"/>
                <w:color w:val="000000"/>
                <w:sz w:val="24"/>
              </w:rPr>
              <w:t>0</w:t>
            </w:r>
          </w:p>
        </w:tc>
        <w:tc>
          <w:tcPr>
            <w:tcW w:w="73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left"/>
              <w:rPr>
                <w:rFonts w:eastAsia="仿宋"/>
                <w:kern w:val="0"/>
                <w:sz w:val="24"/>
              </w:rPr>
            </w:pPr>
            <w:r>
              <w:rPr>
                <w:rFonts w:hint="eastAsia" w:eastAsia="仿宋"/>
                <w:kern w:val="0"/>
                <w:sz w:val="24"/>
              </w:rPr>
              <w:t>县境内中南部的公格尔山、公格尔九别峰、慕士塔格山等极高山峰一带，这里海拔极高，地势险峻，自然环境恶劣，无人类工程经济活动，基本属无人区。</w:t>
            </w:r>
          </w:p>
        </w:tc>
      </w:tr>
      <w:tr>
        <w:tblPrEx>
          <w:tblCellMar>
            <w:top w:w="0" w:type="dxa"/>
            <w:left w:w="108" w:type="dxa"/>
            <w:bottom w:w="0" w:type="dxa"/>
            <w:right w:w="108" w:type="dxa"/>
          </w:tblCellMar>
        </w:tblPrEx>
        <w:trPr>
          <w:trHeight w:val="1320" w:hRule="atLeast"/>
          <w:jc w:val="center"/>
        </w:trPr>
        <w:tc>
          <w:tcPr>
            <w:tcW w:w="1009"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eastAsia="仿宋"/>
                <w:kern w:val="0"/>
                <w:sz w:val="24"/>
              </w:rPr>
            </w:pPr>
          </w:p>
        </w:tc>
        <w:tc>
          <w:tcPr>
            <w:tcW w:w="53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仿宋"/>
                <w:kern w:val="0"/>
                <w:sz w:val="24"/>
              </w:rPr>
            </w:pPr>
            <w:r>
              <w:rPr>
                <w:rFonts w:eastAsia="仿宋"/>
                <w:kern w:val="0"/>
                <w:sz w:val="24"/>
              </w:rPr>
              <w:t>C</w:t>
            </w:r>
            <w:r>
              <w:rPr>
                <w:rFonts w:hint="eastAsia" w:eastAsia="仿宋"/>
                <w:kern w:val="0"/>
                <w:sz w:val="24"/>
              </w:rPr>
              <w:t>2</w:t>
            </w:r>
          </w:p>
        </w:tc>
        <w:tc>
          <w:tcPr>
            <w:tcW w:w="14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仿宋"/>
                <w:kern w:val="0"/>
                <w:sz w:val="24"/>
              </w:rPr>
            </w:pPr>
            <w:r>
              <w:rPr>
                <w:rFonts w:hint="eastAsia" w:eastAsia="仿宋"/>
                <w:kern w:val="0"/>
                <w:sz w:val="24"/>
              </w:rPr>
              <w:t>山前地带和低山丘陵区低易发亚区</w:t>
            </w:r>
          </w:p>
        </w:tc>
        <w:tc>
          <w:tcPr>
            <w:tcW w:w="122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color w:val="000000"/>
                <w:sz w:val="24"/>
              </w:rPr>
              <w:t>126.60</w:t>
            </w:r>
          </w:p>
        </w:tc>
        <w:tc>
          <w:tcPr>
            <w:tcW w:w="818" w:type="dxa"/>
            <w:tcBorders>
              <w:top w:val="single" w:color="auto" w:sz="4" w:space="0"/>
              <w:left w:val="nil"/>
              <w:bottom w:val="single" w:color="auto" w:sz="4" w:space="0"/>
              <w:right w:val="single" w:color="auto" w:sz="4" w:space="0"/>
            </w:tcBorders>
            <w:shd w:val="clear" w:color="auto" w:fill="auto"/>
            <w:vAlign w:val="center"/>
          </w:tcPr>
          <w:p>
            <w:pPr>
              <w:jc w:val="center"/>
              <w:rPr>
                <w:color w:val="000000"/>
                <w:sz w:val="24"/>
              </w:rPr>
            </w:pPr>
            <w:r>
              <w:rPr>
                <w:rFonts w:hint="eastAsia"/>
                <w:color w:val="000000"/>
                <w:sz w:val="24"/>
              </w:rPr>
              <w:t>0</w:t>
            </w:r>
          </w:p>
        </w:tc>
        <w:tc>
          <w:tcPr>
            <w:tcW w:w="954" w:type="dxa"/>
            <w:tcBorders>
              <w:top w:val="single" w:color="auto" w:sz="4" w:space="0"/>
              <w:left w:val="nil"/>
              <w:bottom w:val="single" w:color="auto" w:sz="4" w:space="0"/>
              <w:right w:val="single" w:color="auto" w:sz="4" w:space="0"/>
            </w:tcBorders>
            <w:shd w:val="clear" w:color="auto" w:fill="auto"/>
            <w:vAlign w:val="center"/>
          </w:tcPr>
          <w:p>
            <w:pPr>
              <w:jc w:val="center"/>
              <w:rPr>
                <w:color w:val="000000"/>
                <w:sz w:val="24"/>
              </w:rPr>
            </w:pPr>
            <w:r>
              <w:rPr>
                <w:rFonts w:hint="eastAsia"/>
                <w:color w:val="000000"/>
                <w:sz w:val="24"/>
              </w:rPr>
              <w:t>1</w:t>
            </w:r>
          </w:p>
        </w:tc>
        <w:tc>
          <w:tcPr>
            <w:tcW w:w="818" w:type="dxa"/>
            <w:tcBorders>
              <w:top w:val="single" w:color="auto" w:sz="4" w:space="0"/>
              <w:left w:val="nil"/>
              <w:bottom w:val="single" w:color="auto" w:sz="4" w:space="0"/>
              <w:right w:val="single" w:color="auto" w:sz="4" w:space="0"/>
            </w:tcBorders>
            <w:shd w:val="clear" w:color="auto" w:fill="auto"/>
            <w:vAlign w:val="center"/>
          </w:tcPr>
          <w:p>
            <w:pPr>
              <w:jc w:val="center"/>
              <w:rPr>
                <w:color w:val="000000"/>
                <w:sz w:val="24"/>
              </w:rPr>
            </w:pPr>
            <w:r>
              <w:rPr>
                <w:rFonts w:hint="eastAsia"/>
                <w:color w:val="000000"/>
                <w:sz w:val="24"/>
              </w:rPr>
              <w:t>0</w:t>
            </w:r>
          </w:p>
        </w:tc>
        <w:tc>
          <w:tcPr>
            <w:tcW w:w="733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left"/>
              <w:rPr>
                <w:rFonts w:eastAsia="仿宋"/>
                <w:kern w:val="0"/>
                <w:sz w:val="24"/>
              </w:rPr>
            </w:pPr>
            <w:r>
              <w:rPr>
                <w:rFonts w:hint="eastAsia" w:eastAsia="仿宋"/>
                <w:kern w:val="0"/>
                <w:sz w:val="24"/>
              </w:rPr>
              <w:t>山前地带和低山丘陵虽然也属于山区，但多数为地形较开阔平坦，植被发育较好，形成良好的天然牧场，泥石流和其它地质灾害很少发生。据外业调查，区内虽然地质灾害点分布较少，但具有有利于地质灾害形成及发生的地质环境背景条件，一旦有灾害发生仍会危及其影响范围内的人员和设施的安全。</w:t>
            </w:r>
          </w:p>
        </w:tc>
      </w:tr>
      <w:tr>
        <w:tblPrEx>
          <w:tblCellMar>
            <w:top w:w="0" w:type="dxa"/>
            <w:left w:w="108" w:type="dxa"/>
            <w:bottom w:w="0" w:type="dxa"/>
            <w:right w:w="108" w:type="dxa"/>
          </w:tblCellMar>
        </w:tblPrEx>
        <w:trPr>
          <w:trHeight w:val="1596" w:hRule="atLeast"/>
          <w:jc w:val="center"/>
        </w:trPr>
        <w:tc>
          <w:tcPr>
            <w:tcW w:w="10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
                <w:kern w:val="0"/>
                <w:sz w:val="24"/>
              </w:rPr>
            </w:pPr>
            <w:r>
              <w:rPr>
                <w:rFonts w:hint="eastAsia" w:eastAsia="仿宋"/>
                <w:kern w:val="0"/>
                <w:sz w:val="24"/>
              </w:rPr>
              <w:t>不</w:t>
            </w:r>
            <w:r>
              <w:rPr>
                <w:rFonts w:eastAsia="仿宋"/>
                <w:kern w:val="0"/>
                <w:sz w:val="24"/>
              </w:rPr>
              <w:t>易发区（D）</w:t>
            </w:r>
          </w:p>
        </w:tc>
        <w:tc>
          <w:tcPr>
            <w:tcW w:w="530" w:type="dxa"/>
            <w:tcBorders>
              <w:top w:val="nil"/>
              <w:left w:val="nil"/>
              <w:bottom w:val="single" w:color="auto" w:sz="4" w:space="0"/>
              <w:right w:val="single" w:color="auto" w:sz="4" w:space="0"/>
            </w:tcBorders>
            <w:shd w:val="clear" w:color="auto" w:fill="auto"/>
            <w:vAlign w:val="center"/>
          </w:tcPr>
          <w:p>
            <w:pPr>
              <w:widowControl/>
              <w:jc w:val="center"/>
              <w:rPr>
                <w:rFonts w:eastAsia="仿宋"/>
                <w:kern w:val="0"/>
                <w:sz w:val="24"/>
              </w:rPr>
            </w:pPr>
            <w:r>
              <w:rPr>
                <w:rFonts w:eastAsia="仿宋"/>
                <w:kern w:val="0"/>
                <w:sz w:val="24"/>
              </w:rPr>
              <w:t>D</w:t>
            </w:r>
          </w:p>
        </w:tc>
        <w:tc>
          <w:tcPr>
            <w:tcW w:w="1497" w:type="dxa"/>
            <w:tcBorders>
              <w:top w:val="nil"/>
              <w:left w:val="nil"/>
              <w:bottom w:val="single" w:color="auto" w:sz="4" w:space="0"/>
              <w:right w:val="single" w:color="auto" w:sz="4" w:space="0"/>
            </w:tcBorders>
            <w:shd w:val="clear" w:color="auto" w:fill="auto"/>
            <w:vAlign w:val="center"/>
          </w:tcPr>
          <w:p>
            <w:pPr>
              <w:widowControl/>
              <w:jc w:val="left"/>
              <w:rPr>
                <w:rFonts w:eastAsia="仿宋"/>
                <w:kern w:val="0"/>
                <w:sz w:val="24"/>
              </w:rPr>
            </w:pPr>
            <w:r>
              <w:rPr>
                <w:rFonts w:hint="eastAsia" w:eastAsia="仿宋"/>
                <w:kern w:val="0"/>
                <w:sz w:val="24"/>
              </w:rPr>
              <w:t>/</w:t>
            </w:r>
          </w:p>
        </w:tc>
        <w:tc>
          <w:tcPr>
            <w:tcW w:w="122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color w:val="000000"/>
                <w:sz w:val="24"/>
              </w:rPr>
              <w:t>1044.23</w:t>
            </w:r>
          </w:p>
        </w:tc>
        <w:tc>
          <w:tcPr>
            <w:tcW w:w="818" w:type="dxa"/>
            <w:tcBorders>
              <w:top w:val="nil"/>
              <w:left w:val="nil"/>
              <w:bottom w:val="single" w:color="auto" w:sz="4" w:space="0"/>
              <w:right w:val="single" w:color="auto" w:sz="4" w:space="0"/>
            </w:tcBorders>
            <w:shd w:val="clear" w:color="auto" w:fill="auto"/>
            <w:vAlign w:val="center"/>
          </w:tcPr>
          <w:p>
            <w:pPr>
              <w:jc w:val="center"/>
              <w:rPr>
                <w:color w:val="000000"/>
                <w:sz w:val="24"/>
              </w:rPr>
            </w:pPr>
            <w:r>
              <w:rPr>
                <w:rFonts w:hint="eastAsia"/>
                <w:color w:val="000000"/>
                <w:sz w:val="24"/>
              </w:rPr>
              <w:t>0</w:t>
            </w:r>
          </w:p>
        </w:tc>
        <w:tc>
          <w:tcPr>
            <w:tcW w:w="954" w:type="dxa"/>
            <w:tcBorders>
              <w:top w:val="nil"/>
              <w:left w:val="nil"/>
              <w:bottom w:val="single" w:color="auto" w:sz="4" w:space="0"/>
              <w:right w:val="single" w:color="auto" w:sz="4" w:space="0"/>
            </w:tcBorders>
            <w:shd w:val="clear" w:color="auto" w:fill="auto"/>
            <w:vAlign w:val="center"/>
          </w:tcPr>
          <w:p>
            <w:pPr>
              <w:jc w:val="center"/>
              <w:rPr>
                <w:color w:val="000000"/>
                <w:sz w:val="24"/>
              </w:rPr>
            </w:pPr>
            <w:r>
              <w:rPr>
                <w:rFonts w:hint="eastAsia"/>
                <w:color w:val="000000"/>
                <w:sz w:val="24"/>
              </w:rPr>
              <w:t>0</w:t>
            </w:r>
          </w:p>
        </w:tc>
        <w:tc>
          <w:tcPr>
            <w:tcW w:w="818" w:type="dxa"/>
            <w:tcBorders>
              <w:top w:val="nil"/>
              <w:left w:val="nil"/>
              <w:bottom w:val="single" w:color="auto" w:sz="4" w:space="0"/>
              <w:right w:val="single" w:color="auto" w:sz="4" w:space="0"/>
            </w:tcBorders>
            <w:shd w:val="clear" w:color="auto" w:fill="auto"/>
            <w:vAlign w:val="center"/>
          </w:tcPr>
          <w:p>
            <w:pPr>
              <w:jc w:val="center"/>
              <w:rPr>
                <w:color w:val="000000"/>
                <w:sz w:val="24"/>
              </w:rPr>
            </w:pPr>
            <w:r>
              <w:rPr>
                <w:rFonts w:hint="eastAsia"/>
                <w:color w:val="000000"/>
                <w:sz w:val="24"/>
              </w:rPr>
              <w:t>0</w:t>
            </w:r>
          </w:p>
        </w:tc>
        <w:tc>
          <w:tcPr>
            <w:tcW w:w="7330" w:type="dxa"/>
            <w:tcBorders>
              <w:top w:val="nil"/>
              <w:left w:val="nil"/>
              <w:bottom w:val="single" w:color="auto" w:sz="4" w:space="0"/>
              <w:right w:val="single" w:color="auto" w:sz="4" w:space="0"/>
            </w:tcBorders>
            <w:shd w:val="clear" w:color="auto" w:fill="auto"/>
            <w:vAlign w:val="center"/>
          </w:tcPr>
          <w:p>
            <w:pPr>
              <w:widowControl/>
              <w:spacing w:line="360" w:lineRule="exact"/>
              <w:jc w:val="left"/>
              <w:rPr>
                <w:rFonts w:eastAsia="仿宋"/>
                <w:kern w:val="0"/>
                <w:sz w:val="24"/>
              </w:rPr>
            </w:pPr>
            <w:r>
              <w:rPr>
                <w:rFonts w:hint="eastAsia" w:eastAsia="仿宋"/>
                <w:kern w:val="0"/>
                <w:sz w:val="24"/>
              </w:rPr>
              <w:t>位于县境内东北部的冲洪积平原区，这里地形平坦开阔，出露地层主要为第四系冲洪积物，不具备崩塌、滑坡、泥石流等灾害发生的地质环境背景条件。</w:t>
            </w:r>
          </w:p>
        </w:tc>
      </w:tr>
    </w:tbl>
    <w:p>
      <w:pPr>
        <w:sectPr>
          <w:pgSz w:w="16838" w:h="11850" w:orient="landscape"/>
          <w:pgMar w:top="2098" w:right="1474" w:bottom="1984" w:left="1587" w:header="851" w:footer="992" w:gutter="0"/>
          <w:cols w:space="720" w:num="1"/>
          <w:docGrid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roma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FB78CA"/>
    <w:rsid w:val="24FB78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2">
    <w:name w:val="heading 3"/>
    <w:basedOn w:val="1"/>
    <w:next w:val="1"/>
    <w:qFormat/>
    <w:uiPriority w:val="0"/>
    <w:pPr>
      <w:keepNext/>
      <w:keepLines/>
      <w:ind w:firstLine="200" w:firstLineChars="200"/>
      <w:outlineLvl w:val="2"/>
    </w:pPr>
    <w:rPr>
      <w:rFonts w:ascii="仿宋" w:hAnsi="仿宋" w:cs="宋体"/>
      <w:color w:val="FF0000"/>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2023-04-11T03:33:00Z</dcterms:created>
  <dc:creator>lenovo</dc:creator>
  <cp:lastModifiedBy>lenovo</cp:lastModifiedBy>
  <dcterms:modified xsi:type="dcterms:W3CDTF">2023-04-11T03:34:20Z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23916195509B41B6BC683D0F7D51C247</vt:lpwstr>
  </property>
</Properties>
</file>