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0" w:after="0" w:line="240" w:lineRule="auto"/>
        <w:ind w:left="0" w:right="0" w:firstLine="0"/>
        <w:jc w:val="center"/>
        <w:rPr>
          <w:rFonts w:hint="eastAsia" w:ascii="微软雅黑" w:hAnsi="微软雅黑" w:eastAsia="微软雅黑" w:cs="微软雅黑"/>
          <w:b/>
          <w:color w:val="000000"/>
          <w:spacing w:val="0"/>
          <w:position w:val="0"/>
          <w:sz w:val="36"/>
          <w:shd w:val="clear" w:color="auto" w:fill="FFFFFF"/>
          <w:lang w:val="en-US" w:eastAsia="zh-CN"/>
        </w:rPr>
      </w:pPr>
      <w:r>
        <w:rPr>
          <w:rFonts w:hint="eastAsia" w:ascii="微软雅黑" w:hAnsi="微软雅黑" w:eastAsia="微软雅黑" w:cs="微软雅黑"/>
          <w:b/>
          <w:color w:val="000000"/>
          <w:spacing w:val="0"/>
          <w:position w:val="0"/>
          <w:sz w:val="36"/>
          <w:shd w:val="clear" w:color="auto" w:fill="FFFFFF"/>
          <w:lang w:val="en-US" w:eastAsia="zh-CN"/>
        </w:rPr>
        <w:t>【面向社会公开】《阿克陶县农村饮用水供水价格调整方案（征求意见稿）》公开征求意见的通知</w:t>
      </w:r>
    </w:p>
    <w:p>
      <w:pPr>
        <w:pStyle w:val="11"/>
        <w:keepNext w:val="0"/>
        <w:keepLines w:val="0"/>
        <w:widowControl/>
        <w:suppressLineNumbers w:val="0"/>
        <w:spacing w:before="0" w:beforeAutospacing="0" w:after="0" w:afterAutospacing="0"/>
        <w:ind w:left="0" w:right="0" w:firstLine="0"/>
        <w:rPr>
          <w:rFonts w:hint="eastAsia" w:ascii="仿宋" w:hAnsi="仿宋" w:eastAsia="仿宋" w:cs="仿宋"/>
          <w:b w:val="0"/>
          <w:bCs/>
          <w:color w:val="000000" w:themeColor="text1"/>
          <w:sz w:val="32"/>
          <w:szCs w:val="32"/>
          <w:shd w:val="clear" w:color="auto" w:fill="FFFFFF"/>
          <w:lang w:val="en-US" w:eastAsia="zh-CN"/>
          <w14:textFill>
            <w14:solidFill>
              <w14:schemeClr w14:val="tx1"/>
            </w14:solidFill>
          </w14:textFill>
        </w:rPr>
      </w:pPr>
      <w:r>
        <w:rPr>
          <w:rFonts w:hint="eastAsia" w:ascii="宋体" w:hAnsi="宋体" w:eastAsia="宋体" w:cs="宋体"/>
          <w:i w:val="0"/>
          <w:iCs w:val="0"/>
          <w:caps w:val="0"/>
          <w:color w:val="222222"/>
          <w:spacing w:val="0"/>
          <w:kern w:val="0"/>
          <w:sz w:val="21"/>
          <w:szCs w:val="21"/>
          <w:shd w:val="clear" w:color="auto" w:fill="FFFFFF"/>
          <w:lang w:val="en-US" w:eastAsia="zh-CN" w:bidi="ar"/>
        </w:rPr>
        <w:t xml:space="preserve"> </w:t>
      </w:r>
      <w:r>
        <w:rPr>
          <w:rFonts w:hint="eastAsia" w:ascii="仿宋_GB2312" w:hAnsi="仿宋_GB2312" w:eastAsia="仿宋_GB2312" w:cs="仿宋_GB2312"/>
          <w:sz w:val="32"/>
          <w:szCs w:val="32"/>
          <w:lang w:val="en-US" w:eastAsia="zh-CN"/>
        </w:rPr>
        <w:t xml:space="preserve">   </w:t>
      </w:r>
      <w:r>
        <w:rPr>
          <w:rFonts w:hint="eastAsia" w:ascii="仿宋" w:hAnsi="仿宋" w:eastAsia="仿宋" w:cs="仿宋"/>
          <w:b w:val="0"/>
          <w:bCs/>
          <w:color w:val="000000"/>
          <w:spacing w:val="0"/>
          <w:position w:val="0"/>
          <w:sz w:val="30"/>
          <w:szCs w:val="30"/>
          <w:shd w:val="clear" w:fill="FFFFFF"/>
          <w:lang w:val="en-US" w:eastAsia="zh-CN"/>
        </w:rPr>
        <w:t>依据</w:t>
      </w:r>
      <w:r>
        <w:rPr>
          <w:rFonts w:hint="eastAsia" w:ascii="仿宋" w:hAnsi="仿宋" w:eastAsia="仿宋" w:cs="仿宋"/>
          <w:b w:val="0"/>
          <w:bCs/>
          <w:color w:val="000000"/>
          <w:sz w:val="32"/>
          <w:szCs w:val="32"/>
          <w:shd w:val="clear" w:color="auto" w:fill="FFFFFF"/>
          <w:lang w:val="en-US" w:eastAsia="zh-CN"/>
        </w:rPr>
        <w:t>《城镇供水价格管理办法》《新疆维吾尔自治区城镇供水价格管理实施细则》</w:t>
      </w:r>
      <w:r>
        <w:rPr>
          <w:rFonts w:hint="eastAsia" w:ascii="仿宋" w:hAnsi="仿宋" w:eastAsia="仿宋" w:cs="仿宋"/>
          <w:b w:val="0"/>
          <w:bCs/>
          <w:color w:val="000000"/>
          <w:spacing w:val="0"/>
          <w:position w:val="0"/>
          <w:sz w:val="30"/>
          <w:szCs w:val="30"/>
          <w:shd w:val="clear" w:fill="FFFFFF"/>
          <w:lang w:val="en-US" w:eastAsia="zh-CN"/>
        </w:rPr>
        <w:t>等</w:t>
      </w:r>
      <w:r>
        <w:rPr>
          <w:rFonts w:hint="default" w:ascii="仿宋" w:hAnsi="仿宋" w:eastAsia="仿宋" w:cs="仿宋"/>
          <w:b w:val="0"/>
          <w:bCs/>
          <w:color w:val="000000"/>
          <w:spacing w:val="0"/>
          <w:position w:val="0"/>
          <w:sz w:val="30"/>
          <w:szCs w:val="30"/>
          <w:shd w:val="clear" w:fill="FFFFFF"/>
          <w:lang w:val="en-US" w:eastAsia="zh-CN"/>
        </w:rPr>
        <w:t>文件精神</w:t>
      </w:r>
      <w:r>
        <w:rPr>
          <w:rFonts w:hint="eastAsia" w:ascii="仿宋" w:hAnsi="仿宋" w:eastAsia="仿宋" w:cs="仿宋"/>
          <w:b w:val="0"/>
          <w:bCs/>
          <w:color w:val="000000"/>
          <w:spacing w:val="0"/>
          <w:position w:val="0"/>
          <w:sz w:val="30"/>
          <w:szCs w:val="30"/>
          <w:shd w:val="clear" w:fill="FFFFFF"/>
          <w:lang w:val="en-US" w:eastAsia="zh-CN"/>
        </w:rPr>
        <w:t>，</w:t>
      </w:r>
      <w:r>
        <w:rPr>
          <w:rFonts w:hint="eastAsia" w:ascii="仿宋_GB2312" w:hAnsi="仿宋_GB2312" w:eastAsia="仿宋_GB2312" w:cs="仿宋_GB2312"/>
          <w:sz w:val="32"/>
          <w:szCs w:val="32"/>
          <w:lang w:val="en-US" w:eastAsia="zh-CN"/>
        </w:rPr>
        <w:t>阿克陶县发改委对</w:t>
      </w:r>
      <w:r>
        <w:rPr>
          <w:rFonts w:hint="eastAsia" w:ascii="方正仿宋_GBK" w:hAnsi="方正仿宋_GBK" w:eastAsia="方正仿宋_GBK" w:cs="方正仿宋_GBK"/>
          <w:kern w:val="2"/>
          <w:sz w:val="32"/>
          <w:szCs w:val="32"/>
          <w:lang w:val="en-US" w:eastAsia="zh-CN" w:bidi="ar-SA"/>
        </w:rPr>
        <w:t>阿克陶县汇泽圆水利建设投资开发有限责任公司2023年至2025年农村饮用水成本费用进行了监审</w:t>
      </w:r>
      <w:r>
        <w:rPr>
          <w:rFonts w:hint="eastAsia" w:ascii="仿宋" w:hAnsi="仿宋" w:eastAsia="仿宋" w:cs="仿宋"/>
          <w:b w:val="0"/>
          <w:bCs/>
          <w:color w:val="000000" w:themeColor="text1"/>
          <w:sz w:val="32"/>
          <w:szCs w:val="32"/>
          <w:shd w:val="clear" w:color="auto" w:fill="FFFFFF"/>
          <w:lang w:val="en-US" w:eastAsia="zh-CN"/>
          <w14:textFill>
            <w14:solidFill>
              <w14:schemeClr w14:val="tx1"/>
            </w14:solidFill>
          </w14:textFill>
        </w:rPr>
        <w:t>，根据成本监审结论，县发改委</w:t>
      </w:r>
      <w:r>
        <w:rPr>
          <w:rFonts w:hint="eastAsia" w:ascii="仿宋" w:hAnsi="仿宋" w:eastAsia="仿宋" w:cs="仿宋"/>
          <w:b w:val="0"/>
          <w:bCs/>
          <w:color w:val="000000"/>
          <w:spacing w:val="0"/>
          <w:position w:val="0"/>
          <w:sz w:val="30"/>
          <w:szCs w:val="30"/>
          <w:shd w:val="clear" w:fill="FFFFFF"/>
          <w:lang w:val="en-US" w:eastAsia="zh-CN"/>
        </w:rPr>
        <w:t>草拟了</w:t>
      </w:r>
      <w:r>
        <w:rPr>
          <w:rFonts w:hint="eastAsia" w:ascii="仿宋_GB2312" w:hAnsi="仿宋_GB2312" w:eastAsia="仿宋_GB2312" w:cs="仿宋_GB2312"/>
          <w:sz w:val="32"/>
          <w:szCs w:val="32"/>
          <w:lang w:val="en-US" w:eastAsia="zh-CN"/>
        </w:rPr>
        <w:t>《</w:t>
      </w:r>
      <w:r>
        <w:rPr>
          <w:rFonts w:hint="eastAsia" w:ascii="仿宋" w:hAnsi="仿宋" w:eastAsia="仿宋" w:cs="仿宋"/>
          <w:b w:val="0"/>
          <w:bCs/>
          <w:color w:val="000000"/>
          <w:spacing w:val="0"/>
          <w:kern w:val="2"/>
          <w:position w:val="0"/>
          <w:sz w:val="30"/>
          <w:szCs w:val="30"/>
          <w:shd w:val="clear" w:fill="FFFFFF"/>
          <w:lang w:val="en-US" w:eastAsia="zh-CN" w:bidi="ar-SA"/>
        </w:rPr>
        <w:t>阿克陶县农村饮用水供水价格调整方案（征求意见稿）</w:t>
      </w:r>
      <w:r>
        <w:rPr>
          <w:rFonts w:hint="eastAsia" w:ascii="仿宋_GB2312" w:hAnsi="仿宋_GB2312" w:eastAsia="仿宋_GB2312" w:cs="仿宋_GB2312"/>
          <w:sz w:val="32"/>
          <w:szCs w:val="32"/>
          <w:lang w:val="en-US" w:eastAsia="zh-CN"/>
        </w:rPr>
        <w:t>》</w:t>
      </w:r>
      <w:r>
        <w:rPr>
          <w:rFonts w:hint="eastAsia" w:ascii="仿宋" w:hAnsi="仿宋" w:eastAsia="仿宋" w:cs="仿宋"/>
          <w:b w:val="0"/>
          <w:bCs/>
          <w:color w:val="000000"/>
          <w:spacing w:val="0"/>
          <w:position w:val="0"/>
          <w:sz w:val="30"/>
          <w:szCs w:val="30"/>
          <w:shd w:val="clear" w:fill="FFFFFF"/>
          <w:lang w:val="en-US" w:eastAsia="zh-CN"/>
        </w:rPr>
        <w:t>。</w:t>
      </w:r>
      <w:r>
        <w:rPr>
          <w:rFonts w:hint="eastAsia" w:ascii="仿宋" w:hAnsi="仿宋" w:eastAsia="仿宋" w:cs="仿宋"/>
          <w:b w:val="0"/>
          <w:bCs/>
          <w:color w:val="000000" w:themeColor="text1"/>
          <w:sz w:val="32"/>
          <w:szCs w:val="32"/>
          <w:shd w:val="clear" w:color="auto" w:fill="FFFFFF"/>
          <w:lang w:val="en-US" w:eastAsia="zh-CN"/>
          <w14:textFill>
            <w14:solidFill>
              <w14:schemeClr w14:val="tx1"/>
            </w14:solidFill>
          </w14:textFill>
        </w:rPr>
        <w:t>2026年10月21日至2026年11月21</w:t>
      </w:r>
      <w:bookmarkStart w:id="6" w:name="_GoBack"/>
      <w:bookmarkEnd w:id="6"/>
      <w:r>
        <w:rPr>
          <w:rFonts w:hint="eastAsia" w:ascii="仿宋" w:hAnsi="仿宋" w:eastAsia="仿宋" w:cs="仿宋"/>
          <w:b w:val="0"/>
          <w:bCs/>
          <w:color w:val="000000" w:themeColor="text1"/>
          <w:sz w:val="32"/>
          <w:szCs w:val="32"/>
          <w:shd w:val="clear" w:color="auto" w:fill="FFFFFF"/>
          <w:lang w:val="en-US" w:eastAsia="zh-CN"/>
          <w14:textFill>
            <w14:solidFill>
              <w14:schemeClr w14:val="tx1"/>
            </w14:solidFill>
          </w14:textFill>
        </w:rPr>
        <w:t>日在政府信息网予以公开，面向社会广泛征求意见。如有不妥之处和意见、建议，可来信来函反馈。</w:t>
      </w:r>
    </w:p>
    <w:p>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意见反馈单位：阿克陶县发展和改革委员会</w:t>
      </w:r>
    </w:p>
    <w:p>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现场反馈地址：阿克陶县发展大厦9楼。</w:t>
      </w:r>
    </w:p>
    <w:p>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电话：0908-5721525    邮箱：aktxfgw@163.com</w:t>
      </w:r>
    </w:p>
    <w:p>
      <w:pPr>
        <w:keepNext w:val="0"/>
        <w:keepLines w:val="0"/>
        <w:pageBreakBefore w:val="0"/>
        <w:widowControl w:val="0"/>
        <w:kinsoku/>
        <w:wordWrap/>
        <w:overflowPunct/>
        <w:topLinePunct w:val="0"/>
        <w:autoSpaceDE/>
        <w:autoSpaceDN/>
        <w:bidi w:val="0"/>
        <w:adjustRightInd/>
        <w:snapToGrid/>
        <w:spacing w:before="0" w:beforeLines="0" w:after="0" w:afterLines="0" w:line="640" w:lineRule="exact"/>
        <w:ind w:right="0" w:rightChars="0"/>
        <w:jc w:val="both"/>
        <w:textAlignment w:val="auto"/>
        <w:outlineLvl w:val="9"/>
        <w:rPr>
          <w:rFonts w:hint="eastAsia" w:ascii="仿宋_GB2312" w:hAnsi="仿宋_GB2312" w:eastAsia="仿宋_GB2312" w:cs="仿宋_GB2312"/>
          <w:sz w:val="32"/>
          <w:szCs w:val="32"/>
          <w:lang w:val="en-US" w:eastAsia="zh-CN"/>
        </w:rPr>
      </w:pPr>
    </w:p>
    <w:p>
      <w:pPr>
        <w:pStyle w:val="11"/>
        <w:keepNext w:val="0"/>
        <w:keepLines w:val="0"/>
        <w:widowControl/>
        <w:suppressLineNumbers w:val="0"/>
        <w:spacing w:before="0" w:beforeAutospacing="0" w:after="0" w:afterAutospacing="0"/>
        <w:ind w:left="0" w:right="0" w:firstLine="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"https://www.xjlpx.gov.cn/file/upload/202311/14/003557411.docx" \t "https://www.xjlpx.gov.cn/xinxigongkai/_blank"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附：1.《</w:t>
      </w:r>
      <w:r>
        <w:rPr>
          <w:rFonts w:hint="eastAsia" w:ascii="仿宋" w:hAnsi="仿宋" w:eastAsia="仿宋" w:cs="仿宋"/>
          <w:b w:val="0"/>
          <w:bCs/>
          <w:color w:val="000000"/>
          <w:spacing w:val="0"/>
          <w:kern w:val="2"/>
          <w:position w:val="0"/>
          <w:sz w:val="30"/>
          <w:szCs w:val="30"/>
          <w:shd w:val="clear" w:fill="FFFFFF"/>
          <w:lang w:val="en-US" w:eastAsia="zh-CN" w:bidi="ar-SA"/>
        </w:rPr>
        <w:t>阿克陶县农村饮用水供水价格调整方案（征求意见稿）</w:t>
      </w:r>
      <w:r>
        <w:rPr>
          <w:rFonts w:hint="eastAsia" w:ascii="仿宋_GB2312" w:hAnsi="仿宋_GB2312" w:eastAsia="仿宋_GB2312" w:cs="仿宋_GB2312"/>
          <w:sz w:val="32"/>
          <w:szCs w:val="32"/>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40" w:lineRule="exact"/>
        <w:ind w:left="0" w:right="0"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w:t>
      </w:r>
      <w:r>
        <w:rPr>
          <w:rFonts w:hint="eastAsia" w:ascii="仿宋" w:hAnsi="仿宋" w:eastAsia="仿宋" w:cs="仿宋"/>
          <w:b w:val="0"/>
          <w:bCs/>
          <w:color w:val="000000"/>
          <w:spacing w:val="0"/>
          <w:kern w:val="2"/>
          <w:position w:val="0"/>
          <w:sz w:val="30"/>
          <w:szCs w:val="30"/>
          <w:shd w:val="clear" w:fill="FFFFFF"/>
          <w:lang w:val="en-US" w:eastAsia="zh-CN" w:bidi="ar-SA"/>
        </w:rPr>
        <w:t>阿克陶县农村饮用水供水价格调整方案（征求意见稿）</w:t>
      </w:r>
      <w:r>
        <w:rPr>
          <w:rFonts w:hint="eastAsia" w:ascii="仿宋_GB2312" w:hAnsi="仿宋_GB2312" w:eastAsia="仿宋_GB2312" w:cs="仿宋_GB2312"/>
          <w:sz w:val="32"/>
          <w:szCs w:val="32"/>
          <w:lang w:val="en-US" w:eastAsia="zh-CN"/>
        </w:rPr>
        <w:t>》起草背景的说明</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40" w:lineRule="exact"/>
        <w:ind w:left="0" w:right="0" w:firstLine="64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40" w:lineRule="exact"/>
        <w:ind w:left="0" w:right="0" w:firstLine="64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40" w:lineRule="exact"/>
        <w:ind w:right="0"/>
        <w:jc w:val="left"/>
        <w:textAlignment w:val="auto"/>
        <w:rPr>
          <w:rFonts w:hint="eastAsia" w:ascii="仿宋_GB2312" w:hAnsi="仿宋_GB2312" w:eastAsia="仿宋_GB2312" w:cs="仿宋_GB2312"/>
          <w:sz w:val="32"/>
          <w:szCs w:val="32"/>
          <w:lang w:val="en-US" w:eastAsia="zh-CN"/>
        </w:rPr>
      </w:pPr>
    </w:p>
    <w:p>
      <w:pPr>
        <w:pStyle w:val="7"/>
        <w:spacing w:line="560" w:lineRule="exac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阿克陶</w:t>
      </w:r>
      <w:r>
        <w:rPr>
          <w:rFonts w:hint="eastAsia" w:ascii="方正小标宋_GBK" w:hAnsi="方正小标宋_GBK" w:eastAsia="方正小标宋_GBK" w:cs="方正小标宋_GBK"/>
          <w:sz w:val="44"/>
          <w:szCs w:val="44"/>
        </w:rPr>
        <w:t>县农村饮用水供水价格</w:t>
      </w:r>
      <w:r>
        <w:rPr>
          <w:rFonts w:hint="eastAsia" w:ascii="方正小标宋_GBK" w:hAnsi="方正小标宋_GBK" w:eastAsia="方正小标宋_GBK" w:cs="方正小标宋_GBK"/>
          <w:sz w:val="44"/>
          <w:szCs w:val="44"/>
          <w:lang w:eastAsia="zh-CN"/>
        </w:rPr>
        <w:t>调整</w:t>
      </w:r>
      <w:r>
        <w:rPr>
          <w:rFonts w:hint="eastAsia" w:ascii="方正小标宋_GBK" w:hAnsi="方正小标宋_GBK" w:eastAsia="方正小标宋_GBK" w:cs="方正小标宋_GBK"/>
          <w:sz w:val="44"/>
          <w:szCs w:val="44"/>
        </w:rPr>
        <w:t>方案</w:t>
      </w:r>
      <w:r>
        <w:rPr>
          <w:rFonts w:hint="eastAsia" w:ascii="方正小标宋_GBK" w:hAnsi="方正小标宋_GBK" w:eastAsia="方正小标宋_GBK" w:cs="方正小标宋_GBK"/>
          <w:sz w:val="44"/>
          <w:szCs w:val="44"/>
          <w:lang w:eastAsia="zh-CN"/>
        </w:rPr>
        <w:t>（征求意见稿）</w:t>
      </w:r>
    </w:p>
    <w:p>
      <w:pPr>
        <w:keepNext w:val="0"/>
        <w:keepLines w:val="0"/>
        <w:pageBreakBefore w:val="0"/>
        <w:widowControl/>
        <w:suppressLineNumbers w:val="0"/>
        <w:kinsoku/>
        <w:wordWrap/>
        <w:topLinePunct w:val="0"/>
        <w:autoSpaceDE/>
        <w:autoSpaceDN/>
        <w:bidi w:val="0"/>
        <w:spacing w:before="0" w:beforeAutospacing="0" w:after="0" w:afterAutospacing="0" w:line="560" w:lineRule="exact"/>
        <w:ind w:left="0" w:right="0"/>
        <w:jc w:val="left"/>
        <w:textAlignment w:val="auto"/>
        <w:rPr>
          <w:rFonts w:hint="eastAsia" w:ascii="仿宋" w:hAnsi="仿宋" w:eastAsia="仿宋" w:cs="仿宋"/>
          <w:b w:val="0"/>
          <w:bCs/>
          <w:color w:val="000000"/>
          <w:sz w:val="32"/>
          <w:szCs w:val="32"/>
          <w:shd w:val="clear" w:color="auto" w:fill="FFFFFF"/>
          <w:lang w:val="en-US" w:eastAsia="zh-CN"/>
        </w:rPr>
      </w:pPr>
      <w:r>
        <w:rPr>
          <w:rFonts w:hint="eastAsia" w:ascii="仿宋" w:hAnsi="仿宋" w:eastAsia="仿宋" w:cs="仿宋"/>
          <w:sz w:val="30"/>
          <w:szCs w:val="30"/>
        </w:rPr>
        <w:cr/>
      </w:r>
      <w:r>
        <w:rPr>
          <w:rFonts w:hint="eastAsia" w:ascii="仿宋" w:hAnsi="仿宋" w:eastAsia="仿宋" w:cs="仿宋"/>
          <w:sz w:val="30"/>
          <w:szCs w:val="30"/>
        </w:rPr>
        <w:t xml:space="preserve">   </w:t>
      </w:r>
      <w:r>
        <w:rPr>
          <w:rFonts w:hint="eastAsia" w:ascii="仿宋" w:hAnsi="仿宋" w:eastAsia="仿宋" w:cs="仿宋"/>
          <w:b w:val="0"/>
          <w:bCs/>
          <w:color w:val="000000"/>
          <w:sz w:val="32"/>
          <w:szCs w:val="32"/>
          <w:shd w:val="clear" w:color="auto" w:fill="FFFFFF"/>
          <w:lang w:val="en-US" w:eastAsia="zh-CN"/>
        </w:rPr>
        <w:t>按照《城镇供水价格管理办法》《新疆维吾尔自治区城镇供水价格管理实施细则》相关要求，阿克陶县发改委对</w:t>
      </w:r>
      <w:r>
        <w:rPr>
          <w:rFonts w:hint="eastAsia" w:ascii="方正仿宋_GBK" w:hAnsi="方正仿宋_GBK" w:eastAsia="方正仿宋_GBK" w:cs="方正仿宋_GBK"/>
          <w:kern w:val="2"/>
          <w:sz w:val="32"/>
          <w:szCs w:val="32"/>
          <w:lang w:val="en-US" w:eastAsia="zh-CN" w:bidi="ar-SA"/>
        </w:rPr>
        <w:t>阿克陶县汇泽圆水利建设投资开发有限责任公司2023年至2025年农村饮用水成本费用进行了监审，</w:t>
      </w:r>
      <w:r>
        <w:rPr>
          <w:rFonts w:hint="eastAsia" w:ascii="仿宋" w:hAnsi="仿宋" w:eastAsia="仿宋" w:cs="仿宋"/>
          <w:b w:val="0"/>
          <w:bCs/>
          <w:color w:val="000000"/>
          <w:sz w:val="32"/>
          <w:szCs w:val="32"/>
          <w:shd w:val="clear" w:color="auto" w:fill="FFFFFF"/>
          <w:lang w:val="en-US" w:eastAsia="zh-CN"/>
        </w:rPr>
        <w:t>根据成本监审结</w:t>
      </w:r>
      <w:r>
        <w:rPr>
          <w:rFonts w:hint="eastAsia" w:ascii="方正仿宋_GBK" w:hAnsi="方正仿宋_GBK" w:eastAsia="方正仿宋_GBK" w:cs="方正仿宋_GBK"/>
          <w:kern w:val="2"/>
          <w:sz w:val="32"/>
          <w:szCs w:val="32"/>
          <w:lang w:val="en-US" w:eastAsia="zh-CN" w:bidi="ar-SA"/>
        </w:rPr>
        <w:t>果，县发改委初步拟定了我县农村饮用水供水价格</w:t>
      </w:r>
      <w:r>
        <w:rPr>
          <w:rFonts w:hint="eastAsia" w:ascii="仿宋" w:hAnsi="仿宋" w:eastAsia="仿宋" w:cs="仿宋"/>
          <w:b w:val="0"/>
          <w:bCs/>
          <w:color w:val="000000"/>
          <w:sz w:val="32"/>
          <w:szCs w:val="32"/>
          <w:shd w:val="clear" w:color="auto" w:fill="FFFFFF"/>
          <w:lang w:val="en-US" w:eastAsia="zh-CN"/>
        </w:rPr>
        <w:t>调整方案。</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黑体" w:cs="Times New Roman"/>
          <w:b w:val="0"/>
          <w:bCs/>
          <w:color w:val="000000"/>
          <w:sz w:val="32"/>
          <w:szCs w:val="32"/>
          <w:shd w:val="clear" w:color="auto" w:fill="FFFFFF"/>
          <w:lang w:val="en-US" w:eastAsia="zh-CN"/>
        </w:rPr>
      </w:pPr>
      <w:r>
        <w:rPr>
          <w:rFonts w:hint="eastAsia" w:ascii="Times New Roman" w:hAnsi="Times New Roman" w:eastAsia="黑体" w:cs="Times New Roman"/>
          <w:b w:val="0"/>
          <w:bCs/>
          <w:color w:val="000000"/>
          <w:sz w:val="32"/>
          <w:szCs w:val="32"/>
          <w:shd w:val="clear" w:color="auto" w:fill="FFFFFF"/>
          <w:lang w:val="en-US" w:eastAsia="zh-CN"/>
        </w:rPr>
        <w:t>一、农村饮用水成本监审结论</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jc w:val="left"/>
        <w:textAlignment w:val="baseline"/>
        <w:rPr>
          <w:rFonts w:hint="eastAsia" w:ascii="Times New Roman" w:hAnsi="Times New Roman" w:eastAsia="方正仿宋_GBK" w:cs="Times New Roman"/>
          <w:snapToGrid w:val="0"/>
          <w:color w:val="000000"/>
          <w:spacing w:val="6"/>
          <w:kern w:val="0"/>
          <w:sz w:val="32"/>
          <w:szCs w:val="32"/>
          <w:highlight w:val="none"/>
          <w:lang w:val="en-US" w:eastAsia="zh-CN" w:bidi="ar-SA"/>
        </w:rPr>
      </w:pPr>
      <w:r>
        <w:rPr>
          <w:rFonts w:hint="eastAsia" w:ascii="Times New Roman" w:hAnsi="Times New Roman" w:eastAsia="方正仿宋_GBK" w:cs="Times New Roman"/>
          <w:snapToGrid w:val="0"/>
          <w:color w:val="000000"/>
          <w:spacing w:val="6"/>
          <w:kern w:val="0"/>
          <w:sz w:val="32"/>
          <w:szCs w:val="32"/>
          <w:highlight w:val="none"/>
          <w:lang w:val="en-US" w:eastAsia="zh-CN" w:bidi="ar-SA"/>
        </w:rPr>
        <w:t>2023-2025年阿克陶县汇泽圆水利建设投资开发有限责任公司农村饮用水供水总成本1268.04万元，售水量596.6万立方米，农村饮用水供水单位成本为2.13元/立方米。</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 w:val="0"/>
          <w:bCs/>
          <w:color w:val="000000"/>
          <w:sz w:val="32"/>
          <w:szCs w:val="32"/>
          <w:shd w:val="clear" w:color="auto" w:fill="FFFFFF"/>
          <w:lang w:val="en-US" w:eastAsia="zh-CN"/>
        </w:rPr>
      </w:pPr>
      <w:r>
        <w:rPr>
          <w:rFonts w:hint="eastAsia" w:eastAsia="黑体" w:cs="Times New Roman"/>
          <w:b w:val="0"/>
          <w:bCs/>
          <w:color w:val="000000"/>
          <w:sz w:val="32"/>
          <w:szCs w:val="32"/>
          <w:shd w:val="clear" w:color="auto" w:fill="FFFFFF"/>
          <w:lang w:val="en-US" w:eastAsia="zh-CN"/>
        </w:rPr>
        <w:t>拟定</w:t>
      </w:r>
      <w:r>
        <w:rPr>
          <w:rFonts w:hint="eastAsia" w:ascii="Times New Roman" w:hAnsi="Times New Roman" w:eastAsia="黑体" w:cs="Times New Roman"/>
          <w:b w:val="0"/>
          <w:bCs/>
          <w:color w:val="000000"/>
          <w:sz w:val="32"/>
          <w:szCs w:val="32"/>
          <w:shd w:val="clear" w:color="auto" w:fill="FFFFFF"/>
          <w:lang w:val="en-US" w:eastAsia="zh-CN"/>
        </w:rPr>
        <w:t>调价方案</w:t>
      </w:r>
    </w:p>
    <w:p>
      <w:pPr>
        <w:pStyle w:val="12"/>
        <w:keepNext w:val="0"/>
        <w:keepLines w:val="0"/>
        <w:pageBreakBefore w:val="0"/>
        <w:numPr>
          <w:ilvl w:val="0"/>
          <w:numId w:val="0"/>
        </w:numPr>
        <w:kinsoku/>
        <w:wordWrap/>
        <w:topLinePunct w:val="0"/>
        <w:autoSpaceDE/>
        <w:autoSpaceDN/>
        <w:bidi w:val="0"/>
        <w:spacing w:line="560" w:lineRule="exact"/>
        <w:ind w:firstLine="642" w:firstLineChars="200"/>
        <w:jc w:val="left"/>
        <w:textAlignment w:val="auto"/>
        <w:rPr>
          <w:rFonts w:hint="eastAsia" w:ascii="楷体_GB2312" w:hAnsi="楷体_GB2312" w:eastAsia="楷体_GB2312" w:cs="楷体_GB2312"/>
          <w:b/>
          <w:bCs w:val="0"/>
          <w:color w:val="000000"/>
          <w:kern w:val="2"/>
          <w:sz w:val="32"/>
          <w:szCs w:val="32"/>
          <w:shd w:val="clear" w:color="auto" w:fill="FFFFFF"/>
          <w:lang w:val="en-US" w:eastAsia="zh-CN" w:bidi="ar-SA"/>
        </w:rPr>
      </w:pPr>
      <w:r>
        <w:rPr>
          <w:rFonts w:hint="eastAsia" w:ascii="楷体_GB2312" w:hAnsi="楷体_GB2312" w:eastAsia="楷体_GB2312" w:cs="楷体_GB2312"/>
          <w:b/>
          <w:bCs w:val="0"/>
          <w:color w:val="000000"/>
          <w:kern w:val="2"/>
          <w:sz w:val="32"/>
          <w:szCs w:val="32"/>
          <w:shd w:val="clear" w:color="auto" w:fill="FFFFFF"/>
          <w:lang w:val="en-US" w:eastAsia="zh-CN" w:bidi="ar-SA"/>
        </w:rPr>
        <w:t>（一）基础水价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方正仿宋_GBK" w:cs="Times New Roman"/>
          <w:snapToGrid w:val="0"/>
          <w:color w:val="000000"/>
          <w:spacing w:val="6"/>
          <w:kern w:val="0"/>
          <w:sz w:val="32"/>
          <w:szCs w:val="32"/>
          <w:highlight w:val="none"/>
          <w:lang w:val="en-US" w:eastAsia="zh-CN" w:bidi="ar-SA"/>
        </w:rPr>
      </w:pPr>
      <w:r>
        <w:rPr>
          <w:rFonts w:hint="eastAsia" w:ascii="方正仿宋_GBK" w:hAnsi="方正仿宋_GBK" w:eastAsia="方正仿宋_GBK" w:cs="方正仿宋_GBK"/>
          <w:kern w:val="2"/>
          <w:sz w:val="32"/>
          <w:szCs w:val="32"/>
          <w:lang w:val="en-US" w:eastAsia="zh-CN" w:bidi="ar-SA"/>
        </w:rPr>
        <w:t>按照“准许成本+合理收益”的原则，农村饮用水供水综合成本为2.26元/立方米。</w:t>
      </w:r>
      <w:r>
        <w:rPr>
          <w:rFonts w:hint="eastAsia" w:ascii="Times New Roman" w:hAnsi="Times New Roman" w:eastAsia="方正仿宋_GBK" w:cs="Times New Roman"/>
          <w:snapToGrid w:val="0"/>
          <w:color w:val="000000"/>
          <w:spacing w:val="6"/>
          <w:kern w:val="0"/>
          <w:sz w:val="32"/>
          <w:szCs w:val="32"/>
          <w:highlight w:val="none"/>
          <w:lang w:val="en-US" w:eastAsia="zh-CN" w:bidi="ar-SA"/>
        </w:rPr>
        <w:t>农村饮用水供水价格分为居民生活用水、非居民生活用水、特种用水三类。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64" w:firstLineChars="200"/>
        <w:jc w:val="left"/>
        <w:textAlignment w:val="auto"/>
        <w:rPr>
          <w:rFonts w:hint="eastAsia" w:ascii="微软雅黑" w:hAnsi="微软雅黑" w:eastAsia="微软雅黑" w:cs="微软雅黑"/>
          <w:sz w:val="28"/>
          <w:szCs w:val="28"/>
        </w:rPr>
      </w:pPr>
      <w:r>
        <w:rPr>
          <w:rFonts w:hint="eastAsia" w:ascii="Times New Roman" w:hAnsi="Times New Roman" w:eastAsia="方正仿宋_GBK" w:cs="Times New Roman"/>
          <w:snapToGrid w:val="0"/>
          <w:color w:val="000000"/>
          <w:spacing w:val="6"/>
          <w:kern w:val="0"/>
          <w:sz w:val="32"/>
          <w:szCs w:val="32"/>
          <w:highlight w:val="none"/>
          <w:lang w:val="en-US" w:eastAsia="zh-CN" w:bidi="ar-SA"/>
        </w:rPr>
        <w:t>1.居民生活用水</w:t>
      </w:r>
      <w:r>
        <w:rPr>
          <w:rFonts w:hint="eastAsia" w:ascii="仿宋" w:hAnsi="仿宋" w:eastAsia="仿宋" w:cs="仿宋"/>
          <w:kern w:val="0"/>
          <w:sz w:val="32"/>
          <w:szCs w:val="32"/>
          <w:lang w:val="en-US" w:eastAsia="zh-CN"/>
        </w:rPr>
        <w:t>主要指农村居民家庭日常生活所需用水及散养牲畜等用水（包括学校教学和学生生活用水、养老机构、残疾人托养机构、托育机构等社会福利场所生活用水、宗教场所生活用水、社区组织工作用房和居民公益性服务设施用水）</w:t>
      </w:r>
      <w:r>
        <w:rPr>
          <w:rFonts w:hint="eastAsia" w:ascii="Times New Roman" w:hAnsi="Times New Roman" w:eastAsia="方正仿宋_GBK" w:cs="Times New Roman"/>
          <w:snapToGrid w:val="0"/>
          <w:color w:val="000000"/>
          <w:spacing w:val="6"/>
          <w:kern w:val="0"/>
          <w:sz w:val="32"/>
          <w:szCs w:val="32"/>
          <w:highlight w:val="none"/>
          <w:lang w:val="en-US" w:eastAsia="zh-CN" w:bidi="ar-SA"/>
        </w:rPr>
        <w:t>。</w:t>
      </w:r>
      <w:r>
        <w:rPr>
          <w:rFonts w:hint="eastAsia" w:ascii="仿宋" w:hAnsi="仿宋" w:eastAsia="仿宋" w:cs="仿宋"/>
          <w:kern w:val="0"/>
          <w:sz w:val="32"/>
          <w:szCs w:val="32"/>
          <w:lang w:val="en-US" w:eastAsia="zh-CN"/>
        </w:rPr>
        <w:t>目前执行价1.5元/立方米，调整为供水价格2.14元/立方米。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64" w:firstLineChars="200"/>
        <w:jc w:val="left"/>
        <w:textAlignment w:val="auto"/>
        <w:rPr>
          <w:rFonts w:hint="eastAsia" w:ascii="仿宋" w:hAnsi="仿宋" w:eastAsia="仿宋" w:cs="仿宋"/>
          <w:kern w:val="0"/>
          <w:sz w:val="32"/>
          <w:szCs w:val="32"/>
          <w:lang w:val="en-US" w:eastAsia="zh-CN"/>
        </w:rPr>
      </w:pPr>
      <w:r>
        <w:rPr>
          <w:rFonts w:hint="eastAsia" w:ascii="Times New Roman" w:hAnsi="Times New Roman" w:eastAsia="方正仿宋_GBK" w:cs="Times New Roman"/>
          <w:snapToGrid w:val="0"/>
          <w:color w:val="000000"/>
          <w:spacing w:val="6"/>
          <w:kern w:val="0"/>
          <w:sz w:val="32"/>
          <w:szCs w:val="32"/>
          <w:highlight w:val="none"/>
          <w:lang w:val="en-US" w:eastAsia="zh-CN" w:bidi="ar-SA"/>
        </w:rPr>
        <w:t>2.非居民生活用水</w:t>
      </w:r>
      <w:r>
        <w:rPr>
          <w:rFonts w:hint="eastAsia" w:ascii="仿宋" w:hAnsi="仿宋" w:eastAsia="仿宋" w:cs="仿宋"/>
          <w:kern w:val="0"/>
          <w:sz w:val="32"/>
          <w:szCs w:val="32"/>
          <w:lang w:val="en-US" w:eastAsia="zh-CN"/>
        </w:rPr>
        <w:t>主要指工业、餐饮、美容美发等经营服务用水和行政事业单位用水、市政用水（环卫、绿化）、生态用水、消防用水等。目前执行价2元/立方米，调整为供水价格2.94元/立方米。</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64" w:firstLineChars="200"/>
        <w:jc w:val="both"/>
        <w:textAlignment w:val="auto"/>
        <w:rPr>
          <w:rFonts w:hint="eastAsia" w:ascii="仿宋" w:hAnsi="仿宋" w:eastAsia="仿宋" w:cs="仿宋"/>
          <w:kern w:val="0"/>
          <w:sz w:val="32"/>
          <w:szCs w:val="32"/>
          <w:lang w:val="en-US" w:eastAsia="zh-CN"/>
        </w:rPr>
      </w:pPr>
      <w:r>
        <w:rPr>
          <w:rFonts w:hint="eastAsia" w:ascii="Times New Roman" w:hAnsi="Times New Roman" w:eastAsia="方正仿宋_GBK" w:cs="Times New Roman"/>
          <w:snapToGrid w:val="0"/>
          <w:color w:val="000000"/>
          <w:spacing w:val="6"/>
          <w:kern w:val="0"/>
          <w:sz w:val="32"/>
          <w:szCs w:val="32"/>
          <w:highlight w:val="none"/>
          <w:lang w:val="en-US" w:eastAsia="zh-CN" w:bidi="ar-SA"/>
        </w:rPr>
        <w:t>3.特种用水</w:t>
      </w:r>
      <w:r>
        <w:rPr>
          <w:rFonts w:hint="eastAsia" w:ascii="仿宋" w:hAnsi="仿宋" w:eastAsia="仿宋" w:cs="仿宋"/>
          <w:kern w:val="0"/>
          <w:sz w:val="32"/>
          <w:szCs w:val="32"/>
          <w:lang w:val="en-US" w:eastAsia="zh-CN"/>
        </w:rPr>
        <w:t>主要包括洗车、以自来水为原料的纯净水生产、游泳馆、桑拿、足浴等洗浴用水和高尔夫球场用水等</w:t>
      </w:r>
      <w:r>
        <w:rPr>
          <w:rFonts w:hint="eastAsia" w:ascii="微软雅黑" w:hAnsi="微软雅黑" w:eastAsia="微软雅黑" w:cs="微软雅黑"/>
          <w:i w:val="0"/>
          <w:iCs w:val="0"/>
          <w:caps w:val="0"/>
          <w:color w:val="333333"/>
          <w:spacing w:val="0"/>
          <w:sz w:val="28"/>
          <w:szCs w:val="28"/>
        </w:rPr>
        <w:t>。</w:t>
      </w:r>
      <w:r>
        <w:rPr>
          <w:rFonts w:hint="eastAsia" w:ascii="仿宋" w:hAnsi="仿宋" w:eastAsia="仿宋" w:cs="仿宋"/>
          <w:kern w:val="0"/>
          <w:sz w:val="32"/>
          <w:szCs w:val="32"/>
          <w:lang w:val="en-US" w:eastAsia="zh-CN"/>
        </w:rPr>
        <w:t xml:space="preserve">目前执行价3元/立方米，调整为供水价格4.44元/立方米。 </w:t>
      </w:r>
    </w:p>
    <w:p>
      <w:pPr>
        <w:pStyle w:val="12"/>
        <w:keepNext w:val="0"/>
        <w:keepLines w:val="0"/>
        <w:pageBreakBefore w:val="0"/>
        <w:widowControl w:val="0"/>
        <w:kinsoku/>
        <w:wordWrap/>
        <w:overflowPunct w:val="0"/>
        <w:topLinePunct w:val="0"/>
        <w:autoSpaceDE/>
        <w:autoSpaceDN/>
        <w:bidi w:val="0"/>
        <w:adjustRightInd w:val="0"/>
        <w:snapToGrid w:val="0"/>
        <w:spacing w:line="560" w:lineRule="exact"/>
        <w:jc w:val="left"/>
        <w:textAlignment w:val="auto"/>
        <w:rPr>
          <w:rFonts w:hint="eastAsia" w:ascii="Times New Roman" w:hAnsi="Times New Roman" w:eastAsia="方正仿宋_GBK" w:cs="Times New Roman"/>
          <w:snapToGrid w:val="0"/>
          <w:color w:val="000000"/>
          <w:spacing w:val="6"/>
          <w:kern w:val="0"/>
          <w:sz w:val="44"/>
          <w:szCs w:val="44"/>
          <w:highlight w:val="none"/>
          <w:lang w:val="en-US" w:eastAsia="zh-CN" w:bidi="ar-SA"/>
        </w:rPr>
      </w:pPr>
      <w:r>
        <w:rPr>
          <w:rFonts w:hint="eastAsia" w:ascii="仿宋" w:hAnsi="仿宋" w:eastAsia="仿宋" w:cs="仿宋"/>
          <w:kern w:val="0"/>
          <w:sz w:val="32"/>
          <w:szCs w:val="32"/>
          <w:lang w:val="en-US" w:eastAsia="zh-CN"/>
        </w:rPr>
        <w:t xml:space="preserve">   </w:t>
      </w:r>
      <w:r>
        <w:rPr>
          <w:rFonts w:hint="eastAsia" w:ascii="Times New Roman" w:hAnsi="Times New Roman" w:eastAsia="方正仿宋_GBK" w:cs="Times New Roman"/>
          <w:snapToGrid w:val="0"/>
          <w:color w:val="000000"/>
          <w:spacing w:val="6"/>
          <w:kern w:val="0"/>
          <w:sz w:val="32"/>
          <w:szCs w:val="32"/>
          <w:highlight w:val="none"/>
          <w:lang w:val="en-US" w:eastAsia="zh-CN" w:bidi="ar-SA"/>
        </w:rPr>
        <w:t>水资源税征收标准按《关于新疆维吾尔自治区水资源税改革试点有关事项的通知》（新财法税〔2024〕9号）相关标准区分取水水源执行。即农村人口生活用水的集中饮水工程取用地表水按0.03元/立方米执行，地下水按0.05元/立方米执行。</w:t>
      </w:r>
    </w:p>
    <w:tbl>
      <w:tblPr>
        <w:tblStyle w:val="15"/>
        <w:tblW w:w="9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2"/>
        <w:gridCol w:w="3123"/>
        <w:gridCol w:w="1016"/>
        <w:gridCol w:w="995"/>
        <w:gridCol w:w="1038"/>
        <w:gridCol w:w="1206"/>
        <w:gridCol w:w="1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9460" w:type="dxa"/>
            <w:gridSpan w:val="7"/>
            <w:tcBorders>
              <w:top w:val="nil"/>
              <w:left w:val="nil"/>
              <w:bottom w:val="nil"/>
              <w:right w:val="nil"/>
            </w:tcBorders>
            <w:noWrap/>
            <w:vAlign w:val="center"/>
          </w:tcPr>
          <w:p>
            <w:pPr>
              <w:keepNext w:val="0"/>
              <w:keepLines w:val="0"/>
              <w:widowControl/>
              <w:suppressLineNumbers w:val="0"/>
              <w:jc w:val="center"/>
              <w:textAlignment w:val="center"/>
              <w:rPr>
                <w:rFonts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阿克陶县农村饮用水基础水价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nil"/>
              <w:left w:val="nil"/>
              <w:bottom w:val="nil"/>
              <w:right w:val="nil"/>
            </w:tcBorders>
            <w:noWrap/>
            <w:vAlign w:val="center"/>
          </w:tcPr>
          <w:p>
            <w:pPr>
              <w:rPr>
                <w:rFonts w:hint="eastAsia" w:ascii="方正仿宋_GBK" w:hAnsi="方正仿宋_GBK" w:eastAsia="方正仿宋_GBK" w:cs="方正仿宋_GBK"/>
                <w:b/>
                <w:bCs/>
                <w:i w:val="0"/>
                <w:iCs w:val="0"/>
                <w:color w:val="000000"/>
                <w:sz w:val="20"/>
                <w:szCs w:val="20"/>
                <w:u w:val="none"/>
              </w:rPr>
            </w:pPr>
          </w:p>
        </w:tc>
        <w:tc>
          <w:tcPr>
            <w:tcW w:w="0" w:type="auto"/>
            <w:tcBorders>
              <w:top w:val="nil"/>
              <w:left w:val="nil"/>
              <w:bottom w:val="nil"/>
              <w:right w:val="nil"/>
            </w:tcBorders>
            <w:noWrap/>
            <w:vAlign w:val="center"/>
          </w:tcPr>
          <w:p>
            <w:pPr>
              <w:rPr>
                <w:rFonts w:hint="eastAsia" w:ascii="方正仿宋_GBK" w:hAnsi="方正仿宋_GBK" w:eastAsia="方正仿宋_GBK" w:cs="方正仿宋_GBK"/>
                <w:b/>
                <w:bCs/>
                <w:i w:val="0"/>
                <w:iCs w:val="0"/>
                <w:color w:val="000000"/>
                <w:sz w:val="20"/>
                <w:szCs w:val="20"/>
                <w:u w:val="none"/>
              </w:rPr>
            </w:pPr>
          </w:p>
        </w:tc>
        <w:tc>
          <w:tcPr>
            <w:tcW w:w="0" w:type="auto"/>
            <w:tcBorders>
              <w:top w:val="nil"/>
              <w:left w:val="nil"/>
              <w:bottom w:val="nil"/>
              <w:right w:val="nil"/>
            </w:tcBorders>
            <w:noWrap/>
            <w:vAlign w:val="center"/>
          </w:tcPr>
          <w:p>
            <w:pPr>
              <w:rPr>
                <w:rFonts w:hint="eastAsia" w:ascii="方正仿宋_GBK" w:hAnsi="方正仿宋_GBK" w:eastAsia="方正仿宋_GBK" w:cs="方正仿宋_GBK"/>
                <w:b/>
                <w:bCs/>
                <w:i w:val="0"/>
                <w:iCs w:val="0"/>
                <w:color w:val="000000"/>
                <w:sz w:val="20"/>
                <w:szCs w:val="20"/>
                <w:u w:val="none"/>
              </w:rPr>
            </w:pPr>
          </w:p>
        </w:tc>
        <w:tc>
          <w:tcPr>
            <w:tcW w:w="0" w:type="auto"/>
            <w:tcBorders>
              <w:top w:val="nil"/>
              <w:left w:val="nil"/>
              <w:bottom w:val="nil"/>
              <w:right w:val="nil"/>
            </w:tcBorders>
            <w:noWrap/>
            <w:vAlign w:val="center"/>
          </w:tcPr>
          <w:p>
            <w:pPr>
              <w:rPr>
                <w:rFonts w:hint="eastAsia" w:ascii="方正仿宋_GBK" w:hAnsi="方正仿宋_GBK" w:eastAsia="方正仿宋_GBK" w:cs="方正仿宋_GBK"/>
                <w:b/>
                <w:bCs/>
                <w:i w:val="0"/>
                <w:iCs w:val="0"/>
                <w:color w:val="000000"/>
                <w:sz w:val="20"/>
                <w:szCs w:val="20"/>
                <w:u w:val="none"/>
              </w:rPr>
            </w:pPr>
          </w:p>
        </w:tc>
        <w:tc>
          <w:tcPr>
            <w:tcW w:w="0" w:type="auto"/>
            <w:gridSpan w:val="2"/>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单位：元/立方米</w:t>
            </w:r>
          </w:p>
        </w:tc>
        <w:tc>
          <w:tcPr>
            <w:tcW w:w="0" w:type="auto"/>
            <w:tcBorders>
              <w:top w:val="nil"/>
              <w:left w:val="nil"/>
              <w:bottom w:val="nil"/>
              <w:right w:val="nil"/>
            </w:tcBorders>
            <w:noWrap/>
            <w:vAlign w:val="center"/>
          </w:tcPr>
          <w:p>
            <w:pP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用水分类</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供水价格</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取用地表水水资源税</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取用地下水水资源税</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取用地表水到户综合水价</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取用地下水到户综合水价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1" w:hRule="atLeast"/>
        </w:trPr>
        <w:tc>
          <w:tcPr>
            <w:tcW w:w="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居民生活用水</w:t>
            </w:r>
          </w:p>
        </w:tc>
        <w:tc>
          <w:tcPr>
            <w:tcW w:w="3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主要指城镇居民住宅家庭的日常生活用水（包括学校教学和学生生活用水、养老机构、残疾人托养机构、托育机构等社会福利场所生活用水、宗教场所生活用水、社区组织工作用房和居民公益性服务设施用水）</w:t>
            </w:r>
          </w:p>
        </w:tc>
        <w:tc>
          <w:tcPr>
            <w:tcW w:w="10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2.14</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0.03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0.05</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2.17</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非居民用水</w:t>
            </w:r>
          </w:p>
        </w:tc>
        <w:tc>
          <w:tcPr>
            <w:tcW w:w="3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主要指工业、餐饮、美容美发等经营服务用水和行政事业单位用水、市政用水（环卫、绿化）、生态用水、消防用水等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2.94</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0.03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0.05</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2.97</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特种用水</w:t>
            </w:r>
          </w:p>
        </w:tc>
        <w:tc>
          <w:tcPr>
            <w:tcW w:w="3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主要包括洗车、以自来水为原料的纯净水生产、游泳馆、桑拿、足浴等洗浴用水和高尔夫球场用水等</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4.44</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0.03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0.05</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4.47</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4.49</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注：1.城市供水到户综合水价由供水价格（阶梯水价或超定额累进加价）、水资源税两部分构成。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 xml:space="preserve">      2.定额内农村供水到户价计算公式为:实交总水费=（供水价格+水资源税）×水量。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 xml:space="preserve">      3.水资源税按《关于新疆维吾尔自治区水资源税改革试点有关事项的通知》（新财法税〔2024〕9号）相关标准区分取水水源执行，即农村人口生活用水的集中饮水工程取用地表水按0.03元/立方米执行，取用地下水按0.05元/立方米执行。</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line="400" w:lineRule="exact"/>
        <w:ind w:firstLine="480" w:firstLineChars="200"/>
        <w:jc w:val="both"/>
        <w:textAlignment w:val="auto"/>
        <w:rPr>
          <w:rFonts w:hint="default" w:ascii="方正仿宋_GBK" w:hAnsi="方正仿宋_GBK" w:eastAsia="方正仿宋_GBK" w:cs="方正仿宋_GBK"/>
          <w:kern w:val="2"/>
          <w:sz w:val="24"/>
          <w:szCs w:val="28"/>
          <w:lang w:val="en-US" w:eastAsia="zh-CN" w:bidi="ar-SA"/>
        </w:rPr>
      </w:pPr>
      <w:r>
        <w:rPr>
          <w:rFonts w:hint="eastAsia" w:ascii="方正仿宋_GBK" w:hAnsi="方正仿宋_GBK" w:eastAsia="方正仿宋_GBK" w:cs="方正仿宋_GBK"/>
          <w:sz w:val="24"/>
          <w:szCs w:val="28"/>
          <w:lang w:val="en-US" w:eastAsia="zh-CN"/>
        </w:rPr>
        <w:t xml:space="preserve">  4.</w:t>
      </w:r>
      <w:r>
        <w:rPr>
          <w:rFonts w:hint="eastAsia" w:ascii="方正仿宋_GBK" w:hAnsi="方正仿宋_GBK" w:eastAsia="方正仿宋_GBK" w:cs="方正仿宋_GBK"/>
          <w:kern w:val="2"/>
          <w:sz w:val="24"/>
          <w:szCs w:val="28"/>
          <w:lang w:val="en-US" w:eastAsia="zh-CN" w:bidi="ar-SA"/>
        </w:rPr>
        <w:t>以上未包括的行业用水划分，由供水行政主管部门会同同级价格主管部门结合实际情况确定。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color w:val="000000"/>
          <w:sz w:val="32"/>
          <w:szCs w:val="32"/>
          <w:shd w:val="clear" w:color="auto" w:fill="FFFFFF"/>
          <w:lang w:val="en-US" w:eastAsia="zh-CN"/>
        </w:rPr>
      </w:pPr>
      <w:r>
        <w:rPr>
          <w:rFonts w:hint="eastAsia" w:ascii="楷体_GB2312" w:hAnsi="楷体_GB2312" w:eastAsia="楷体_GB2312" w:cs="楷体_GB2312"/>
          <w:b/>
          <w:bCs w:val="0"/>
          <w:color w:val="000000"/>
          <w:sz w:val="32"/>
          <w:szCs w:val="32"/>
          <w:shd w:val="clear" w:color="auto" w:fill="FFFFFF"/>
          <w:lang w:val="en-US" w:eastAsia="zh-CN"/>
        </w:rPr>
        <w:t>（二）实行居民用水阶梯水价制度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480"/>
        <w:jc w:val="left"/>
        <w:textAlignment w:val="auto"/>
        <w:rPr>
          <w:rFonts w:hint="eastAsia" w:ascii="仿宋" w:hAnsi="仿宋" w:eastAsia="仿宋" w:cs="仿宋"/>
          <w:b w:val="0"/>
          <w:bCs/>
          <w:color w:val="000000"/>
          <w:sz w:val="32"/>
          <w:szCs w:val="32"/>
          <w:shd w:val="clear" w:color="auto" w:fill="FFFFFF"/>
          <w:lang w:val="en-US" w:eastAsia="zh-CN"/>
        </w:rPr>
      </w:pPr>
      <w:r>
        <w:rPr>
          <w:rFonts w:hint="eastAsia" w:ascii="仿宋" w:hAnsi="仿宋" w:eastAsia="仿宋" w:cs="仿宋"/>
          <w:b w:val="0"/>
          <w:bCs/>
          <w:color w:val="000000"/>
          <w:sz w:val="32"/>
          <w:szCs w:val="32"/>
          <w:shd w:val="clear" w:color="auto" w:fill="FFFFFF"/>
          <w:lang w:val="en-US" w:eastAsia="zh-CN"/>
        </w:rPr>
        <w:t>按照自治区人民政府办公厅转发自治区发展改革委 财政厅 水利厅 住房城乡建设厅《关于推进自治区水价综合改革实施意见的通知》（新政办发〔2012〕129号）和《关于推进我区城镇居民用水阶梯价格制度的实施意见》（新政办发〔2017〕198号）文件规定，实行居民用水阶梯水价制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480"/>
        <w:jc w:val="left"/>
        <w:textAlignment w:val="auto"/>
        <w:rPr>
          <w:rFonts w:hint="eastAsia" w:ascii="仿宋" w:hAnsi="仿宋" w:eastAsia="仿宋" w:cs="仿宋"/>
          <w:b w:val="0"/>
          <w:bCs/>
          <w:color w:val="000000"/>
          <w:sz w:val="32"/>
          <w:szCs w:val="32"/>
          <w:shd w:val="clear" w:color="auto" w:fill="FFFFFF"/>
          <w:lang w:val="en-US" w:eastAsia="zh-CN"/>
        </w:rPr>
      </w:pPr>
      <w:r>
        <w:rPr>
          <w:rFonts w:hint="eastAsia" w:ascii="仿宋" w:hAnsi="仿宋" w:eastAsia="仿宋" w:cs="仿宋"/>
          <w:b/>
          <w:bCs w:val="0"/>
          <w:color w:val="000000"/>
          <w:sz w:val="32"/>
          <w:szCs w:val="32"/>
          <w:shd w:val="clear" w:color="auto" w:fill="FFFFFF"/>
          <w:lang w:val="en-US" w:eastAsia="zh-CN"/>
        </w:rPr>
        <w:t>1.居民用水阶梯水价实施范围。</w:t>
      </w:r>
      <w:r>
        <w:rPr>
          <w:rFonts w:hint="eastAsia" w:ascii="仿宋" w:hAnsi="仿宋" w:eastAsia="仿宋" w:cs="仿宋"/>
          <w:b w:val="0"/>
          <w:bCs/>
          <w:color w:val="000000"/>
          <w:sz w:val="32"/>
          <w:szCs w:val="32"/>
          <w:shd w:val="clear" w:color="auto" w:fill="FFFFFF"/>
          <w:lang w:val="en-US" w:eastAsia="zh-CN"/>
        </w:rPr>
        <w:t>凡是由阿克陶县</w:t>
      </w:r>
      <w:r>
        <w:rPr>
          <w:rFonts w:hint="eastAsia" w:ascii="方正仿宋_GBK" w:hAnsi="方正仿宋_GBK" w:eastAsia="方正仿宋_GBK" w:cs="方正仿宋_GBK"/>
          <w:kern w:val="2"/>
          <w:sz w:val="32"/>
          <w:szCs w:val="32"/>
          <w:lang w:val="en-US" w:eastAsia="zh-CN" w:bidi="ar-SA"/>
        </w:rPr>
        <w:t>汇泽圆水利建设投资开发有限责任公司农村集中供水管网</w:t>
      </w:r>
      <w:r>
        <w:rPr>
          <w:rFonts w:hint="eastAsia" w:ascii="仿宋" w:hAnsi="仿宋" w:eastAsia="仿宋" w:cs="仿宋"/>
          <w:b w:val="0"/>
          <w:bCs/>
          <w:color w:val="000000"/>
          <w:sz w:val="32"/>
          <w:szCs w:val="32"/>
          <w:shd w:val="clear" w:color="auto" w:fill="FFFFFF"/>
          <w:lang w:val="en-US" w:eastAsia="zh-CN"/>
        </w:rPr>
        <w:t>供水范围内实行“一户一表”的农村居民用户（居民用户原则上以住宅为单位，一个房产证明对应的住宅为一“户”）执行阶梯水价。对未实行“一户一表”的居民合表用户和执行居民水价的非居民用户（如学校、幼儿园、社会福利机构、养老机构等），暂不执行居民用水阶梯水价，按第一档阶梯水价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 w:hAnsi="仿宋" w:eastAsia="仿宋" w:cs="仿宋"/>
          <w:b w:val="0"/>
          <w:bCs/>
          <w:color w:val="000000"/>
          <w:sz w:val="32"/>
          <w:szCs w:val="32"/>
          <w:shd w:val="clear" w:color="auto" w:fill="FFFFFF"/>
          <w:lang w:val="en-US" w:eastAsia="zh-CN"/>
        </w:rPr>
      </w:pPr>
      <w:r>
        <w:rPr>
          <w:rFonts w:hint="eastAsia" w:ascii="仿宋" w:hAnsi="仿宋" w:eastAsia="仿宋" w:cs="仿宋"/>
          <w:b/>
          <w:bCs w:val="0"/>
          <w:color w:val="000000"/>
          <w:sz w:val="32"/>
          <w:szCs w:val="32"/>
          <w:shd w:val="clear" w:color="auto" w:fill="FFFFFF"/>
          <w:lang w:val="en-US" w:eastAsia="zh-CN"/>
        </w:rPr>
        <w:t>2.居民用水阶梯水量、水价。</w:t>
      </w:r>
      <w:r>
        <w:rPr>
          <w:rFonts w:hint="eastAsia" w:ascii="仿宋" w:hAnsi="仿宋" w:eastAsia="仿宋" w:cs="仿宋"/>
          <w:b w:val="0"/>
          <w:bCs/>
          <w:color w:val="000000"/>
          <w:sz w:val="32"/>
          <w:szCs w:val="32"/>
          <w:shd w:val="clear" w:color="auto" w:fill="FFFFFF"/>
          <w:lang w:val="en-US" w:eastAsia="zh-CN"/>
        </w:rPr>
        <w:t>居民用水阶梯水价分为三档，采用按户定量的方式（服务范围至用户终端），以每户5口人测算，每人每月人均用水量2.6立方米作为定量基数（基本水量），阶梯水价</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设置三级，价差按规定价格的1：1.5：2执行，当年用水量累计达到各阶梯水量上限后，超出部分执行下一阶梯水价，即：第一阶梯年用水量</w:t>
      </w:r>
      <w:r>
        <w:rPr>
          <w:rFonts w:hint="eastAsia" w:ascii="Times New Roman" w:hAnsi="Times New Roman" w:eastAsia="å¾®è½¯é›…é»‘" w:cs="Times New Roman"/>
          <w:i w:val="0"/>
          <w:iCs w:val="0"/>
          <w:caps w:val="0"/>
          <w:color w:val="000000"/>
          <w:spacing w:val="0"/>
          <w:kern w:val="0"/>
          <w:sz w:val="32"/>
          <w:szCs w:val="32"/>
          <w:shd w:val="clear" w:color="auto" w:fill="FFFFFF"/>
          <w:lang w:val="en-US" w:eastAsia="zh-CN" w:bidi="ar"/>
        </w:rPr>
        <w:t>156</w:t>
      </w:r>
      <w:r>
        <w:rPr>
          <w:rFonts w:hint="default" w:ascii="Times New Roman" w:hAnsi="Times New Roman" w:eastAsia="å¾®è½¯é›…é»‘" w:cs="Times New Roman"/>
          <w:i w:val="0"/>
          <w:iCs w:val="0"/>
          <w:caps w:val="0"/>
          <w:color w:val="000000"/>
          <w:spacing w:val="0"/>
          <w:kern w:val="0"/>
          <w:sz w:val="32"/>
          <w:szCs w:val="32"/>
          <w:shd w:val="clear" w:color="auto" w:fill="FFFFFF"/>
          <w:lang w:val="en-US" w:eastAsia="zh-CN" w:bidi="ar"/>
        </w:rPr>
        <w:t>m³</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（含）及以下，</w:t>
      </w:r>
      <w:r>
        <w:rPr>
          <w:rFonts w:hint="eastAsia" w:ascii="仿宋" w:hAnsi="仿宋" w:eastAsia="仿宋" w:cs="仿宋"/>
          <w:b w:val="0"/>
          <w:bCs/>
          <w:color w:val="000000"/>
          <w:sz w:val="32"/>
          <w:szCs w:val="32"/>
          <w:shd w:val="clear" w:color="auto" w:fill="FFFFFF"/>
          <w:lang w:val="en-US" w:eastAsia="zh-CN"/>
        </w:rPr>
        <w:t>执行2.14元/立方米</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；第二阶梯年用水量为</w:t>
      </w:r>
      <w:r>
        <w:rPr>
          <w:rFonts w:hint="eastAsia" w:ascii="Times New Roman" w:hAnsi="Times New Roman" w:eastAsia="å¾®è½¯é›…é»‘" w:cs="Times New Roman"/>
          <w:i w:val="0"/>
          <w:iCs w:val="0"/>
          <w:caps w:val="0"/>
          <w:color w:val="000000"/>
          <w:spacing w:val="0"/>
          <w:kern w:val="0"/>
          <w:sz w:val="32"/>
          <w:szCs w:val="32"/>
          <w:shd w:val="clear" w:color="auto" w:fill="FFFFFF"/>
          <w:lang w:val="en-US" w:eastAsia="zh-CN" w:bidi="ar"/>
        </w:rPr>
        <w:t>156</w:t>
      </w:r>
      <w:r>
        <w:rPr>
          <w:rFonts w:hint="default" w:ascii="Times New Roman" w:hAnsi="Times New Roman" w:eastAsia="å¾®è½¯é›…é»‘" w:cs="Times New Roman"/>
          <w:i w:val="0"/>
          <w:iCs w:val="0"/>
          <w:caps w:val="0"/>
          <w:color w:val="000000"/>
          <w:spacing w:val="0"/>
          <w:kern w:val="0"/>
          <w:sz w:val="32"/>
          <w:szCs w:val="32"/>
          <w:shd w:val="clear" w:color="auto" w:fill="FFFFFF"/>
          <w:lang w:val="en-US" w:eastAsia="zh-CN" w:bidi="ar"/>
        </w:rPr>
        <w:t>m³</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以上至</w:t>
      </w:r>
      <w:r>
        <w:rPr>
          <w:rFonts w:hint="eastAsia" w:ascii="Times New Roman" w:hAnsi="Times New Roman" w:eastAsia="å¾®è½¯é›…é»‘" w:cs="Times New Roman"/>
          <w:i w:val="0"/>
          <w:iCs w:val="0"/>
          <w:caps w:val="0"/>
          <w:color w:val="000000"/>
          <w:spacing w:val="0"/>
          <w:kern w:val="0"/>
          <w:sz w:val="32"/>
          <w:szCs w:val="32"/>
          <w:shd w:val="clear" w:color="auto" w:fill="FFFFFF"/>
          <w:lang w:val="en-US" w:eastAsia="zh-CN" w:bidi="ar"/>
        </w:rPr>
        <w:t>258</w:t>
      </w:r>
      <w:r>
        <w:rPr>
          <w:rFonts w:hint="default" w:ascii="Times New Roman" w:hAnsi="Times New Roman" w:eastAsia="å¾®è½¯é›…é»‘" w:cs="Times New Roman"/>
          <w:i w:val="0"/>
          <w:iCs w:val="0"/>
          <w:caps w:val="0"/>
          <w:color w:val="000000"/>
          <w:spacing w:val="0"/>
          <w:kern w:val="0"/>
          <w:sz w:val="32"/>
          <w:szCs w:val="32"/>
          <w:shd w:val="clear" w:color="auto" w:fill="FFFFFF"/>
          <w:lang w:val="en-US" w:eastAsia="zh-CN" w:bidi="ar"/>
        </w:rPr>
        <w:t>m³</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（含）之间的水量，</w:t>
      </w:r>
      <w:r>
        <w:rPr>
          <w:rFonts w:hint="eastAsia" w:ascii="仿宋" w:hAnsi="仿宋" w:eastAsia="仿宋" w:cs="仿宋"/>
          <w:b w:val="0"/>
          <w:bCs/>
          <w:color w:val="000000"/>
          <w:sz w:val="32"/>
          <w:szCs w:val="32"/>
          <w:shd w:val="clear" w:color="auto" w:fill="FFFFFF"/>
          <w:lang w:val="en-US" w:eastAsia="zh-CN"/>
        </w:rPr>
        <w:t>执行3.21元/立方米；</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第三阶梯年用水量</w:t>
      </w:r>
      <w:r>
        <w:rPr>
          <w:rFonts w:hint="eastAsia" w:ascii="Times New Roman" w:hAnsi="Times New Roman" w:eastAsia="å¾®è½¯é›…é»‘" w:cs="Times New Roman"/>
          <w:i w:val="0"/>
          <w:iCs w:val="0"/>
          <w:caps w:val="0"/>
          <w:color w:val="000000"/>
          <w:spacing w:val="0"/>
          <w:kern w:val="0"/>
          <w:sz w:val="32"/>
          <w:szCs w:val="32"/>
          <w:shd w:val="clear" w:color="auto" w:fill="FFFFFF"/>
          <w:lang w:val="en-US" w:eastAsia="zh-CN" w:bidi="ar"/>
        </w:rPr>
        <w:t>258</w:t>
      </w:r>
      <w:r>
        <w:rPr>
          <w:rFonts w:hint="default" w:ascii="Times New Roman" w:hAnsi="Times New Roman" w:eastAsia="å¾®è½¯é›…é»‘" w:cs="Times New Roman"/>
          <w:i w:val="0"/>
          <w:iCs w:val="0"/>
          <w:caps w:val="0"/>
          <w:color w:val="000000"/>
          <w:spacing w:val="0"/>
          <w:kern w:val="0"/>
          <w:sz w:val="32"/>
          <w:szCs w:val="32"/>
          <w:shd w:val="clear" w:color="auto" w:fill="FFFFFF"/>
          <w:lang w:val="en-US" w:eastAsia="zh-CN" w:bidi="ar"/>
        </w:rPr>
        <w:t>m³</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以上，</w:t>
      </w:r>
      <w:r>
        <w:rPr>
          <w:rFonts w:hint="eastAsia" w:ascii="仿宋" w:hAnsi="仿宋" w:eastAsia="仿宋" w:cs="仿宋"/>
          <w:b w:val="0"/>
          <w:bCs/>
          <w:color w:val="000000"/>
          <w:sz w:val="32"/>
          <w:szCs w:val="32"/>
          <w:shd w:val="clear" w:color="auto" w:fill="FFFFFF"/>
          <w:lang w:val="en-US" w:eastAsia="zh-CN"/>
        </w:rPr>
        <w:t>执行4.28元/立方米。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对超过户均人口数的家庭，可按户籍证明或暂住证明标注的人口数量每增加1人相应增加1个水量基数（即2.6</w:t>
      </w:r>
      <w:r>
        <w:rPr>
          <w:rFonts w:hint="default" w:ascii="仿宋" w:hAnsi="仿宋" w:eastAsia="仿宋" w:cs="仿宋"/>
          <w:kern w:val="0"/>
          <w:sz w:val="32"/>
          <w:szCs w:val="32"/>
          <w:lang w:val="en-US" w:eastAsia="zh-CN"/>
        </w:rPr>
        <w:t>m³</w:t>
      </w:r>
      <w:r>
        <w:rPr>
          <w:rFonts w:hint="eastAsia" w:ascii="仿宋" w:hAnsi="仿宋" w:eastAsia="仿宋" w:cs="仿宋"/>
          <w:kern w:val="0"/>
          <w:sz w:val="32"/>
          <w:szCs w:val="32"/>
          <w:lang w:val="en-US" w:eastAsia="zh-CN"/>
        </w:rPr>
        <w:t>/月）。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 w:hAnsi="仿宋" w:eastAsia="仿宋" w:cs="仿宋"/>
          <w:b w:val="0"/>
          <w:bCs/>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24"/>
          <w:lang w:val="en-US" w:eastAsia="zh-CN" w:bidi="ar-SA"/>
        </w:rPr>
        <w:t>3.计费周期。</w:t>
      </w:r>
      <w:r>
        <w:rPr>
          <w:rFonts w:hint="eastAsia" w:ascii="仿宋" w:hAnsi="仿宋" w:eastAsia="仿宋" w:cs="仿宋"/>
          <w:b w:val="0"/>
          <w:bCs/>
          <w:color w:val="000000"/>
          <w:kern w:val="2"/>
          <w:sz w:val="32"/>
          <w:szCs w:val="32"/>
          <w:shd w:val="clear" w:color="auto" w:fill="FFFFFF"/>
          <w:lang w:val="en-US" w:eastAsia="zh-CN" w:bidi="ar-SA"/>
        </w:rPr>
        <w:t>居民用水阶梯价格结算周期以年为单位，起始时间为每年1月1日至12月31日，不同周期用水量不累计、不结转。</w:t>
      </w:r>
      <w:r>
        <w:rPr>
          <w:rFonts w:hint="eastAsia" w:ascii="仿宋" w:hAnsi="仿宋" w:eastAsia="仿宋" w:cs="仿宋"/>
          <w:kern w:val="0"/>
          <w:sz w:val="32"/>
          <w:szCs w:val="32"/>
          <w:lang w:val="en-US" w:eastAsia="zh-CN"/>
        </w:rPr>
        <w:t>供水企业暂未抄表到户由转供企业收取水费的，供水价格按第一阶梯水价执行。</w:t>
      </w:r>
      <w:r>
        <w:rPr>
          <w:rFonts w:hint="eastAsia" w:ascii="仿宋" w:hAnsi="仿宋" w:eastAsia="仿宋" w:cs="仿宋"/>
          <w:b w:val="0"/>
          <w:bCs/>
          <w:color w:val="000000"/>
          <w:kern w:val="2"/>
          <w:sz w:val="32"/>
          <w:szCs w:val="32"/>
          <w:shd w:val="clear" w:color="auto" w:fill="FFFFFF"/>
          <w:lang w:val="en-US" w:eastAsia="zh-CN" w:bidi="ar-SA"/>
        </w:rPr>
        <w:t>未安装物联网水表的用户，分档用水量暂按结算周期内实际购水量执行相应阶梯水价。</w:t>
      </w:r>
    </w:p>
    <w:tbl>
      <w:tblPr>
        <w:tblStyle w:val="15"/>
        <w:tblW w:w="8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49"/>
        <w:gridCol w:w="5304"/>
        <w:gridCol w:w="15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15" w:type="dxa"/>
            <w:gridSpan w:val="3"/>
            <w:tcBorders>
              <w:top w:val="nil"/>
              <w:left w:val="nil"/>
              <w:bottom w:val="nil"/>
              <w:right w:val="nil"/>
            </w:tcBorders>
            <w:noWrap/>
            <w:vAlign w:val="center"/>
          </w:tcPr>
          <w:p>
            <w:pPr>
              <w:keepNext w:val="0"/>
              <w:keepLines w:val="0"/>
              <w:widowControl/>
              <w:suppressLineNumbers w:val="0"/>
              <w:jc w:val="center"/>
              <w:textAlignment w:val="center"/>
              <w:rPr>
                <w:rFonts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阿克陶县农村饮用水居民阶梯水量及水价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档次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水量及调价原则</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供水价格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第一档</w:t>
            </w:r>
          </w:p>
        </w:tc>
        <w:tc>
          <w:tcPr>
            <w:tcW w:w="5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年用水量156m</w:t>
            </w:r>
            <w:r>
              <w:rPr>
                <w:rStyle w:val="21"/>
                <w:rFonts w:hint="eastAsia" w:ascii="方正仿宋_GBK" w:hAnsi="方正仿宋_GBK" w:eastAsia="方正仿宋_GBK" w:cs="方正仿宋_GBK"/>
                <w:lang w:val="en-US" w:eastAsia="zh-CN" w:bidi="ar"/>
              </w:rPr>
              <w:t>³</w:t>
            </w:r>
            <w:r>
              <w:rPr>
                <w:rStyle w:val="23"/>
                <w:rFonts w:hint="eastAsia" w:ascii="方正仿宋_GBK" w:hAnsi="方正仿宋_GBK" w:eastAsia="方正仿宋_GBK" w:cs="方正仿宋_GBK"/>
                <w:lang w:val="en-US" w:eastAsia="zh-CN" w:bidi="ar"/>
              </w:rPr>
              <w:t>（含）及以下，按照规定价格执行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第二档</w:t>
            </w:r>
          </w:p>
        </w:tc>
        <w:tc>
          <w:tcPr>
            <w:tcW w:w="5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年用水量156m</w:t>
            </w:r>
            <w:r>
              <w:rPr>
                <w:rStyle w:val="21"/>
                <w:rFonts w:hint="eastAsia" w:ascii="方正仿宋_GBK" w:hAnsi="方正仿宋_GBK" w:eastAsia="方正仿宋_GBK" w:cs="方正仿宋_GBK"/>
                <w:lang w:val="en-US" w:eastAsia="zh-CN" w:bidi="ar"/>
              </w:rPr>
              <w:t>³</w:t>
            </w:r>
            <w:r>
              <w:rPr>
                <w:rStyle w:val="23"/>
                <w:rFonts w:hint="eastAsia" w:ascii="方正仿宋_GBK" w:hAnsi="方正仿宋_GBK" w:eastAsia="方正仿宋_GBK" w:cs="方正仿宋_GBK"/>
                <w:lang w:val="en-US" w:eastAsia="zh-CN" w:bidi="ar"/>
              </w:rPr>
              <w:t>以上至258m</w:t>
            </w:r>
            <w:r>
              <w:rPr>
                <w:rStyle w:val="21"/>
                <w:rFonts w:hint="eastAsia" w:ascii="方正仿宋_GBK" w:hAnsi="方正仿宋_GBK" w:eastAsia="方正仿宋_GBK" w:cs="方正仿宋_GBK"/>
                <w:lang w:val="en-US" w:eastAsia="zh-CN" w:bidi="ar"/>
              </w:rPr>
              <w:t>³</w:t>
            </w:r>
            <w:r>
              <w:rPr>
                <w:rStyle w:val="23"/>
                <w:rFonts w:hint="eastAsia" w:ascii="方正仿宋_GBK" w:hAnsi="方正仿宋_GBK" w:eastAsia="方正仿宋_GBK" w:cs="方正仿宋_GBK"/>
                <w:lang w:val="en-US" w:eastAsia="zh-CN" w:bidi="ar"/>
              </w:rPr>
              <w:t>（含）之间的水量，按照规定价格的1.5倍执行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第三档</w:t>
            </w:r>
          </w:p>
        </w:tc>
        <w:tc>
          <w:tcPr>
            <w:tcW w:w="5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年用水量258m</w:t>
            </w:r>
            <w:r>
              <w:rPr>
                <w:rStyle w:val="21"/>
                <w:rFonts w:hint="eastAsia" w:ascii="方正仿宋_GBK" w:hAnsi="方正仿宋_GBK" w:eastAsia="方正仿宋_GBK" w:cs="方正仿宋_GBK"/>
                <w:lang w:val="en-US" w:eastAsia="zh-CN" w:bidi="ar"/>
              </w:rPr>
              <w:t>³</w:t>
            </w:r>
            <w:r>
              <w:rPr>
                <w:rStyle w:val="23"/>
                <w:rFonts w:hint="eastAsia" w:ascii="方正仿宋_GBK" w:hAnsi="方正仿宋_GBK" w:eastAsia="方正仿宋_GBK" w:cs="方正仿宋_GBK"/>
                <w:lang w:val="en-US" w:eastAsia="zh-CN" w:bidi="ar"/>
              </w:rPr>
              <w:t>以上，按照规定价格的2倍执行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4.28</w:t>
            </w:r>
          </w:p>
        </w:tc>
      </w:tr>
    </w:tbl>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line="400" w:lineRule="exact"/>
        <w:jc w:val="both"/>
        <w:textAlignment w:val="auto"/>
        <w:rPr>
          <w:rFonts w:hint="eastAsia" w:ascii="方正仿宋_GBK" w:hAnsi="方正仿宋_GBK" w:eastAsia="方正仿宋_GBK" w:cs="方正仿宋_GBK"/>
          <w:sz w:val="22"/>
          <w:szCs w:val="22"/>
          <w:lang w:val="en-US" w:eastAsia="zh-CN"/>
        </w:rPr>
      </w:pPr>
      <w:r>
        <w:rPr>
          <w:rFonts w:hint="eastAsia" w:ascii="方正仿宋_GBK" w:hAnsi="方正仿宋_GBK" w:eastAsia="方正仿宋_GBK" w:cs="方正仿宋_GBK"/>
          <w:sz w:val="22"/>
          <w:szCs w:val="22"/>
          <w:lang w:val="en-US" w:eastAsia="zh-CN"/>
        </w:rPr>
        <w:t>注：1.阶梯水价不含水资源税和污水处理费，阶梯水价计量缴费周期按年计算，定额内用水执行到户综合水价。</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line="400" w:lineRule="exact"/>
        <w:jc w:val="both"/>
        <w:textAlignment w:val="auto"/>
        <w:rPr>
          <w:rFonts w:hint="eastAsia" w:ascii="方正仿宋_GBK" w:hAnsi="方正仿宋_GBK" w:eastAsia="方正仿宋_GBK" w:cs="方正仿宋_GBK"/>
          <w:sz w:val="22"/>
          <w:szCs w:val="22"/>
          <w:lang w:val="en-US" w:eastAsia="zh-CN"/>
        </w:rPr>
      </w:pPr>
      <w:r>
        <w:rPr>
          <w:rFonts w:hint="eastAsia" w:ascii="方正仿宋_GBK" w:hAnsi="方正仿宋_GBK" w:eastAsia="方正仿宋_GBK" w:cs="方正仿宋_GBK"/>
          <w:sz w:val="22"/>
          <w:szCs w:val="22"/>
          <w:lang w:val="en-US" w:eastAsia="zh-CN"/>
        </w:rPr>
        <w:t xml:space="preserve">     2.阶梯水价到户价计算公式为:实交总水费=第一阶梯水价×第一阶梯用水量+第二阶梯水价×第二阶梯用水量+第三阶梯水价×第三阶梯用水量+（污水处理费+水资源税）×三阶梯总水量。</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line="400" w:lineRule="exact"/>
        <w:jc w:val="both"/>
        <w:textAlignment w:val="auto"/>
        <w:rPr>
          <w:rFonts w:hint="eastAsia" w:ascii="方正仿宋_GBK" w:hAnsi="方正仿宋_GBK" w:eastAsia="方正仿宋_GBK" w:cs="方正仿宋_GBK"/>
          <w:sz w:val="22"/>
          <w:szCs w:val="22"/>
          <w:lang w:val="en-US" w:eastAsia="zh-CN"/>
        </w:rPr>
      </w:pPr>
      <w:r>
        <w:rPr>
          <w:rFonts w:hint="eastAsia" w:ascii="方正仿宋_GBK" w:hAnsi="方正仿宋_GBK" w:eastAsia="方正仿宋_GBK" w:cs="方正仿宋_GBK"/>
          <w:sz w:val="22"/>
          <w:szCs w:val="22"/>
          <w:lang w:val="en-US" w:eastAsia="zh-CN"/>
        </w:rPr>
        <w:t xml:space="preserve">     3.对未实行“一户一表”的居民合表用户和执行居民水价的非居民用户（如学校教学和学生生活用水、养老机构、残疾人托养机构、托育机构等社会福利场所生活用水、宗教场所生活用水、社区组织工作用房和居民公益性服务设施用水），暂不执行居民用水阶梯水价，按第一档阶梯水价执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color w:val="000000"/>
          <w:sz w:val="32"/>
          <w:szCs w:val="32"/>
          <w:shd w:val="clear" w:color="auto" w:fill="FFFFFF"/>
          <w:lang w:val="en-US" w:eastAsia="zh-CN"/>
        </w:rPr>
      </w:pPr>
      <w:r>
        <w:rPr>
          <w:rFonts w:hint="eastAsia" w:ascii="楷体_GB2312" w:hAnsi="楷体_GB2312" w:eastAsia="楷体_GB2312" w:cs="楷体_GB2312"/>
          <w:b/>
          <w:bCs w:val="0"/>
          <w:color w:val="000000"/>
          <w:sz w:val="32"/>
          <w:szCs w:val="32"/>
          <w:shd w:val="clear" w:color="auto" w:fill="FFFFFF"/>
          <w:lang w:val="en-US" w:eastAsia="zh-CN"/>
        </w:rPr>
        <w:t>（三）实行非居民和特种用水超定额累进加价制度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kern w:val="2"/>
          <w:sz w:val="32"/>
          <w:szCs w:val="24"/>
          <w:lang w:val="en-US" w:eastAsia="zh-CN" w:bidi="ar-SA"/>
        </w:rPr>
      </w:pPr>
      <w:r>
        <w:rPr>
          <w:rFonts w:hint="eastAsia" w:ascii="仿宋" w:hAnsi="仿宋" w:eastAsia="仿宋" w:cs="仿宋"/>
          <w:color w:val="000000"/>
          <w:kern w:val="2"/>
          <w:sz w:val="32"/>
          <w:szCs w:val="24"/>
          <w:lang w:val="en-US" w:eastAsia="zh-CN" w:bidi="ar-SA"/>
        </w:rPr>
        <w:t>按照自治区人民政府办公厅《关于印发&lt;新疆维吾尔自治区工业和生活用水定额&gt;的通知》（新政办发〔2007〕105号）、《关于推进自治区水价综合改革的实施意见》（新政办发【2012】129号）、《自治区发展改革委自治区住房和城乡建设厅关于加快推进我区城镇非居民用水超定额累进加价制度的实施意见》（新发改农价【2018】1086号）的规定，根据用水定额，水资源稀缺程度、节水需要和用户承受能力，对非居民和特种用水实行定额（计划）管理，确定分档水量和加价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 w:hAnsi="仿宋" w:eastAsia="仿宋" w:cs="仿宋"/>
          <w:color w:val="000000"/>
          <w:kern w:val="2"/>
          <w:sz w:val="32"/>
          <w:szCs w:val="24"/>
          <w:lang w:val="en-US" w:eastAsia="zh-CN" w:bidi="ar-SA"/>
        </w:rPr>
      </w:pPr>
      <w:r>
        <w:rPr>
          <w:rFonts w:hint="eastAsia" w:ascii="仿宋" w:hAnsi="仿宋" w:eastAsia="仿宋" w:cs="仿宋"/>
          <w:b/>
          <w:bCs w:val="0"/>
          <w:color w:val="000000"/>
          <w:sz w:val="32"/>
          <w:szCs w:val="32"/>
          <w:shd w:val="clear" w:color="auto" w:fill="FFFFFF"/>
          <w:lang w:val="en-US" w:eastAsia="zh-CN"/>
        </w:rPr>
        <w:t>（一）实施范围。</w:t>
      </w:r>
      <w:r>
        <w:rPr>
          <w:rFonts w:hint="eastAsia" w:ascii="仿宋" w:hAnsi="仿宋" w:eastAsia="仿宋" w:cs="仿宋"/>
          <w:color w:val="000000"/>
          <w:kern w:val="2"/>
          <w:sz w:val="32"/>
          <w:szCs w:val="24"/>
          <w:lang w:val="en-US" w:eastAsia="zh-CN" w:bidi="ar-SA"/>
        </w:rPr>
        <w:t>非居民用水超定额累进加价实施范围为我县农村集中供水管网覆盖的非居民用水户和特种用水户。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 w:hAnsi="仿宋" w:eastAsia="仿宋" w:cs="仿宋"/>
          <w:color w:val="000000"/>
          <w:kern w:val="2"/>
          <w:sz w:val="32"/>
          <w:szCs w:val="24"/>
          <w:lang w:val="en-US" w:eastAsia="zh-CN" w:bidi="ar-SA"/>
        </w:rPr>
      </w:pPr>
      <w:r>
        <w:rPr>
          <w:rFonts w:hint="eastAsia" w:ascii="仿宋" w:hAnsi="仿宋" w:eastAsia="仿宋" w:cs="仿宋"/>
          <w:b/>
          <w:bCs w:val="0"/>
          <w:color w:val="000000"/>
          <w:sz w:val="32"/>
          <w:szCs w:val="32"/>
          <w:shd w:val="clear" w:color="auto" w:fill="FFFFFF"/>
          <w:lang w:val="en-US" w:eastAsia="zh-CN"/>
        </w:rPr>
        <w:t>（二）分档水量及水价。</w:t>
      </w:r>
      <w:r>
        <w:rPr>
          <w:rFonts w:hint="eastAsia" w:ascii="仿宋" w:hAnsi="仿宋" w:eastAsia="仿宋" w:cs="仿宋"/>
          <w:color w:val="000000"/>
          <w:kern w:val="2"/>
          <w:sz w:val="32"/>
          <w:szCs w:val="24"/>
          <w:lang w:val="en-US" w:eastAsia="zh-CN" w:bidi="ar-SA"/>
        </w:rPr>
        <w:t>分档水量为四档：一档为定额和计划用水量以内部分，执行规定的供水价；二档为超出定额和计划用水不足20%的水量，超出部分在规定价基础上加1倍征收；三档为超出定额和计划用水20%及以上、不足40%部分，超出部分在规定价基础上加2倍征收；四档为超出定额和计划用水40%及以上（含40%），超出部分在规定价基础上加3倍征收，并可采取限供或停供等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kern w:val="2"/>
          <w:sz w:val="32"/>
          <w:szCs w:val="24"/>
          <w:lang w:val="en-US" w:eastAsia="zh-CN" w:bidi="ar-SA"/>
        </w:rPr>
      </w:pPr>
      <w:r>
        <w:rPr>
          <w:rFonts w:hint="eastAsia" w:ascii="仿宋" w:hAnsi="仿宋" w:eastAsia="仿宋" w:cs="仿宋"/>
          <w:color w:val="000000"/>
          <w:kern w:val="2"/>
          <w:sz w:val="32"/>
          <w:szCs w:val="24"/>
          <w:lang w:val="en-US" w:eastAsia="zh-CN" w:bidi="ar-SA"/>
        </w:rPr>
        <w:t>对火力发电、钢铁、化工、造纸、纺织、有色等“两高一剩”（高耗能、高污染、产能严重过剩）行业超定额（计划）用水量部分按照规定价的3倍执行。（详见附表三）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 w:hAnsi="仿宋" w:eastAsia="仿宋" w:cs="仿宋"/>
          <w:kern w:val="0"/>
          <w:sz w:val="32"/>
          <w:szCs w:val="32"/>
          <w:lang w:val="en-US" w:eastAsia="zh-CN"/>
        </w:rPr>
      </w:pPr>
      <w:r>
        <w:rPr>
          <w:rFonts w:hint="eastAsia" w:ascii="仿宋" w:hAnsi="仿宋" w:eastAsia="仿宋" w:cs="仿宋"/>
          <w:b/>
          <w:bCs/>
          <w:color w:val="000000"/>
          <w:kern w:val="2"/>
          <w:sz w:val="32"/>
          <w:szCs w:val="24"/>
          <w:lang w:val="en-US" w:eastAsia="zh-CN" w:bidi="ar-SA"/>
        </w:rPr>
        <w:t>（三）计费周期。</w:t>
      </w:r>
      <w:r>
        <w:rPr>
          <w:rFonts w:hint="eastAsia" w:ascii="仿宋" w:hAnsi="仿宋" w:eastAsia="仿宋" w:cs="仿宋"/>
          <w:color w:val="000000"/>
          <w:kern w:val="2"/>
          <w:sz w:val="32"/>
          <w:szCs w:val="24"/>
          <w:lang w:val="en-US" w:eastAsia="zh-CN" w:bidi="ar-SA"/>
        </w:rPr>
        <w:t>非居民和特种用水</w:t>
      </w:r>
      <w:r>
        <w:rPr>
          <w:rFonts w:hint="eastAsia" w:ascii="仿宋" w:hAnsi="仿宋" w:eastAsia="仿宋" w:cs="仿宋"/>
          <w:b w:val="0"/>
          <w:bCs/>
          <w:color w:val="000000"/>
          <w:kern w:val="2"/>
          <w:sz w:val="32"/>
          <w:szCs w:val="32"/>
          <w:shd w:val="clear" w:color="auto" w:fill="FFFFFF"/>
          <w:lang w:val="en-US" w:eastAsia="zh-CN" w:bidi="ar-SA"/>
        </w:rPr>
        <w:t>价格结算周期以年为单位，</w:t>
      </w:r>
      <w:r>
        <w:rPr>
          <w:rFonts w:hint="eastAsia" w:ascii="方正仿宋_GBK" w:hAnsi="方正仿宋_GBK" w:eastAsia="方正仿宋_GBK" w:cs="方正仿宋_GBK"/>
          <w:i w:val="0"/>
          <w:iCs w:val="0"/>
          <w:caps w:val="0"/>
          <w:color w:val="000000"/>
          <w:spacing w:val="0"/>
          <w:kern w:val="0"/>
          <w:sz w:val="32"/>
          <w:szCs w:val="32"/>
          <w:shd w:val="clear" w:color="auto" w:fill="FFFFFF"/>
          <w:lang w:val="en-US" w:eastAsia="zh-CN" w:bidi="ar"/>
        </w:rPr>
        <w:t>当年用水量累计达到分档水量上限后，超出部分执行下一档超定额水价，</w:t>
      </w:r>
      <w:r>
        <w:rPr>
          <w:rFonts w:hint="eastAsia" w:ascii="仿宋" w:hAnsi="仿宋" w:eastAsia="仿宋" w:cs="仿宋"/>
          <w:b w:val="0"/>
          <w:bCs/>
          <w:color w:val="000000"/>
          <w:kern w:val="2"/>
          <w:sz w:val="32"/>
          <w:szCs w:val="32"/>
          <w:shd w:val="clear" w:color="auto" w:fill="FFFFFF"/>
          <w:lang w:val="en-US" w:eastAsia="zh-CN" w:bidi="ar-SA"/>
        </w:rPr>
        <w:t>起始时间为每年1月1日至12月31日，不同周期用水量不累计、不结转。</w:t>
      </w:r>
      <w:r>
        <w:rPr>
          <w:rFonts w:hint="eastAsia" w:ascii="仿宋" w:hAnsi="仿宋" w:eastAsia="仿宋" w:cs="仿宋"/>
          <w:kern w:val="0"/>
          <w:sz w:val="32"/>
          <w:szCs w:val="32"/>
          <w:lang w:val="en-US" w:eastAsia="zh-CN"/>
        </w:rPr>
        <w:t>供水企业暂未抄表到户由转供企业收取水费的，供水价格按第一档定额内水价执行。</w:t>
      </w:r>
      <w:r>
        <w:rPr>
          <w:rFonts w:hint="eastAsia" w:ascii="仿宋" w:hAnsi="仿宋" w:eastAsia="仿宋" w:cs="仿宋"/>
          <w:b w:val="0"/>
          <w:bCs/>
          <w:color w:val="000000"/>
          <w:kern w:val="2"/>
          <w:sz w:val="32"/>
          <w:szCs w:val="32"/>
          <w:shd w:val="clear" w:color="auto" w:fill="FFFFFF"/>
          <w:lang w:val="en-US" w:eastAsia="zh-CN" w:bidi="ar-SA"/>
        </w:rPr>
        <w:t>未安装物联网水表的用户，分档用水量暂按结算周期内实际购水量执行相应阶梯水价。</w:t>
      </w:r>
    </w:p>
    <w:p>
      <w:pPr>
        <w:pStyle w:val="12"/>
        <w:keepNext w:val="0"/>
        <w:keepLines w:val="0"/>
        <w:pageBreakBefore w:val="0"/>
        <w:widowControl w:val="0"/>
        <w:kinsoku/>
        <w:wordWrap/>
        <w:overflowPunct w:val="0"/>
        <w:topLinePunct w:val="0"/>
        <w:autoSpaceDE/>
        <w:autoSpaceDN/>
        <w:bidi w:val="0"/>
        <w:adjustRightInd w:val="0"/>
        <w:snapToGrid w:val="0"/>
        <w:spacing w:line="560" w:lineRule="exact"/>
        <w:ind w:firstLine="642" w:firstLineChars="200"/>
        <w:jc w:val="left"/>
        <w:textAlignment w:val="auto"/>
        <w:rPr>
          <w:rFonts w:hint="eastAsia" w:ascii="仿宋" w:hAnsi="仿宋" w:eastAsia="仿宋" w:cs="仿宋"/>
          <w:color w:val="000000"/>
          <w:kern w:val="2"/>
          <w:sz w:val="32"/>
          <w:szCs w:val="24"/>
          <w:lang w:val="en-US" w:eastAsia="zh-CN" w:bidi="ar-SA"/>
        </w:rPr>
      </w:pPr>
      <w:r>
        <w:rPr>
          <w:rFonts w:hint="eastAsia" w:ascii="仿宋" w:hAnsi="仿宋" w:eastAsia="仿宋" w:cs="仿宋"/>
          <w:b/>
          <w:bCs/>
          <w:color w:val="000000"/>
          <w:kern w:val="2"/>
          <w:sz w:val="32"/>
          <w:szCs w:val="24"/>
          <w:lang w:val="en-US" w:eastAsia="zh-CN" w:bidi="ar-SA"/>
        </w:rPr>
        <w:t>（四）定额用水量。</w:t>
      </w:r>
      <w:r>
        <w:rPr>
          <w:rFonts w:hint="eastAsia" w:ascii="仿宋" w:hAnsi="仿宋" w:eastAsia="仿宋" w:cs="仿宋"/>
          <w:color w:val="000000"/>
          <w:kern w:val="2"/>
          <w:sz w:val="32"/>
          <w:szCs w:val="24"/>
          <w:lang w:val="en-US" w:eastAsia="zh-CN" w:bidi="ar-SA"/>
        </w:rPr>
        <w:t>阿克陶县水利局根据自治区发布的《工业、服务业用水定额》核定农村集中供水非居民用户和特种用水用户年度用水定额。</w:t>
      </w:r>
    </w:p>
    <w:tbl>
      <w:tblPr>
        <w:tblStyle w:val="15"/>
        <w:tblW w:w="8700" w:type="dxa"/>
        <w:tblInd w:w="-1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0"/>
        <w:gridCol w:w="4614"/>
        <w:gridCol w:w="1461"/>
        <w:gridCol w:w="1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700" w:type="dxa"/>
            <w:gridSpan w:val="4"/>
            <w:tcBorders>
              <w:top w:val="nil"/>
              <w:left w:val="nil"/>
              <w:bottom w:val="nil"/>
              <w:right w:val="nil"/>
            </w:tcBorders>
            <w:noWrap/>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8"/>
                <w:szCs w:val="28"/>
                <w:u w:val="none"/>
                <w:lang w:val="en-US" w:eastAsia="zh-CN" w:bidi="ar"/>
              </w:rPr>
              <w:t>超定额累进加价制度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380" w:type="dxa"/>
            <w:tcBorders>
              <w:top w:val="nil"/>
              <w:left w:val="nil"/>
              <w:bottom w:val="nil"/>
              <w:right w:val="nil"/>
            </w:tcBorders>
            <w:noWrap/>
            <w:vAlign w:val="center"/>
          </w:tcPr>
          <w:p>
            <w:pPr>
              <w:rPr>
                <w:rFonts w:hint="eastAsia" w:ascii="方正仿宋_GBK" w:hAnsi="方正仿宋_GBK" w:eastAsia="方正仿宋_GBK" w:cs="方正仿宋_GBK"/>
                <w:i w:val="0"/>
                <w:iCs w:val="0"/>
                <w:color w:val="000000"/>
                <w:sz w:val="22"/>
                <w:szCs w:val="22"/>
                <w:u w:val="none"/>
              </w:rPr>
            </w:pPr>
          </w:p>
        </w:tc>
        <w:tc>
          <w:tcPr>
            <w:tcW w:w="4614" w:type="dxa"/>
            <w:tcBorders>
              <w:top w:val="nil"/>
              <w:left w:val="nil"/>
              <w:bottom w:val="nil"/>
              <w:right w:val="nil"/>
            </w:tcBorders>
            <w:noWrap/>
            <w:vAlign w:val="center"/>
          </w:tcPr>
          <w:p>
            <w:pPr>
              <w:rPr>
                <w:rFonts w:hint="eastAsia" w:ascii="方正仿宋_GBK" w:hAnsi="方正仿宋_GBK" w:eastAsia="方正仿宋_GBK" w:cs="方正仿宋_GBK"/>
                <w:i w:val="0"/>
                <w:iCs w:val="0"/>
                <w:color w:val="000000"/>
                <w:sz w:val="22"/>
                <w:szCs w:val="22"/>
                <w:u w:val="none"/>
              </w:rPr>
            </w:pPr>
          </w:p>
        </w:tc>
        <w:tc>
          <w:tcPr>
            <w:tcW w:w="2706" w:type="dxa"/>
            <w:gridSpan w:val="2"/>
            <w:tcBorders>
              <w:top w:val="nil"/>
              <w:left w:val="nil"/>
              <w:bottom w:val="nil"/>
              <w:right w:val="nil"/>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单位：元/立方米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trPr>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档次</w:t>
            </w:r>
          </w:p>
        </w:tc>
        <w:tc>
          <w:tcPr>
            <w:tcW w:w="4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水量及调价原则</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非居民用水供水价格</w:t>
            </w:r>
          </w:p>
        </w:tc>
        <w:tc>
          <w:tcPr>
            <w:tcW w:w="12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特种用水供水价格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第一档</w:t>
            </w:r>
          </w:p>
        </w:tc>
        <w:tc>
          <w:tcPr>
            <w:tcW w:w="4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定额和计划用水量以内部分，按照规定价格执行</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2.94</w:t>
            </w:r>
          </w:p>
        </w:tc>
        <w:tc>
          <w:tcPr>
            <w:tcW w:w="12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第二档</w:t>
            </w:r>
          </w:p>
        </w:tc>
        <w:tc>
          <w:tcPr>
            <w:tcW w:w="4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超出定额和计划用水量20%以内，超出部分在规定价基础上加1倍征收</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5.88</w:t>
            </w:r>
          </w:p>
        </w:tc>
        <w:tc>
          <w:tcPr>
            <w:tcW w:w="12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第三档</w:t>
            </w:r>
          </w:p>
        </w:tc>
        <w:tc>
          <w:tcPr>
            <w:tcW w:w="4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超出定额和计划用水20%及以上、不足40%部分，超出部分在规定价基础上加2倍征收</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8.82</w:t>
            </w:r>
          </w:p>
        </w:tc>
        <w:tc>
          <w:tcPr>
            <w:tcW w:w="12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第四档</w:t>
            </w:r>
          </w:p>
        </w:tc>
        <w:tc>
          <w:tcPr>
            <w:tcW w:w="4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超出定额和计划用水40%及以上（含40%），超出部分在规定价基础上加3倍征收</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11.76</w:t>
            </w:r>
          </w:p>
        </w:tc>
        <w:tc>
          <w:tcPr>
            <w:tcW w:w="12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17.76</w:t>
            </w:r>
          </w:p>
        </w:tc>
      </w:tr>
    </w:tbl>
    <w:p>
      <w:pPr>
        <w:keepNext w:val="0"/>
        <w:keepLines w:val="0"/>
        <w:pageBreakBefore w:val="0"/>
        <w:widowControl w:val="0"/>
        <w:kinsoku/>
        <w:wordWrap/>
        <w:topLinePunct w:val="0"/>
        <w:autoSpaceDE/>
        <w:autoSpaceDN/>
        <w:bidi w:val="0"/>
        <w:spacing w:line="400" w:lineRule="exact"/>
        <w:jc w:val="left"/>
        <w:textAlignment w:val="auto"/>
        <w:rPr>
          <w:rFonts w:hint="eastAsia" w:ascii="方正仿宋_GBK" w:hAnsi="方正仿宋_GBK" w:eastAsia="方正仿宋_GBK" w:cs="方正仿宋_GBK"/>
          <w:sz w:val="22"/>
          <w:szCs w:val="22"/>
          <w:lang w:val="en-US" w:eastAsia="zh-CN"/>
        </w:rPr>
      </w:pPr>
      <w:r>
        <w:rPr>
          <w:rFonts w:hint="eastAsia" w:ascii="方正仿宋_GBK" w:hAnsi="方正仿宋_GBK" w:eastAsia="方正仿宋_GBK" w:cs="方正仿宋_GBK"/>
          <w:sz w:val="22"/>
          <w:szCs w:val="22"/>
          <w:lang w:val="en-US" w:eastAsia="zh-CN"/>
        </w:rPr>
        <w:t>注：1.超定额累进加价不含水资源税和污水处理费，超定额累进加价计量缴费周期按年计算，非居民用水和特种用水定额用水量内执行到户综合水价。</w:t>
      </w:r>
    </w:p>
    <w:p>
      <w:pPr>
        <w:pStyle w:val="12"/>
        <w:keepNext w:val="0"/>
        <w:keepLines w:val="0"/>
        <w:pageBreakBefore w:val="0"/>
        <w:widowControl w:val="0"/>
        <w:numPr>
          <w:ilvl w:val="0"/>
          <w:numId w:val="0"/>
        </w:numPr>
        <w:kinsoku/>
        <w:wordWrap/>
        <w:topLinePunct w:val="0"/>
        <w:autoSpaceDE/>
        <w:autoSpaceDN/>
        <w:bidi w:val="0"/>
        <w:spacing w:line="400" w:lineRule="exact"/>
        <w:ind w:firstLine="440" w:firstLineChars="200"/>
        <w:jc w:val="left"/>
        <w:textAlignment w:val="auto"/>
        <w:rPr>
          <w:rFonts w:hint="eastAsia" w:ascii="方正仿宋_GBK" w:hAnsi="方正仿宋_GBK" w:eastAsia="方正仿宋_GBK" w:cs="方正仿宋_GBK"/>
          <w:sz w:val="22"/>
          <w:szCs w:val="22"/>
          <w:lang w:val="en-US" w:eastAsia="zh-CN"/>
        </w:rPr>
      </w:pPr>
      <w:r>
        <w:rPr>
          <w:rFonts w:hint="eastAsia" w:ascii="方正仿宋_GBK" w:hAnsi="方正仿宋_GBK" w:eastAsia="方正仿宋_GBK" w:cs="方正仿宋_GBK"/>
          <w:sz w:val="22"/>
          <w:szCs w:val="22"/>
          <w:lang w:val="en-US" w:eastAsia="zh-CN"/>
        </w:rPr>
        <w:t xml:space="preserve">2.非居民用水和特种用水到户价计算公式为:实交总水费=第一档水价×第一档用水量+第二档水价×第二档用水量+第三档水价×第三档用水量+第四档水价×第四档用水量+（污水处理费+水资源税）×四档总水量。 </w:t>
      </w:r>
    </w:p>
    <w:p>
      <w:pPr>
        <w:pStyle w:val="12"/>
        <w:keepNext w:val="0"/>
        <w:keepLines w:val="0"/>
        <w:pageBreakBefore w:val="0"/>
        <w:widowControl w:val="0"/>
        <w:numPr>
          <w:ilvl w:val="0"/>
          <w:numId w:val="0"/>
        </w:numPr>
        <w:kinsoku/>
        <w:wordWrap/>
        <w:topLinePunct w:val="0"/>
        <w:autoSpaceDE/>
        <w:autoSpaceDN/>
        <w:bidi w:val="0"/>
        <w:spacing w:line="400" w:lineRule="exact"/>
        <w:jc w:val="left"/>
        <w:textAlignment w:val="auto"/>
        <w:rPr>
          <w:rFonts w:hint="eastAsia" w:ascii="方正仿宋_GBK" w:hAnsi="方正仿宋_GBK" w:eastAsia="方正仿宋_GBK" w:cs="方正仿宋_GBK"/>
          <w:sz w:val="22"/>
          <w:szCs w:val="22"/>
          <w:lang w:val="en-US" w:eastAsia="zh-CN"/>
        </w:rPr>
      </w:pPr>
      <w:r>
        <w:rPr>
          <w:rFonts w:hint="default"/>
          <w:lang w:val="en-US" w:eastAsia="zh-CN"/>
        </w:rPr>
        <w:t xml:space="preserve">  </w:t>
      </w:r>
      <w:r>
        <w:rPr>
          <w:rFonts w:hint="eastAsia"/>
          <w:lang w:val="en-US" w:eastAsia="zh-CN"/>
        </w:rPr>
        <w:t xml:space="preserve"> </w:t>
      </w:r>
      <w:r>
        <w:rPr>
          <w:rFonts w:hint="eastAsia" w:ascii="方正仿宋_GBK" w:hAnsi="方正仿宋_GBK" w:eastAsia="方正仿宋_GBK" w:cs="方正仿宋_GBK"/>
          <w:sz w:val="22"/>
          <w:szCs w:val="22"/>
          <w:lang w:val="en-US" w:eastAsia="zh-CN"/>
        </w:rPr>
        <w:t>3.对火力发电、钢铁、化工、造纸、纺织、有色等“两高一剩”（高耗能、高污染、产能严重过剩）行业超定额（计划）用水量部分按照规定价的3倍执行。</w:t>
      </w:r>
    </w:p>
    <w:p>
      <w:pPr>
        <w:keepNext w:val="0"/>
        <w:keepLines w:val="0"/>
        <w:pageBreakBefore w:val="0"/>
        <w:widowControl w:val="0"/>
        <w:kinsoku/>
        <w:wordWrap/>
        <w:topLinePunct w:val="0"/>
        <w:autoSpaceDE/>
        <w:autoSpaceDN/>
        <w:bidi w:val="0"/>
        <w:spacing w:line="400" w:lineRule="exact"/>
        <w:jc w:val="left"/>
        <w:textAlignment w:val="auto"/>
        <w:rPr>
          <w:rFonts w:hint="default"/>
          <w:lang w:val="en-US" w:eastAsia="zh-CN"/>
        </w:rPr>
      </w:pPr>
      <w:r>
        <w:rPr>
          <w:rFonts w:hint="eastAsia" w:ascii="方正仿宋_GBK" w:hAnsi="方正仿宋_GBK" w:eastAsia="方正仿宋_GBK" w:cs="方正仿宋_GBK"/>
          <w:sz w:val="22"/>
          <w:szCs w:val="22"/>
          <w:lang w:val="en-US" w:eastAsia="zh-CN"/>
        </w:rPr>
        <w:t xml:space="preserve">     4.非居民用水和特种用水定额由县水利局根据自治区发布的《工业、服务业用水定额》核定年用水量。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sz w:val="32"/>
          <w:szCs w:val="32"/>
          <w:shd w:val="clear" w:color="auto" w:fill="FFFFFF"/>
          <w:lang w:val="en-US" w:eastAsia="zh-CN"/>
        </w:rPr>
      </w:pPr>
      <w:r>
        <w:rPr>
          <w:rFonts w:hint="eastAsia" w:ascii="黑体" w:hAnsi="黑体" w:eastAsia="黑体" w:cs="黑体"/>
          <w:b w:val="0"/>
          <w:bCs/>
          <w:color w:val="000000"/>
          <w:sz w:val="32"/>
          <w:szCs w:val="32"/>
          <w:shd w:val="clear" w:color="auto" w:fill="FFFFFF"/>
          <w:lang w:val="en-US" w:eastAsia="zh-CN"/>
        </w:rPr>
        <w:t>三、价格优惠政策</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480"/>
        <w:jc w:val="left"/>
        <w:textAlignment w:val="auto"/>
        <w:rPr>
          <w:rFonts w:hint="default" w:ascii="仿宋" w:hAnsi="仿宋" w:eastAsia="仿宋_GB2312" w:cs="仿宋"/>
          <w:b w:val="0"/>
          <w:bCs/>
          <w:color w:val="000000"/>
          <w:sz w:val="32"/>
          <w:szCs w:val="32"/>
          <w:shd w:val="clear" w:color="auto" w:fill="FFFFFF"/>
          <w:lang w:val="en-US" w:eastAsia="zh-CN"/>
        </w:rPr>
      </w:pPr>
      <w:r>
        <w:rPr>
          <w:rFonts w:hint="eastAsia" w:ascii="仿宋_GB2312" w:hAnsi="仿宋_GB2312" w:eastAsia="仿宋_GB2312" w:cs="仿宋_GB2312"/>
          <w:sz w:val="32"/>
          <w:szCs w:val="32"/>
        </w:rPr>
        <w:t>本县户籍且经民政部门</w:t>
      </w:r>
      <w:r>
        <w:rPr>
          <w:rFonts w:hint="eastAsia" w:ascii="仿宋_GB2312" w:hAnsi="仿宋_GB2312" w:eastAsia="仿宋_GB2312" w:cs="仿宋_GB2312"/>
          <w:sz w:val="32"/>
          <w:szCs w:val="32"/>
          <w:lang w:eastAsia="zh-CN"/>
        </w:rPr>
        <w:t>明确享受价格优惠政策的农村困难群体（含农村低保、特困人员），每年每户保障</w:t>
      </w:r>
      <w:r>
        <w:rPr>
          <w:rFonts w:hint="eastAsia" w:ascii="仿宋_GB2312" w:hAnsi="仿宋_GB2312" w:eastAsia="仿宋_GB2312" w:cs="仿宋_GB2312"/>
          <w:sz w:val="32"/>
          <w:szCs w:val="32"/>
          <w:lang w:val="en-US" w:eastAsia="zh-CN"/>
        </w:rPr>
        <w:t>12立方米的用水量免费。采取“先征后返”供水企业每半年通过银行代发到困难群体银行卡中。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sz w:val="32"/>
          <w:szCs w:val="32"/>
          <w:shd w:val="clear" w:color="auto" w:fill="FFFFFF"/>
          <w:lang w:val="en-US" w:eastAsia="zh-CN"/>
        </w:rPr>
      </w:pPr>
      <w:r>
        <w:rPr>
          <w:rFonts w:hint="eastAsia" w:ascii="黑体" w:hAnsi="黑体" w:eastAsia="黑体" w:cs="黑体"/>
          <w:b w:val="0"/>
          <w:bCs/>
          <w:color w:val="000000"/>
          <w:sz w:val="32"/>
          <w:szCs w:val="32"/>
          <w:shd w:val="clear" w:color="auto" w:fill="FFFFFF"/>
          <w:lang w:val="en-US" w:eastAsia="zh-CN"/>
        </w:rPr>
        <w:t>四、周边县市价格对比及调价分析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通过网络收集及电话确认周边县市农村饮用水价格与阿克陶县拟定方案对比，阿克陶县处于中等水平，在群众承受能力范围内。</w:t>
      </w:r>
    </w:p>
    <w:tbl>
      <w:tblPr>
        <w:tblStyle w:val="15"/>
        <w:tblW w:w="77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5"/>
        <w:gridCol w:w="1485"/>
        <w:gridCol w:w="1536"/>
        <w:gridCol w:w="1425"/>
        <w:gridCol w:w="1254"/>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55" w:type="dxa"/>
            <w:gridSpan w:val="6"/>
            <w:tcBorders>
              <w:top w:val="nil"/>
              <w:left w:val="nil"/>
              <w:bottom w:val="nil"/>
              <w:right w:val="nil"/>
            </w:tcBorders>
            <w:noWrap w:val="0"/>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8"/>
                <w:szCs w:val="28"/>
                <w:u w:val="none"/>
              </w:rPr>
            </w:pPr>
            <w:r>
              <w:rPr>
                <w:rFonts w:hint="eastAsia" w:ascii="方正仿宋_GBK" w:hAnsi="方正仿宋_GBK" w:eastAsia="方正仿宋_GBK" w:cs="方正仿宋_GBK"/>
                <w:b/>
                <w:bCs/>
                <w:i w:val="0"/>
                <w:iCs w:val="0"/>
                <w:color w:val="000000"/>
                <w:kern w:val="0"/>
                <w:sz w:val="28"/>
                <w:szCs w:val="28"/>
                <w:u w:val="none"/>
                <w:lang w:val="en-US" w:eastAsia="zh-CN" w:bidi="ar"/>
              </w:rPr>
              <w:t>阿克陶县周边相邻县市农村饮用水收费标准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55" w:type="dxa"/>
            <w:tcBorders>
              <w:top w:val="nil"/>
              <w:left w:val="nil"/>
              <w:bottom w:val="nil"/>
              <w:right w:val="nil"/>
            </w:tcBorders>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1485" w:type="dxa"/>
            <w:tcBorders>
              <w:top w:val="nil"/>
              <w:left w:val="nil"/>
              <w:bottom w:val="nil"/>
              <w:right w:val="nil"/>
            </w:tcBorders>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1536" w:type="dxa"/>
            <w:tcBorders>
              <w:top w:val="nil"/>
              <w:left w:val="nil"/>
              <w:bottom w:val="nil"/>
              <w:right w:val="nil"/>
            </w:tcBorders>
            <w:noWrap w:val="0"/>
            <w:vAlign w:val="center"/>
          </w:tcPr>
          <w:p>
            <w:pPr>
              <w:rPr>
                <w:rFonts w:hint="eastAsia" w:ascii="方正仿宋_GBK" w:hAnsi="方正仿宋_GBK" w:eastAsia="方正仿宋_GBK" w:cs="方正仿宋_GBK"/>
                <w:i w:val="0"/>
                <w:iCs w:val="0"/>
                <w:color w:val="000000"/>
                <w:sz w:val="22"/>
                <w:szCs w:val="22"/>
                <w:u w:val="none"/>
              </w:rPr>
            </w:pPr>
          </w:p>
        </w:tc>
        <w:tc>
          <w:tcPr>
            <w:tcW w:w="1425" w:type="dxa"/>
            <w:tcBorders>
              <w:top w:val="nil"/>
              <w:left w:val="nil"/>
              <w:bottom w:val="nil"/>
              <w:right w:val="nil"/>
            </w:tcBorders>
            <w:noWrap w:val="0"/>
            <w:vAlign w:val="center"/>
          </w:tcPr>
          <w:p>
            <w:pPr>
              <w:rPr>
                <w:rFonts w:hint="eastAsia" w:ascii="方正仿宋_GBK" w:hAnsi="方正仿宋_GBK" w:eastAsia="方正仿宋_GBK" w:cs="方正仿宋_GBK"/>
                <w:i w:val="0"/>
                <w:iCs w:val="0"/>
                <w:color w:val="000000"/>
                <w:sz w:val="22"/>
                <w:szCs w:val="22"/>
                <w:u w:val="none"/>
              </w:rPr>
            </w:pPr>
          </w:p>
        </w:tc>
        <w:tc>
          <w:tcPr>
            <w:tcW w:w="2454" w:type="dxa"/>
            <w:gridSpan w:val="2"/>
            <w:tcBorders>
              <w:top w:val="nil"/>
              <w:left w:val="nil"/>
              <w:bottom w:val="nil"/>
              <w:right w:val="nil"/>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单位：元/立方米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序号</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地名</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居民供水价格</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非居民供水价格</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特种行业供水价格</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水资源税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阿克陶县</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2.14</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2.94</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4.44</w:t>
            </w:r>
          </w:p>
        </w:tc>
        <w:tc>
          <w:tcPr>
            <w:tcW w:w="12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0.03-0.05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阿图什市</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1.76</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1.79</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喀什市</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2.78</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方正仿宋_GBK" w:hAnsi="方正仿宋_GBK" w:eastAsia="方正仿宋_GBK" w:cs="方正仿宋_GBK"/>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c>
          <w:tcPr>
            <w:tcW w:w="14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疏附县</w:t>
            </w:r>
          </w:p>
        </w:tc>
        <w:tc>
          <w:tcPr>
            <w:tcW w:w="15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1.74</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方正仿宋_GBK" w:hAnsi="方正仿宋_GBK" w:eastAsia="方正仿宋_GBK" w:cs="方正仿宋_GBK"/>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c>
          <w:tcPr>
            <w:tcW w:w="14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英吉沙县</w:t>
            </w:r>
          </w:p>
        </w:tc>
        <w:tc>
          <w:tcPr>
            <w:tcW w:w="153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2.64</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方正仿宋_GBK" w:hAnsi="方正仿宋_GBK" w:eastAsia="方正仿宋_GBK" w:cs="方正仿宋_GBK"/>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疏勒县</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2.59</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方正仿宋_GBK" w:hAnsi="方正仿宋_GBK" w:eastAsia="方正仿宋_GBK" w:cs="方正仿宋_GBK"/>
                <w:i w:val="0"/>
                <w:iCs w:val="0"/>
                <w:color w:val="000000"/>
                <w:sz w:val="22"/>
                <w:szCs w:val="22"/>
                <w:u w:val="none"/>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color w:val="000000"/>
          <w:sz w:val="32"/>
          <w:szCs w:val="32"/>
          <w:shd w:val="clear" w:color="auto" w:fill="FFFFFF"/>
          <w:lang w:val="en-US" w:eastAsia="zh-CN"/>
        </w:rPr>
      </w:pPr>
      <w:r>
        <w:rPr>
          <w:rFonts w:hint="eastAsia" w:ascii="仿宋" w:hAnsi="仿宋" w:eastAsia="仿宋" w:cs="仿宋"/>
          <w:b w:val="0"/>
          <w:bCs/>
          <w:color w:val="000000"/>
          <w:sz w:val="32"/>
          <w:szCs w:val="32"/>
          <w:shd w:val="clear" w:color="auto" w:fill="FFFFFF"/>
          <w:lang w:val="en-US" w:eastAsia="zh-CN"/>
        </w:rPr>
        <w:t>调整后的居民生活用水终端水价为2.17元/立方米，比现执行价格上调0.64元/立方米，按户均5口人每月13立方米测算，每月水费支出提高8.32元，全年提高99.84元，占农村居民可支配收入的0.78%，对群众生活不会产生较大影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3840" w:firstLineChars="1200"/>
        <w:jc w:val="both"/>
        <w:textAlignment w:val="auto"/>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t>阿克陶县发展和改革委员会</w:t>
      </w:r>
    </w:p>
    <w:p>
      <w:pPr>
        <w:keepNext w:val="0"/>
        <w:keepLines w:val="0"/>
        <w:pageBreakBefore w:val="0"/>
        <w:widowControl w:val="0"/>
        <w:kinsoku/>
        <w:wordWrap/>
        <w:overflowPunct/>
        <w:topLinePunct w:val="0"/>
        <w:autoSpaceDE/>
        <w:autoSpaceDN/>
        <w:bidi w:val="0"/>
        <w:adjustRightInd w:val="0"/>
        <w:snapToGrid w:val="0"/>
        <w:spacing w:line="560" w:lineRule="exact"/>
        <w:ind w:firstLine="4160" w:firstLineChars="1300"/>
        <w:jc w:val="both"/>
        <w:textAlignment w:val="auto"/>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t>202</w:t>
      </w:r>
      <w:r>
        <w:rPr>
          <w:rFonts w:hint="eastAsia" w:eastAsia="仿宋" w:cs="Times New Roman"/>
          <w:b w:val="0"/>
          <w:bCs/>
          <w:color w:val="000000" w:themeColor="text1"/>
          <w:sz w:val="32"/>
          <w:szCs w:val="32"/>
          <w:shd w:val="clear" w:color="auto" w:fill="FFFFFF"/>
          <w:lang w:val="en-US" w:eastAsia="zh-CN"/>
          <w14:textFill>
            <w14:solidFill>
              <w14:schemeClr w14:val="tx1"/>
            </w14:solidFill>
          </w14:textFill>
        </w:rPr>
        <w:t>6</w:t>
      </w:r>
      <w:r>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t>年</w:t>
      </w:r>
      <w:r>
        <w:rPr>
          <w:rFonts w:hint="eastAsia" w:eastAsia="仿宋" w:cs="Times New Roman"/>
          <w:b w:val="0"/>
          <w:bCs/>
          <w:color w:val="000000" w:themeColor="text1"/>
          <w:sz w:val="32"/>
          <w:szCs w:val="32"/>
          <w:shd w:val="clear" w:color="auto" w:fill="FFFFFF"/>
          <w:lang w:val="en-US" w:eastAsia="zh-CN"/>
          <w14:textFill>
            <w14:solidFill>
              <w14:schemeClr w14:val="tx1"/>
            </w14:solidFill>
          </w14:textFill>
        </w:rPr>
        <w:t>10</w:t>
      </w:r>
      <w:r>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t>月</w:t>
      </w:r>
      <w:r>
        <w:rPr>
          <w:rFonts w:hint="eastAsia" w:eastAsia="仿宋" w:cs="Times New Roman"/>
          <w:b w:val="0"/>
          <w:bCs/>
          <w:color w:val="000000" w:themeColor="text1"/>
          <w:sz w:val="32"/>
          <w:szCs w:val="32"/>
          <w:shd w:val="clear" w:color="auto" w:fill="FFFFFF"/>
          <w:lang w:val="en-US" w:eastAsia="zh-CN"/>
          <w14:textFill>
            <w14:solidFill>
              <w14:schemeClr w14:val="tx1"/>
            </w14:solidFill>
          </w14:textFill>
        </w:rPr>
        <w:t>21</w:t>
      </w:r>
      <w:r>
        <w:rPr>
          <w:rFonts w:hint="default" w:ascii="Times New Roman" w:hAnsi="Times New Roman" w:eastAsia="仿宋" w:cs="Times New Roman"/>
          <w:b w:val="0"/>
          <w:bCs/>
          <w:color w:val="000000" w:themeColor="text1"/>
          <w:sz w:val="32"/>
          <w:szCs w:val="32"/>
          <w:shd w:val="clear" w:color="auto" w:fill="FFFFFF"/>
          <w:lang w:val="en-US" w:eastAsia="zh-CN"/>
          <w14:textFill>
            <w14:solidFill>
              <w14:schemeClr w14:val="tx1"/>
            </w14:solidFill>
          </w14:textFill>
        </w:rPr>
        <w:t>日</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rightChars="0"/>
        <w:textAlignment w:val="auto"/>
        <w:rPr>
          <w:rFonts w:hint="default" w:ascii="仿宋" w:hAnsi="仿宋" w:eastAsia="仿宋" w:cs="仿宋"/>
          <w:i w:val="0"/>
          <w:caps w:val="0"/>
          <w:color w:val="000000" w:themeColor="text1"/>
          <w:spacing w:val="0"/>
          <w:sz w:val="32"/>
          <w:szCs w:val="32"/>
          <w:highlight w:val="none"/>
          <w:shd w:val="clear" w:fill="FFFFFF"/>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firstLine="0"/>
        <w:jc w:val="center"/>
        <w:textAlignment w:val="auto"/>
        <w:rPr>
          <w:rFonts w:hint="eastAsia" w:ascii="方正小标宋_GBK" w:hAnsi="方正小标宋_GBK" w:eastAsia="方正小标宋_GBK" w:cs="方正小标宋_GBK"/>
          <w:b/>
          <w:bCs/>
          <w:i w:val="0"/>
          <w:caps w:val="0"/>
          <w:color w:val="auto"/>
          <w:spacing w:val="0"/>
          <w:kern w:val="0"/>
          <w:sz w:val="44"/>
          <w:szCs w:val="44"/>
          <w:lang w:val="en-US" w:eastAsia="zh-CN" w:bidi="ar"/>
        </w:rPr>
      </w:pPr>
      <w:r>
        <w:rPr>
          <w:rFonts w:hint="eastAsia" w:ascii="方正小标宋_GBK" w:hAnsi="方正小标宋_GBK" w:eastAsia="方正小标宋_GBK" w:cs="方正小标宋_GBK"/>
          <w:b/>
          <w:bCs/>
          <w:i w:val="0"/>
          <w:caps w:val="0"/>
          <w:color w:val="auto"/>
          <w:spacing w:val="0"/>
          <w:kern w:val="0"/>
          <w:sz w:val="44"/>
          <w:szCs w:val="44"/>
          <w:lang w:val="en-US" w:eastAsia="zh-CN" w:bidi="ar"/>
        </w:rPr>
        <w:t>关于《</w:t>
      </w:r>
      <w:r>
        <w:rPr>
          <w:rFonts w:hint="eastAsia" w:ascii="方正小标宋_GBK" w:hAnsi="方正小标宋_GBK" w:eastAsia="方正小标宋_GBK" w:cs="方正小标宋_GBK"/>
          <w:sz w:val="44"/>
          <w:szCs w:val="44"/>
          <w:lang w:eastAsia="zh-CN"/>
        </w:rPr>
        <w:t>阿克陶</w:t>
      </w:r>
      <w:r>
        <w:rPr>
          <w:rFonts w:hint="eastAsia" w:ascii="方正小标宋_GBK" w:hAnsi="方正小标宋_GBK" w:eastAsia="方正小标宋_GBK" w:cs="方正小标宋_GBK"/>
          <w:sz w:val="44"/>
          <w:szCs w:val="44"/>
        </w:rPr>
        <w:t>县农村饮用水供水价格</w:t>
      </w:r>
      <w:r>
        <w:rPr>
          <w:rFonts w:hint="eastAsia" w:ascii="方正小标宋_GBK" w:hAnsi="方正小标宋_GBK" w:eastAsia="方正小标宋_GBK" w:cs="方正小标宋_GBK"/>
          <w:sz w:val="44"/>
          <w:szCs w:val="44"/>
          <w:lang w:eastAsia="zh-CN"/>
        </w:rPr>
        <w:t>调整</w:t>
      </w:r>
      <w:r>
        <w:rPr>
          <w:rFonts w:hint="eastAsia" w:ascii="方正小标宋_GBK" w:hAnsi="方正小标宋_GBK" w:eastAsia="方正小标宋_GBK" w:cs="方正小标宋_GBK"/>
          <w:sz w:val="44"/>
          <w:szCs w:val="44"/>
        </w:rPr>
        <w:t>方案</w:t>
      </w:r>
      <w:r>
        <w:rPr>
          <w:rFonts w:hint="eastAsia" w:ascii="方正小标宋_GBK" w:hAnsi="方正小标宋_GBK" w:eastAsia="方正小标宋_GBK" w:cs="方正小标宋_GBK"/>
          <w:b/>
          <w:bCs/>
          <w:i w:val="0"/>
          <w:caps w:val="0"/>
          <w:color w:val="auto"/>
          <w:spacing w:val="0"/>
          <w:kern w:val="0"/>
          <w:sz w:val="44"/>
          <w:szCs w:val="44"/>
          <w:lang w:val="en-US" w:eastAsia="zh-CN" w:bidi="ar"/>
        </w:rPr>
        <w:t>》的起草背景说明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黑体" w:cs="Times New Roman"/>
          <w:b w:val="0"/>
          <w:bCs/>
          <w:color w:val="000000" w:themeColor="text1"/>
          <w:sz w:val="32"/>
          <w:szCs w:val="32"/>
          <w:shd w:val="clear" w:color="auto" w:fill="FFFFFF"/>
          <w:lang w:val="en-US" w:eastAsia="zh-CN"/>
          <w14:textFill>
            <w14:solidFill>
              <w14:schemeClr w14:val="tx1"/>
            </w14:solidFill>
          </w14:textFill>
        </w:rPr>
      </w:pPr>
      <w:bookmarkStart w:id="0" w:name="_Toc10895"/>
      <w:bookmarkStart w:id="1" w:name="_Toc29362"/>
      <w:r>
        <w:rPr>
          <w:rFonts w:hint="eastAsia" w:ascii="Times New Roman" w:hAnsi="Times New Roman" w:eastAsia="黑体" w:cs="Times New Roman"/>
          <w:b w:val="0"/>
          <w:bCs/>
          <w:color w:val="000000" w:themeColor="text1"/>
          <w:sz w:val="32"/>
          <w:szCs w:val="32"/>
          <w:shd w:val="clear" w:color="auto" w:fill="FFFFFF"/>
          <w:lang w:val="en-US" w:eastAsia="zh-CN"/>
          <w14:textFill>
            <w14:solidFill>
              <w14:schemeClr w14:val="tx1"/>
            </w14:solidFill>
          </w14:textFill>
        </w:rPr>
        <w:t>一、调价背景</w:t>
      </w:r>
      <w:bookmarkEnd w:id="0"/>
      <w:bookmarkEnd w:id="1"/>
    </w:p>
    <w:p>
      <w:pPr>
        <w:ind w:firstLine="640" w:firstLineChars="200"/>
        <w:rPr>
          <w:rFonts w:hint="eastAsia"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一是现行价格从2020年4月沿用至今，一直未进行动态调整。近年来，随着农村供水保障标准不断提升、供水管网覆盖面持续扩大、老旧管网更新改造常态化推进，加之水质净化、消毒药剂、电力能耗、运维人工、设备检修等运营成本逐年刚性上涨，农村供水运营成本持续攀升。</w:t>
      </w:r>
    </w:p>
    <w:p>
      <w:pPr>
        <w:ind w:firstLine="640" w:firstLineChars="200"/>
        <w:rPr>
          <w:rFonts w:hint="eastAsia"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二是对阿克陶县汇泽圆水利建设投资开发有限责任公司2023年至2025年农村饮用水成本费用进行了监审，农村饮用水供水单位运营成本为2.13元/立方米，显著高于现行农村饮用水执行价格。现行水价收入无法覆盖企业真实运营支出，企业长期处于成本倒挂、收支失衡状态，无合理收益空间，无法实现良性循环发展。</w:t>
      </w:r>
    </w:p>
    <w:p>
      <w:pPr>
        <w:ind w:firstLine="640" w:firstLineChars="200"/>
        <w:rPr>
          <w:rFonts w:hint="eastAsia"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 xml:space="preserve"> 三是我县现行农村饮用水价格管理制度不完善，未落实国家、自治区要求的居民阶梯水价制度，长期实行统一单一水价模式，未建立分级用水、分级计价机制，与上级水价改革政策要求不一致，制度落实存在短板，既无法体现水资源价值，也难以发挥价格杠杆节水约束作用。</w:t>
      </w:r>
    </w:p>
    <w:p>
      <w:pPr>
        <w:ind w:firstLine="640" w:firstLineChars="200"/>
        <w:rPr>
          <w:rFonts w:hint="eastAsia"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综上，适时适度调整我县农村饮用水供水价格、同步建立农村居民阶梯水价制度，有效弥补农村供水运营成本缺口，增强节水护水意识，提升农村水资源节约集约利用水平。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firstLine="640" w:firstLineChars="200"/>
        <w:jc w:val="both"/>
        <w:textAlignment w:val="auto"/>
        <w:rPr>
          <w:rFonts w:hint="eastAsia" w:ascii="Times New Roman" w:hAnsi="Times New Roman" w:eastAsia="黑体" w:cs="Times New Roman"/>
          <w:b w:val="0"/>
          <w:bCs/>
          <w:color w:val="000000" w:themeColor="text1"/>
          <w:sz w:val="32"/>
          <w:szCs w:val="32"/>
          <w:shd w:val="clear" w:color="auto" w:fill="FFFFFF"/>
          <w:lang w:val="en-US" w:eastAsia="zh-CN"/>
          <w14:textFill>
            <w14:solidFill>
              <w14:schemeClr w14:val="tx1"/>
            </w14:solidFill>
          </w14:textFill>
        </w:rPr>
      </w:pPr>
      <w:bookmarkStart w:id="2" w:name="_Toc16100"/>
      <w:bookmarkStart w:id="3" w:name="_Toc5501"/>
      <w:r>
        <w:rPr>
          <w:rFonts w:hint="eastAsia" w:ascii="Times New Roman" w:hAnsi="Times New Roman" w:eastAsia="黑体" w:cs="Times New Roman"/>
          <w:b w:val="0"/>
          <w:bCs/>
          <w:color w:val="000000" w:themeColor="text1"/>
          <w:sz w:val="32"/>
          <w:szCs w:val="32"/>
          <w:shd w:val="clear" w:color="auto" w:fill="FFFFFF"/>
          <w:lang w:val="en-US" w:eastAsia="zh-CN"/>
          <w14:textFill>
            <w14:solidFill>
              <w14:schemeClr w14:val="tx1"/>
            </w14:solidFill>
          </w14:textFill>
        </w:rPr>
        <w:t>二、调价依据</w:t>
      </w:r>
      <w:bookmarkEnd w:id="2"/>
      <w:bookmarkEnd w:id="3"/>
    </w:p>
    <w:p>
      <w:pPr>
        <w:ind w:firstLine="640" w:firstLineChars="200"/>
        <w:rPr>
          <w:rFonts w:hint="default"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根据《新疆维吾尔自治区政府定价目录》（新政发[2023]34号）文件，供水价格标准定价部门为县级人民政府；</w:t>
      </w:r>
      <w:r>
        <w:rPr>
          <w:rFonts w:hint="default" w:ascii="Arial" w:hAnsi="Arial" w:eastAsia="仿宋_GB2312" w:cs="Arial"/>
          <w:color w:val="000000" w:themeColor="text1"/>
          <w:sz w:val="32"/>
          <w:szCs w:val="32"/>
          <w:lang w:val="en-US" w:eastAsia="zh-CN"/>
          <w14:textFill>
            <w14:solidFill>
              <w14:schemeClr w14:val="tx1"/>
            </w14:solidFill>
          </w14:textFill>
        </w:rPr>
        <w:t>依据</w:t>
      </w:r>
      <w:r>
        <w:rPr>
          <w:rFonts w:hint="eastAsia" w:ascii="方正仿宋_GBK" w:hAnsi="方正仿宋_GBK" w:eastAsia="方正仿宋_GBK" w:cs="方正仿宋_GBK"/>
          <w:sz w:val="32"/>
          <w:szCs w:val="32"/>
        </w:rPr>
        <w:t>《中华人民共和国价格法》</w:t>
      </w:r>
      <w:r>
        <w:rPr>
          <w:rFonts w:hint="eastAsia" w:ascii="仿宋" w:hAnsi="仿宋" w:eastAsia="仿宋" w:cs="仿宋"/>
          <w:b w:val="0"/>
          <w:bCs/>
          <w:color w:val="000000"/>
          <w:sz w:val="32"/>
          <w:szCs w:val="32"/>
          <w:shd w:val="clear" w:color="auto" w:fill="FFFFFF"/>
          <w:lang w:val="en-US" w:eastAsia="zh-CN"/>
        </w:rPr>
        <w:t>《城镇供水价格管理办法》《新疆维吾尔自治区城镇供水价格管理实施细则》</w:t>
      </w:r>
      <w:r>
        <w:rPr>
          <w:rFonts w:hint="default" w:ascii="Arial" w:hAnsi="Arial" w:eastAsia="仿宋_GB2312" w:cs="Arial"/>
          <w:color w:val="000000" w:themeColor="text1"/>
          <w:sz w:val="32"/>
          <w:szCs w:val="32"/>
          <w:lang w:val="en-US" w:eastAsia="zh-CN"/>
          <w14:textFill>
            <w14:solidFill>
              <w14:schemeClr w14:val="tx1"/>
            </w14:solidFill>
          </w14:textFill>
        </w:rPr>
        <w:t>等文件精神，结合我县202</w:t>
      </w:r>
      <w:r>
        <w:rPr>
          <w:rFonts w:hint="eastAsia" w:ascii="Arial" w:hAnsi="Arial" w:eastAsia="仿宋_GB2312" w:cs="Arial"/>
          <w:color w:val="000000" w:themeColor="text1"/>
          <w:sz w:val="32"/>
          <w:szCs w:val="32"/>
          <w:lang w:val="en-US" w:eastAsia="zh-CN"/>
          <w14:textFill>
            <w14:solidFill>
              <w14:schemeClr w14:val="tx1"/>
            </w14:solidFill>
          </w14:textFill>
        </w:rPr>
        <w:t>3</w:t>
      </w:r>
      <w:r>
        <w:rPr>
          <w:rFonts w:hint="default" w:ascii="Arial" w:hAnsi="Arial" w:eastAsia="仿宋_GB2312" w:cs="Arial"/>
          <w:color w:val="000000" w:themeColor="text1"/>
          <w:sz w:val="32"/>
          <w:szCs w:val="32"/>
          <w:lang w:val="en-US" w:eastAsia="zh-CN"/>
          <w14:textFill>
            <w14:solidFill>
              <w14:schemeClr w14:val="tx1"/>
            </w14:solidFill>
          </w14:textFill>
        </w:rPr>
        <w:t>-202</w:t>
      </w:r>
      <w:r>
        <w:rPr>
          <w:rFonts w:hint="eastAsia" w:ascii="Arial" w:hAnsi="Arial" w:eastAsia="仿宋_GB2312" w:cs="Arial"/>
          <w:color w:val="000000" w:themeColor="text1"/>
          <w:sz w:val="32"/>
          <w:szCs w:val="32"/>
          <w:lang w:val="en-US" w:eastAsia="zh-CN"/>
          <w14:textFill>
            <w14:solidFill>
              <w14:schemeClr w14:val="tx1"/>
            </w14:solidFill>
          </w14:textFill>
        </w:rPr>
        <w:t>5</w:t>
      </w:r>
      <w:r>
        <w:rPr>
          <w:rFonts w:hint="default" w:ascii="Arial" w:hAnsi="Arial" w:eastAsia="仿宋_GB2312" w:cs="Arial"/>
          <w:color w:val="000000" w:themeColor="text1"/>
          <w:sz w:val="32"/>
          <w:szCs w:val="32"/>
          <w:lang w:val="en-US" w:eastAsia="zh-CN"/>
          <w14:textFill>
            <w14:solidFill>
              <w14:schemeClr w14:val="tx1"/>
            </w14:solidFill>
          </w14:textFill>
        </w:rPr>
        <w:t>年期间</w:t>
      </w:r>
      <w:r>
        <w:rPr>
          <w:rFonts w:hint="eastAsia" w:ascii="Arial" w:hAnsi="Arial" w:eastAsia="仿宋_GB2312" w:cs="Arial"/>
          <w:color w:val="000000" w:themeColor="text1"/>
          <w:sz w:val="32"/>
          <w:szCs w:val="32"/>
          <w:lang w:val="en-US" w:eastAsia="zh-CN"/>
          <w14:textFill>
            <w14:solidFill>
              <w14:schemeClr w14:val="tx1"/>
            </w14:solidFill>
          </w14:textFill>
        </w:rPr>
        <w:t>农村饮用水供水</w:t>
      </w:r>
      <w:r>
        <w:rPr>
          <w:rFonts w:hint="default" w:ascii="Arial" w:hAnsi="Arial" w:eastAsia="仿宋_GB2312" w:cs="Arial"/>
          <w:color w:val="000000" w:themeColor="text1"/>
          <w:sz w:val="32"/>
          <w:szCs w:val="32"/>
          <w:lang w:val="en-US" w:eastAsia="zh-CN"/>
          <w14:textFill>
            <w14:solidFill>
              <w14:schemeClr w14:val="tx1"/>
            </w14:solidFill>
          </w14:textFill>
        </w:rPr>
        <w:t>成本监审结论，</w:t>
      </w:r>
      <w:r>
        <w:rPr>
          <w:rFonts w:hint="eastAsia" w:ascii="Arial" w:hAnsi="Arial" w:eastAsia="仿宋_GB2312" w:cs="Arial"/>
          <w:color w:val="000000" w:themeColor="text1"/>
          <w:sz w:val="32"/>
          <w:szCs w:val="32"/>
          <w:lang w:val="en-US" w:eastAsia="zh-CN"/>
          <w14:textFill>
            <w14:solidFill>
              <w14:schemeClr w14:val="tx1"/>
            </w14:solidFill>
          </w14:textFill>
        </w:rPr>
        <w:t>调整我县农村饮用水供水价格。</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firstLine="640" w:firstLineChars="200"/>
        <w:jc w:val="both"/>
        <w:textAlignment w:val="auto"/>
        <w:rPr>
          <w:rFonts w:hint="eastAsia" w:ascii="Times New Roman" w:hAnsi="Times New Roman" w:eastAsia="黑体" w:cs="Times New Roman"/>
          <w:b w:val="0"/>
          <w:bCs/>
          <w:color w:val="000000" w:themeColor="text1"/>
          <w:sz w:val="32"/>
          <w:szCs w:val="32"/>
          <w:shd w:val="clear" w:color="auto" w:fill="FFFFFF"/>
          <w:lang w:val="en-US" w:eastAsia="zh-CN"/>
          <w14:textFill>
            <w14:solidFill>
              <w14:schemeClr w14:val="tx1"/>
            </w14:solidFill>
          </w14:textFill>
        </w:rPr>
      </w:pPr>
      <w:bookmarkStart w:id="4" w:name="_Toc20028"/>
      <w:bookmarkStart w:id="5" w:name="_Toc29460"/>
      <w:r>
        <w:rPr>
          <w:rFonts w:hint="eastAsia" w:ascii="Times New Roman" w:hAnsi="Times New Roman" w:eastAsia="黑体" w:cs="Times New Roman"/>
          <w:b w:val="0"/>
          <w:bCs/>
          <w:color w:val="000000" w:themeColor="text1"/>
          <w:sz w:val="32"/>
          <w:szCs w:val="32"/>
          <w:shd w:val="clear" w:color="auto" w:fill="FFFFFF"/>
          <w:lang w:val="en-US" w:eastAsia="zh-CN"/>
          <w14:textFill>
            <w14:solidFill>
              <w14:schemeClr w14:val="tx1"/>
            </w14:solidFill>
          </w14:textFill>
        </w:rPr>
        <w:t>三、方案制定过程</w:t>
      </w:r>
      <w:bookmarkEnd w:id="4"/>
      <w:bookmarkEnd w:id="5"/>
    </w:p>
    <w:p>
      <w:pPr>
        <w:ind w:firstLine="640" w:firstLineChars="200"/>
        <w:rPr>
          <w:rFonts w:hint="eastAsia"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（一）依法公开成本监审结论。根据《中华人民共和国价格法》《政府制定价格成本监审办法》文件，县发改委遵循公平、科学、规范、效率的原则，对</w:t>
      </w:r>
      <w:r>
        <w:rPr>
          <w:rFonts w:hint="eastAsia" w:ascii="方正仿宋_GBK" w:hAnsi="方正仿宋_GBK" w:eastAsia="方正仿宋_GBK" w:cs="方正仿宋_GBK"/>
          <w:kern w:val="2"/>
          <w:sz w:val="32"/>
          <w:szCs w:val="32"/>
          <w:lang w:val="en-US" w:eastAsia="zh-CN" w:bidi="ar-SA"/>
        </w:rPr>
        <w:t>阿克陶县汇泽圆水利建设投资开发有限责任公司2023年至2025年农村饮用水成本费用进行了监审</w:t>
      </w:r>
      <w:r>
        <w:rPr>
          <w:rFonts w:hint="eastAsia" w:ascii="Arial" w:hAnsi="Arial" w:eastAsia="仿宋_GB2312" w:cs="Arial"/>
          <w:color w:val="000000" w:themeColor="text1"/>
          <w:sz w:val="32"/>
          <w:szCs w:val="32"/>
          <w:lang w:val="en-US" w:eastAsia="zh-CN"/>
          <w14:textFill>
            <w14:solidFill>
              <w14:schemeClr w14:val="tx1"/>
            </w14:solidFill>
          </w14:textFill>
        </w:rPr>
        <w:t>并依法将成本监审结论予以公开。</w:t>
      </w:r>
    </w:p>
    <w:p>
      <w:pPr>
        <w:ind w:firstLine="640" w:firstLineChars="200"/>
        <w:rPr>
          <w:rFonts w:hint="default" w:ascii="Arial" w:hAnsi="Arial" w:eastAsia="仿宋_GB2312" w:cs="Arial"/>
          <w:color w:val="000000" w:themeColor="text1"/>
          <w:sz w:val="32"/>
          <w:szCs w:val="32"/>
          <w:lang w:val="en-US" w:eastAsia="zh-CN"/>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（二）合理合法拟定价格方案。县发改委依据</w:t>
      </w:r>
      <w:r>
        <w:rPr>
          <w:rFonts w:hint="eastAsia" w:ascii="仿宋" w:hAnsi="仿宋" w:eastAsia="仿宋" w:cs="仿宋"/>
          <w:b w:val="0"/>
          <w:bCs/>
          <w:color w:val="000000"/>
          <w:sz w:val="32"/>
          <w:szCs w:val="32"/>
          <w:shd w:val="clear" w:color="auto" w:fill="FFFFFF"/>
          <w:lang w:val="en-US" w:eastAsia="zh-CN"/>
        </w:rPr>
        <w:t>《新疆维吾尔自治区城镇供水价格管理实施细则》</w:t>
      </w:r>
      <w:r>
        <w:rPr>
          <w:rFonts w:hint="eastAsia" w:ascii="Arial" w:hAnsi="Arial" w:eastAsia="仿宋_GB2312" w:cs="Arial"/>
          <w:color w:val="000000" w:themeColor="text1"/>
          <w:sz w:val="32"/>
          <w:szCs w:val="32"/>
          <w:lang w:val="en-US" w:eastAsia="zh-CN"/>
          <w14:textFill>
            <w14:solidFill>
              <w14:schemeClr w14:val="tx1"/>
            </w14:solidFill>
          </w14:textFill>
        </w:rPr>
        <w:t>《新疆维吾尔自治区定价目录》</w:t>
      </w:r>
      <w:r>
        <w:rPr>
          <w:rFonts w:hint="eastAsia" w:ascii="仿宋" w:hAnsi="仿宋" w:eastAsia="仿宋" w:cs="仿宋"/>
          <w:b w:val="0"/>
          <w:bCs/>
          <w:color w:val="000000"/>
          <w:sz w:val="32"/>
          <w:szCs w:val="32"/>
          <w:shd w:val="clear" w:color="auto" w:fill="FFFFFF"/>
          <w:lang w:val="en-US" w:eastAsia="zh-CN"/>
        </w:rPr>
        <w:t>，结合</w:t>
      </w:r>
      <w:r>
        <w:rPr>
          <w:rFonts w:hint="eastAsia" w:ascii="Arial" w:hAnsi="Arial" w:eastAsia="仿宋_GB2312" w:cs="Arial"/>
          <w:color w:val="000000" w:themeColor="text1"/>
          <w:sz w:val="32"/>
          <w:szCs w:val="32"/>
          <w:lang w:val="en-US" w:eastAsia="zh-CN"/>
          <w14:textFill>
            <w14:solidFill>
              <w14:schemeClr w14:val="tx1"/>
            </w14:solidFill>
          </w14:textFill>
        </w:rPr>
        <w:t>成本监审结果，按照“准许成本+合理收益”的原则，</w:t>
      </w:r>
      <w:r>
        <w:rPr>
          <w:rFonts w:hint="default" w:ascii="Arial" w:hAnsi="Arial" w:eastAsia="仿宋_GB2312" w:cs="Arial"/>
          <w:color w:val="000000" w:themeColor="text1"/>
          <w:sz w:val="32"/>
          <w:szCs w:val="32"/>
          <w:lang w:val="en-US" w:eastAsia="zh-CN"/>
          <w14:textFill>
            <w14:solidFill>
              <w14:schemeClr w14:val="tx1"/>
            </w14:solidFill>
          </w14:textFill>
        </w:rPr>
        <w:t>并充分考虑</w:t>
      </w:r>
      <w:r>
        <w:rPr>
          <w:rFonts w:hint="eastAsia" w:ascii="Arial" w:hAnsi="Arial" w:eastAsia="仿宋_GB2312" w:cs="Arial"/>
          <w:color w:val="000000" w:themeColor="text1"/>
          <w:sz w:val="32"/>
          <w:szCs w:val="32"/>
          <w:lang w:val="en-US" w:eastAsia="zh-CN"/>
          <w14:textFill>
            <w14:solidFill>
              <w14:schemeClr w14:val="tx1"/>
            </w14:solidFill>
          </w14:textFill>
        </w:rPr>
        <w:t>阿克陶县</w:t>
      </w:r>
      <w:r>
        <w:rPr>
          <w:rFonts w:hint="default" w:ascii="Arial" w:hAnsi="Arial" w:eastAsia="仿宋_GB2312" w:cs="Arial"/>
          <w:color w:val="000000" w:themeColor="text1"/>
          <w:sz w:val="32"/>
          <w:szCs w:val="32"/>
          <w:lang w:val="en-US" w:eastAsia="zh-CN"/>
          <w14:textFill>
            <w14:solidFill>
              <w14:schemeClr w14:val="tx1"/>
            </w14:solidFill>
          </w14:textFill>
        </w:rPr>
        <w:t>的经济社会</w:t>
      </w:r>
      <w:r>
        <w:rPr>
          <w:rFonts w:hint="eastAsia" w:ascii="Arial" w:hAnsi="Arial" w:eastAsia="仿宋_GB2312" w:cs="Arial"/>
          <w:color w:val="000000" w:themeColor="text1"/>
          <w:sz w:val="32"/>
          <w:szCs w:val="32"/>
          <w:lang w:val="en-US" w:eastAsia="zh-CN"/>
          <w14:textFill>
            <w14:solidFill>
              <w14:schemeClr w14:val="tx1"/>
            </w14:solidFill>
          </w14:textFill>
        </w:rPr>
        <w:t>发展</w:t>
      </w:r>
      <w:r>
        <w:rPr>
          <w:rFonts w:hint="default" w:ascii="Arial" w:hAnsi="Arial" w:eastAsia="仿宋_GB2312" w:cs="Arial"/>
          <w:color w:val="000000" w:themeColor="text1"/>
          <w:sz w:val="32"/>
          <w:szCs w:val="32"/>
          <w:lang w:val="en-US" w:eastAsia="zh-CN"/>
          <w14:textFill>
            <w14:solidFill>
              <w14:schemeClr w14:val="tx1"/>
            </w14:solidFill>
          </w14:textFill>
        </w:rPr>
        <w:t>水平和</w:t>
      </w:r>
      <w:r>
        <w:rPr>
          <w:rFonts w:hint="eastAsia" w:ascii="Arial" w:hAnsi="Arial" w:eastAsia="仿宋_GB2312" w:cs="Arial"/>
          <w:color w:val="000000" w:themeColor="text1"/>
          <w:sz w:val="32"/>
          <w:szCs w:val="32"/>
          <w:lang w:val="en-US" w:eastAsia="zh-CN"/>
          <w14:textFill>
            <w14:solidFill>
              <w14:schemeClr w14:val="tx1"/>
            </w14:solidFill>
          </w14:textFill>
        </w:rPr>
        <w:t>群众</w:t>
      </w:r>
      <w:r>
        <w:rPr>
          <w:rFonts w:hint="default" w:ascii="Arial" w:hAnsi="Arial" w:eastAsia="仿宋_GB2312" w:cs="Arial"/>
          <w:color w:val="000000" w:themeColor="text1"/>
          <w:sz w:val="32"/>
          <w:szCs w:val="32"/>
          <w:lang w:val="en-US" w:eastAsia="zh-CN"/>
          <w14:textFill>
            <w14:solidFill>
              <w14:schemeClr w14:val="tx1"/>
            </w14:solidFill>
          </w14:textFill>
        </w:rPr>
        <w:t>承受力</w:t>
      </w:r>
      <w:r>
        <w:rPr>
          <w:rFonts w:hint="eastAsia" w:ascii="Arial" w:hAnsi="Arial" w:eastAsia="仿宋_GB2312" w:cs="Arial"/>
          <w:color w:val="000000" w:themeColor="text1"/>
          <w:sz w:val="32"/>
          <w:szCs w:val="32"/>
          <w:lang w:val="en-US" w:eastAsia="zh-CN"/>
          <w14:textFill>
            <w14:solidFill>
              <w14:schemeClr w14:val="tx1"/>
            </w14:solidFill>
          </w14:textFill>
        </w:rPr>
        <w:t>，拟定调价方案，方案中区分不同用水类型制定基础水价、完善居民阶梯水价制度和非居民用水超定额累进加价制度，同步完善特困群体优惠政策，拟定方案后通过书面及网络多方征求意见。</w:t>
      </w:r>
    </w:p>
    <w:p>
      <w:pPr>
        <w:rPr>
          <w:rFonts w:hint="eastAsia" w:ascii="Arial" w:hAnsi="Arial" w:eastAsia="仿宋_GB2312" w:cs="Arial"/>
          <w:color w:val="000000" w:themeColor="text1"/>
          <w:sz w:val="32"/>
          <w:szCs w:val="32"/>
          <w:lang w:val="en-US" w:eastAsia="zh-CN"/>
          <w14:textFill>
            <w14:solidFill>
              <w14:schemeClr w14:val="tx1"/>
            </w14:solidFill>
          </w14:textFill>
        </w:rPr>
      </w:pPr>
    </w:p>
    <w:sectPr>
      <w:footerReference r:id="rId3" w:type="default"/>
      <w:pgSz w:w="11906" w:h="16838"/>
      <w:pgMar w:top="2098" w:right="1531" w:bottom="1984" w:left="1531" w:header="2041" w:footer="187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86"/>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3000509000000000000"/>
    <w:charset w:val="86"/>
    <w:family w:val="auto"/>
    <w:pitch w:val="default"/>
    <w:sig w:usb0="00000001" w:usb1="080E0000" w:usb2="00000000" w:usb3="00000000" w:csb0="00040000" w:csb1="00000000"/>
  </w:font>
  <w:font w:name="??">
    <w:altName w:val="C059"/>
    <w:panose1 w:val="00000000000000000000"/>
    <w:charset w:val="00"/>
    <w:family w:val="auto"/>
    <w:pitch w:val="default"/>
    <w:sig w:usb0="00000000" w:usb1="00000000" w:usb2="00000000" w:usb3="00000000" w:csb0="00000001" w:csb1="00000000"/>
  </w:font>
  <w:font w:name="C059">
    <w:panose1 w:val="00000500000000000000"/>
    <w:charset w:val="00"/>
    <w:family w:val="auto"/>
    <w:pitch w:val="default"/>
    <w:sig w:usb0="00000287" w:usb1="00000800" w:usb2="00000000" w:usb3="00000000" w:csb0="6000009F"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å¾®è½¯é›…é»‘">
    <w:altName w:val="华文中宋"/>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FEFD66"/>
    <w:multiLevelType w:val="singleLevel"/>
    <w:tmpl w:val="2DFEFD6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EF3738"/>
    <w:rsid w:val="043D1758"/>
    <w:rsid w:val="04BC7C56"/>
    <w:rsid w:val="086467C1"/>
    <w:rsid w:val="09B47368"/>
    <w:rsid w:val="0C234F61"/>
    <w:rsid w:val="0D742B2B"/>
    <w:rsid w:val="104D69FE"/>
    <w:rsid w:val="12084388"/>
    <w:rsid w:val="1257442B"/>
    <w:rsid w:val="13570300"/>
    <w:rsid w:val="13A07CD0"/>
    <w:rsid w:val="13D27583"/>
    <w:rsid w:val="145A2A00"/>
    <w:rsid w:val="15AF774F"/>
    <w:rsid w:val="17940A34"/>
    <w:rsid w:val="19BF0033"/>
    <w:rsid w:val="1BE51AC8"/>
    <w:rsid w:val="1E2B02C4"/>
    <w:rsid w:val="1EEED21E"/>
    <w:rsid w:val="1F4111B2"/>
    <w:rsid w:val="1FC133E9"/>
    <w:rsid w:val="1FFFF15D"/>
    <w:rsid w:val="209A5FE9"/>
    <w:rsid w:val="226F5BD7"/>
    <w:rsid w:val="22FA609E"/>
    <w:rsid w:val="23921E66"/>
    <w:rsid w:val="23A77064"/>
    <w:rsid w:val="23CE1D60"/>
    <w:rsid w:val="26B70CF4"/>
    <w:rsid w:val="27F83186"/>
    <w:rsid w:val="282D5E0E"/>
    <w:rsid w:val="284106F7"/>
    <w:rsid w:val="2B3A857C"/>
    <w:rsid w:val="2B6B57DD"/>
    <w:rsid w:val="2C9655E6"/>
    <w:rsid w:val="2CF68742"/>
    <w:rsid w:val="2D7F357C"/>
    <w:rsid w:val="2E016585"/>
    <w:rsid w:val="2E233BB8"/>
    <w:rsid w:val="2EEF3738"/>
    <w:rsid w:val="2EF92741"/>
    <w:rsid w:val="325845B1"/>
    <w:rsid w:val="33C52FF0"/>
    <w:rsid w:val="347B7BFA"/>
    <w:rsid w:val="37FF347E"/>
    <w:rsid w:val="384A0F1B"/>
    <w:rsid w:val="39612862"/>
    <w:rsid w:val="39C77B82"/>
    <w:rsid w:val="39E4587F"/>
    <w:rsid w:val="3A1357D6"/>
    <w:rsid w:val="3A4F7CCD"/>
    <w:rsid w:val="3B0C7E37"/>
    <w:rsid w:val="3B7C3165"/>
    <w:rsid w:val="3D600A5E"/>
    <w:rsid w:val="3F3E4599"/>
    <w:rsid w:val="3FBC21A5"/>
    <w:rsid w:val="3FD50E5A"/>
    <w:rsid w:val="3FDD8069"/>
    <w:rsid w:val="3FF7A89D"/>
    <w:rsid w:val="42BF5571"/>
    <w:rsid w:val="42ED210F"/>
    <w:rsid w:val="43AF3E85"/>
    <w:rsid w:val="44541C09"/>
    <w:rsid w:val="44F22CA4"/>
    <w:rsid w:val="45C15B40"/>
    <w:rsid w:val="45D056CB"/>
    <w:rsid w:val="45D8170D"/>
    <w:rsid w:val="48996FB4"/>
    <w:rsid w:val="4E3F2252"/>
    <w:rsid w:val="4F7BFD8F"/>
    <w:rsid w:val="50EF5F49"/>
    <w:rsid w:val="51083C7D"/>
    <w:rsid w:val="52CA7BA0"/>
    <w:rsid w:val="566F3F5D"/>
    <w:rsid w:val="57336FF1"/>
    <w:rsid w:val="57F94FFA"/>
    <w:rsid w:val="583026C1"/>
    <w:rsid w:val="58837184"/>
    <w:rsid w:val="59081457"/>
    <w:rsid w:val="5BFEB4E2"/>
    <w:rsid w:val="5BFF35C8"/>
    <w:rsid w:val="5E411203"/>
    <w:rsid w:val="5F1A035B"/>
    <w:rsid w:val="5F4F2BE5"/>
    <w:rsid w:val="5F6F1527"/>
    <w:rsid w:val="5FAF1742"/>
    <w:rsid w:val="5FD17BEA"/>
    <w:rsid w:val="5FEB3459"/>
    <w:rsid w:val="609A53FC"/>
    <w:rsid w:val="60A57CA6"/>
    <w:rsid w:val="66627A32"/>
    <w:rsid w:val="673B426B"/>
    <w:rsid w:val="67450930"/>
    <w:rsid w:val="69E92C11"/>
    <w:rsid w:val="6B1F5809"/>
    <w:rsid w:val="6D3D4D30"/>
    <w:rsid w:val="6D505907"/>
    <w:rsid w:val="6E1873B0"/>
    <w:rsid w:val="6FAC1929"/>
    <w:rsid w:val="6FBE91AB"/>
    <w:rsid w:val="6FFF506D"/>
    <w:rsid w:val="73BDFC2E"/>
    <w:rsid w:val="759DA6D3"/>
    <w:rsid w:val="77013531"/>
    <w:rsid w:val="77FB9B5A"/>
    <w:rsid w:val="7867617D"/>
    <w:rsid w:val="796FA4EF"/>
    <w:rsid w:val="7B33233B"/>
    <w:rsid w:val="7C0052AA"/>
    <w:rsid w:val="7CDE5893"/>
    <w:rsid w:val="7CE14DEC"/>
    <w:rsid w:val="7D7A582D"/>
    <w:rsid w:val="7E562155"/>
    <w:rsid w:val="7E7D0A2D"/>
    <w:rsid w:val="7E7D710B"/>
    <w:rsid w:val="7EDBCE2F"/>
    <w:rsid w:val="7F1D6ECA"/>
    <w:rsid w:val="7F5F570C"/>
    <w:rsid w:val="7F8522C1"/>
    <w:rsid w:val="8F7D4FB1"/>
    <w:rsid w:val="9CFF51CA"/>
    <w:rsid w:val="A4FCC805"/>
    <w:rsid w:val="ABEE2F64"/>
    <w:rsid w:val="AEFE5801"/>
    <w:rsid w:val="AFFF2512"/>
    <w:rsid w:val="BBF2D8AE"/>
    <w:rsid w:val="BBFDFEDF"/>
    <w:rsid w:val="BEFECBBF"/>
    <w:rsid w:val="BF4BFADE"/>
    <w:rsid w:val="BFBF92AE"/>
    <w:rsid w:val="BFFF47EC"/>
    <w:rsid w:val="C9F5B3E6"/>
    <w:rsid w:val="CDDF4C0A"/>
    <w:rsid w:val="D9B7126F"/>
    <w:rsid w:val="DF5F257D"/>
    <w:rsid w:val="DF6FF91C"/>
    <w:rsid w:val="DF8F23BC"/>
    <w:rsid w:val="DFBFB75A"/>
    <w:rsid w:val="DFED62AA"/>
    <w:rsid w:val="DFEF9100"/>
    <w:rsid w:val="DFF5E605"/>
    <w:rsid w:val="E6713BFA"/>
    <w:rsid w:val="E6FEEDA6"/>
    <w:rsid w:val="E73E52C9"/>
    <w:rsid w:val="E8FFD47C"/>
    <w:rsid w:val="EC17AF68"/>
    <w:rsid w:val="ECC86B5F"/>
    <w:rsid w:val="ED3D1ACF"/>
    <w:rsid w:val="EEB5BC00"/>
    <w:rsid w:val="EFEB26EA"/>
    <w:rsid w:val="F4D71EE5"/>
    <w:rsid w:val="F6FD9DD2"/>
    <w:rsid w:val="F7321101"/>
    <w:rsid w:val="F7663402"/>
    <w:rsid w:val="F7FE7955"/>
    <w:rsid w:val="FDF70411"/>
    <w:rsid w:val="FDFAC4ED"/>
    <w:rsid w:val="FED5BEF7"/>
    <w:rsid w:val="FEF9DA5A"/>
    <w:rsid w:val="FF7BB564"/>
    <w:rsid w:val="FFE71289"/>
    <w:rsid w:val="FFE74CB3"/>
    <w:rsid w:val="FFE7918F"/>
    <w:rsid w:val="FFFDD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eastAsia="黑体"/>
      <w:sz w:val="32"/>
      <w:szCs w:val="28"/>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5"/>
    <w:next w:val="6"/>
    <w:unhideWhenUsed/>
    <w:qFormat/>
    <w:uiPriority w:val="0"/>
    <w:pPr>
      <w:keepNext w:val="0"/>
      <w:keepLines w:val="0"/>
      <w:spacing w:beforeLines="0" w:beforeAutospacing="0" w:afterLines="0" w:afterAutospacing="0" w:line="560" w:lineRule="exact"/>
      <w:outlineLvl w:val="2"/>
    </w:pPr>
    <w:rPr>
      <w:rFonts w:eastAsia="黑体"/>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afterLines="0" w:afterAutospacing="0"/>
    </w:pPr>
  </w:style>
  <w:style w:type="paragraph" w:styleId="6">
    <w:name w:val="table of authorities"/>
    <w:basedOn w:val="1"/>
    <w:next w:val="1"/>
    <w:qFormat/>
    <w:uiPriority w:val="0"/>
    <w:pPr>
      <w:ind w:left="420" w:leftChars="200"/>
    </w:pPr>
  </w:style>
  <w:style w:type="paragraph" w:styleId="7">
    <w:name w:val="Body Text Indent"/>
    <w:basedOn w:val="1"/>
    <w:qFormat/>
    <w:uiPriority w:val="0"/>
    <w:pPr>
      <w:spacing w:line="560" w:lineRule="exact"/>
      <w:ind w:firstLine="600" w:firstLineChars="200"/>
    </w:pPr>
    <w:rPr>
      <w:rFonts w:ascii="仿宋_GB2312" w:hAnsi="Times New Roman" w:eastAsia="仿宋_GB2312"/>
      <w:sz w:val="30"/>
      <w:szCs w:val="30"/>
    </w:rPr>
  </w:style>
  <w:style w:type="paragraph" w:styleId="8">
    <w:name w:val="footer"/>
    <w:basedOn w:val="1"/>
    <w:qFormat/>
    <w:uiPriority w:val="0"/>
    <w:pPr>
      <w:tabs>
        <w:tab w:val="center" w:pos="4153"/>
        <w:tab w:val="right" w:pos="8306"/>
      </w:tabs>
      <w:snapToGrid w:val="0"/>
      <w:jc w:val="left"/>
    </w:pPr>
    <w:rPr>
      <w:sz w:val="18"/>
    </w:rPr>
  </w:style>
  <w:style w:type="paragraph" w:styleId="9">
    <w:name w:val="envelope return"/>
    <w:basedOn w:val="1"/>
    <w:unhideWhenUsed/>
    <w:qFormat/>
    <w:uiPriority w:val="99"/>
    <w:rPr>
      <w:rFonts w:ascii="Arial" w:hAnsi="Arial"/>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Title"/>
    <w:basedOn w:val="1"/>
    <w:next w:val="1"/>
    <w:qFormat/>
    <w:uiPriority w:val="99"/>
    <w:pPr>
      <w:overflowPunct w:val="0"/>
      <w:adjustRightInd w:val="0"/>
      <w:snapToGrid w:val="0"/>
      <w:spacing w:line="440" w:lineRule="exact"/>
      <w:jc w:val="center"/>
      <w:outlineLvl w:val="0"/>
    </w:pPr>
    <w:rPr>
      <w:rFonts w:ascii="Cambria" w:hAnsi="Cambria" w:eastAsia="方正小标宋_GBK" w:cs="Cambria"/>
      <w:sz w:val="32"/>
      <w:szCs w:val="32"/>
    </w:rPr>
  </w:style>
  <w:style w:type="paragraph" w:styleId="13">
    <w:name w:val="Body Text First Indent"/>
    <w:basedOn w:val="5"/>
    <w:next w:val="14"/>
    <w:unhideWhenUsed/>
    <w:qFormat/>
    <w:uiPriority w:val="99"/>
    <w:pPr>
      <w:keepNext w:val="0"/>
      <w:keepLines w:val="0"/>
      <w:widowControl w:val="0"/>
      <w:suppressLineNumbers w:val="0"/>
      <w:spacing w:before="0" w:beforeAutospacing="0" w:after="120" w:afterAutospacing="0"/>
      <w:ind w:left="0" w:right="0" w:firstLine="420" w:firstLineChars="100"/>
      <w:jc w:val="both"/>
    </w:pPr>
    <w:rPr>
      <w:rFonts w:hint="default" w:ascii="??" w:hAnsi="??" w:eastAsia="宋体" w:cs="Times New Roman"/>
      <w:kern w:val="2"/>
      <w:sz w:val="21"/>
      <w:szCs w:val="22"/>
      <w:lang w:val="en-US" w:eastAsia="zh-CN" w:bidi="ar"/>
    </w:rPr>
  </w:style>
  <w:style w:type="paragraph" w:styleId="14">
    <w:name w:val="Body Text First Indent 2"/>
    <w:basedOn w:val="7"/>
    <w:qFormat/>
    <w:uiPriority w:val="0"/>
    <w:pPr>
      <w:ind w:firstLine="420"/>
    </w:pPr>
  </w:style>
  <w:style w:type="character" w:styleId="17">
    <w:name w:val="Emphasis"/>
    <w:basedOn w:val="16"/>
    <w:qFormat/>
    <w:uiPriority w:val="0"/>
    <w:rPr>
      <w:i/>
    </w:rPr>
  </w:style>
  <w:style w:type="character" w:styleId="18">
    <w:name w:val="Hyperlink"/>
    <w:basedOn w:val="16"/>
    <w:qFormat/>
    <w:uiPriority w:val="0"/>
    <w:rPr>
      <w:color w:val="0000FF"/>
      <w:u w:val="single"/>
    </w:rPr>
  </w:style>
  <w:style w:type="paragraph" w:customStyle="1" w:styleId="19">
    <w:name w:val="xl27"/>
    <w:basedOn w:val="1"/>
    <w:qFormat/>
    <w:uiPriority w:val="99"/>
    <w:pPr>
      <w:widowControl/>
      <w:pBdr>
        <w:bottom w:val="single" w:color="auto" w:sz="4" w:space="0"/>
        <w:right w:val="single" w:color="auto" w:sz="4" w:space="0"/>
      </w:pBdr>
      <w:spacing w:before="100" w:beforeAutospacing="1" w:after="100" w:afterAutospacing="1"/>
      <w:jc w:val="center"/>
    </w:pPr>
    <w:rPr>
      <w:kern w:val="0"/>
      <w:szCs w:val="21"/>
    </w:rPr>
  </w:style>
  <w:style w:type="paragraph" w:customStyle="1" w:styleId="20">
    <w:name w:val="Body Text 2"/>
    <w:basedOn w:val="1"/>
    <w:qFormat/>
    <w:uiPriority w:val="0"/>
    <w:pPr>
      <w:spacing w:after="120" w:line="480" w:lineRule="auto"/>
    </w:pPr>
    <w:rPr>
      <w:rFonts w:ascii="Times New Roman" w:hAnsi="Times New Roman"/>
    </w:rPr>
  </w:style>
  <w:style w:type="character" w:customStyle="1" w:styleId="21">
    <w:name w:val="font01"/>
    <w:basedOn w:val="16"/>
    <w:qFormat/>
    <w:uiPriority w:val="0"/>
    <w:rPr>
      <w:rFonts w:hint="eastAsia" w:ascii="宋体" w:hAnsi="宋体" w:eastAsia="宋体" w:cs="宋体"/>
      <w:color w:val="000000"/>
      <w:sz w:val="20"/>
      <w:szCs w:val="20"/>
      <w:u w:val="none"/>
    </w:rPr>
  </w:style>
  <w:style w:type="character" w:customStyle="1" w:styleId="22">
    <w:name w:val="font11"/>
    <w:basedOn w:val="16"/>
    <w:qFormat/>
    <w:uiPriority w:val="0"/>
    <w:rPr>
      <w:rFonts w:hint="eastAsia" w:ascii="宋体" w:hAnsi="宋体" w:eastAsia="宋体" w:cs="宋体"/>
      <w:color w:val="000000"/>
      <w:sz w:val="22"/>
      <w:szCs w:val="22"/>
      <w:u w:val="none"/>
    </w:rPr>
  </w:style>
  <w:style w:type="character" w:customStyle="1" w:styleId="23">
    <w:name w:val="font21"/>
    <w:basedOn w:val="16"/>
    <w:qFormat/>
    <w:uiPriority w:val="0"/>
    <w:rPr>
      <w:rFonts w:hint="eastAsia" w:ascii="方正仿宋_GBK" w:hAns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2023-10-23T03:22:00Z</dcterms:created>
  <dc:creator>Administrator</dc:creator>
  <cp:lastModifiedBy>user</cp:lastModifiedBy>
  <cp:lastPrinted>2026-08-25T08:36:00Z</cp:lastPrinted>
  <dcterms:modified xsi:type="dcterms:W3CDTF">2026-10-21T18:24:14Z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505E6F7287D6F2334790796A2F813068</vt:lpwstr>
  </property>
</Properties>
</file>