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52"/>
          <w:szCs w:val="52"/>
        </w:rPr>
      </w:pPr>
      <w:bookmarkStart w:id="2" w:name="_GoBack"/>
      <w:bookmarkEnd w:id="2"/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阿克陶县</w:t>
      </w:r>
      <w:r>
        <w:rPr>
          <w:rFonts w:hint="eastAsia" w:ascii="华文中宋" w:hAnsi="华文中宋" w:eastAsia="华文中宋" w:cs="华文中宋"/>
          <w:sz w:val="52"/>
          <w:szCs w:val="52"/>
        </w:rPr>
        <w:t>财政运行情况分析</w:t>
      </w:r>
    </w:p>
    <w:p>
      <w:pPr>
        <w:pStyle w:val="2"/>
        <w:ind w:left="0" w:leftChars="0" w:firstLine="0" w:firstLineChars="0"/>
      </w:pP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阿克陶县</w:t>
      </w:r>
      <w:r>
        <w:rPr>
          <w:rFonts w:hint="eastAsia" w:ascii="仿宋_GB2312" w:eastAsia="仿宋_GB2312"/>
          <w:b/>
          <w:sz w:val="30"/>
          <w:szCs w:val="30"/>
        </w:rPr>
        <w:t>经济和财政运行情况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截止3月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阿克陶县预算收入完成情况及进度。</w:t>
      </w:r>
    </w:p>
    <w:p>
      <w:pPr>
        <w:spacing w:line="560" w:lineRule="exact"/>
        <w:ind w:firstLine="594" w:firstLineChars="198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完成地方财政收入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13028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19.1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，比上年同期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2393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22.5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。在地方财政收入中，一般预算收入完成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12145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22.5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3376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38.5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，其中：税收收入完成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9876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27.5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4900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98.5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非税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2269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12.6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减收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1524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40.2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883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万元。 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二、税收收入增减情况分析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textAlignment w:val="auto"/>
        <w:outlineLvl w:val="9"/>
        <w:rPr>
          <w:rFonts w:hint="default" w:ascii="黑体" w:hAnsi="黑体" w:eastAsia="黑体"/>
          <w:color w:val="auto"/>
          <w:sz w:val="32"/>
          <w:highlight w:val="none"/>
          <w:lang w:val="en-US" w:eastAsia="zh-CN"/>
        </w:rPr>
      </w:pPr>
      <w:bookmarkStart w:id="0" w:name="_Toc6148"/>
      <w:bookmarkStart w:id="1" w:name="_Toc513461895"/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（一）</w:t>
      </w:r>
      <w:r>
        <w:rPr>
          <w:rFonts w:hint="eastAsia" w:ascii="黑体" w:hAnsi="黑体" w:eastAsia="黑体"/>
          <w:color w:val="auto"/>
          <w:sz w:val="32"/>
          <w:highlight w:val="none"/>
        </w:rPr>
        <w:t>组织收入基本情况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截至目前我局第一季度组织收入完成19061万元，同比增收9428万元，增长97.87%，完成全年收入目标的35.28%。其中中央级收入9024万元，同比增收4680万元，增长107.29%，地方级收入10037万元，同比增收4766万元，增长91.42%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阿克陶县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税务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局地方级税收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增收2376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增长205.54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3月</w:t>
      </w:r>
      <w:r>
        <w:rPr>
          <w:rFonts w:hint="eastAsia" w:ascii="仿宋_GB2312" w:eastAsia="仿宋_GB2312"/>
          <w:color w:val="auto"/>
          <w:sz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增收方面：</w:t>
      </w:r>
      <w:r>
        <w:rPr>
          <w:rFonts w:hint="eastAsia" w:ascii="仿宋_GB2312" w:eastAsia="仿宋_GB2312"/>
          <w:color w:val="auto"/>
          <w:sz w:val="32"/>
          <w:highlight w:val="none"/>
        </w:rPr>
        <w:t>入库增值税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1601.5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增收892</w:t>
      </w:r>
      <w:r>
        <w:rPr>
          <w:rFonts w:hint="eastAsia" w:ascii="仿宋_GB2312" w:eastAsia="仿宋_GB2312"/>
          <w:color w:val="auto"/>
          <w:sz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增长125.72</w:t>
      </w:r>
      <w:r>
        <w:rPr>
          <w:rFonts w:hint="eastAsia" w:ascii="仿宋_GB2312" w:eastAsia="仿宋_GB2312"/>
          <w:color w:val="auto"/>
          <w:sz w:val="32"/>
          <w:highlight w:val="none"/>
        </w:rPr>
        <w:t>%；入库企业所得税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341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增收338</w:t>
      </w:r>
      <w:r>
        <w:rPr>
          <w:rFonts w:hint="eastAsia" w:ascii="仿宋_GB2312" w:eastAsia="仿宋_GB2312"/>
          <w:color w:val="auto"/>
          <w:sz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highlight w:val="none"/>
        </w:rPr>
        <w:t>入库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资源税1331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增收1211</w:t>
      </w:r>
      <w:r>
        <w:rPr>
          <w:rFonts w:hint="eastAsia" w:ascii="仿宋_GB2312" w:eastAsia="仿宋_GB2312"/>
          <w:color w:val="auto"/>
          <w:sz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入库城市维护建设税96万元，同比增收69万元，增长255.56%；入库印花税43万元，同比增收31万元，增长258.33%；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减收方面：</w:t>
      </w:r>
      <w:r>
        <w:rPr>
          <w:rFonts w:hint="eastAsia" w:ascii="仿宋_GB2312" w:eastAsia="仿宋_GB2312"/>
          <w:color w:val="auto"/>
          <w:sz w:val="32"/>
          <w:highlight w:val="none"/>
        </w:rPr>
        <w:t>入库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color w:val="auto"/>
          <w:sz w:val="32"/>
          <w:highlight w:val="none"/>
        </w:rPr>
        <w:t>所得税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减收18</w:t>
      </w:r>
      <w:r>
        <w:rPr>
          <w:rFonts w:hint="eastAsia" w:ascii="仿宋_GB2312" w:eastAsia="仿宋_GB2312"/>
          <w:color w:val="auto"/>
          <w:sz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降低40</w:t>
      </w:r>
      <w:r>
        <w:rPr>
          <w:rFonts w:hint="eastAsia" w:ascii="仿宋_GB2312" w:eastAsia="仿宋_GB2312"/>
          <w:color w:val="auto"/>
          <w:sz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入库土地增值税11万元，同比减收2万元，降低15.38%；入库房产税2万元，同比减收10万元，降低10.33%；入库车船税40万元，同比减收29万元，降低42.03%；入库耕地占用税0万元，同比减收105万元；入库契税32万元，同比减收10万元，降低23.81%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jc w:val="left"/>
        <w:textAlignment w:val="auto"/>
        <w:outlineLvl w:val="9"/>
        <w:rPr>
          <w:rFonts w:hint="default" w:ascii="黑体" w:hAnsi="黑体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highlight w:val="none"/>
          <w:lang w:val="en-US" w:eastAsia="zh-CN"/>
        </w:rPr>
        <w:t>（二）分税种增减因素分析</w:t>
      </w:r>
    </w:p>
    <w:p>
      <w:pPr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1、增值税增收的主要因素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3月</w:t>
      </w:r>
      <w:r>
        <w:rPr>
          <w:rFonts w:hint="eastAsia" w:ascii="仿宋_GB2312" w:eastAsia="仿宋_GB2312"/>
          <w:color w:val="auto"/>
          <w:sz w:val="32"/>
          <w:highlight w:val="none"/>
        </w:rPr>
        <w:t>，入库增值税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1601.5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增收892</w:t>
      </w:r>
      <w:r>
        <w:rPr>
          <w:rFonts w:hint="eastAsia" w:ascii="仿宋_GB2312" w:eastAsia="仿宋_GB2312"/>
          <w:color w:val="auto"/>
          <w:sz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增长125.72</w:t>
      </w:r>
      <w:r>
        <w:rPr>
          <w:rFonts w:hint="eastAsia" w:ascii="仿宋_GB2312" w:eastAsia="仿宋_GB2312"/>
          <w:color w:val="auto"/>
          <w:sz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原因一是今年纳税贡献值较高的税源企业数量比去年同期多；二是部分欠税企业清理欠税，新疆葱岭能源缴纳欠缴增值税412万元，永兴建筑清理欠缴增值税25万元；三是2021年11月办理专项缓税金额增值税入库622万元。</w:t>
      </w:r>
    </w:p>
    <w:p>
      <w:pPr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2、企业所得税增收因素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b/>
          <w:bCs/>
          <w:color w:val="auto"/>
          <w:sz w:val="32"/>
          <w:highlight w:val="lightGray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3月，</w:t>
      </w:r>
      <w:r>
        <w:rPr>
          <w:rFonts w:hint="eastAsia" w:ascii="仿宋_GB2312" w:eastAsia="仿宋_GB2312"/>
          <w:color w:val="auto"/>
          <w:sz w:val="32"/>
          <w:highlight w:val="none"/>
        </w:rPr>
        <w:t>入库企业所得税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341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增收338</w:t>
      </w:r>
      <w:r>
        <w:rPr>
          <w:rFonts w:hint="eastAsia" w:ascii="仿宋_GB2312" w:eastAsia="仿宋_GB2312"/>
          <w:color w:val="auto"/>
          <w:sz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部分欠税企业清理欠税，新疆葱岭能源缴纳欠缴企业所得税313万元，乾盛矿业缴纳反避税税款23万元。</w:t>
      </w:r>
    </w:p>
    <w:p>
      <w:pPr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3、个人所得税减收因素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highlight w:val="none"/>
        </w:rPr>
        <w:t>入库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color w:val="auto"/>
          <w:sz w:val="32"/>
          <w:highlight w:val="none"/>
        </w:rPr>
        <w:t>所得税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减收18</w:t>
      </w:r>
      <w:r>
        <w:rPr>
          <w:rFonts w:hint="eastAsia" w:ascii="仿宋_GB2312" w:eastAsia="仿宋_GB2312"/>
          <w:color w:val="auto"/>
          <w:sz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降低40</w:t>
      </w:r>
      <w:r>
        <w:rPr>
          <w:rFonts w:hint="eastAsia" w:ascii="仿宋_GB2312" w:eastAsia="仿宋_GB2312"/>
          <w:color w:val="auto"/>
          <w:sz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其主要原因为本年度个人所得税汇算清缴退税金额高达76万元，而2021年度汇算清缴退税金额仅为22万元。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4、资源税增收因素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2022年3月，</w:t>
      </w:r>
      <w:r>
        <w:rPr>
          <w:rFonts w:hint="eastAsia" w:ascii="仿宋_GB2312" w:eastAsia="仿宋_GB2312"/>
          <w:color w:val="auto"/>
          <w:sz w:val="32"/>
          <w:highlight w:val="none"/>
        </w:rPr>
        <w:t>入库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资源税1331</w:t>
      </w:r>
      <w:r>
        <w:rPr>
          <w:rFonts w:hint="eastAsia" w:ascii="仿宋_GB2312" w:eastAsia="仿宋_GB2312"/>
          <w:color w:val="auto"/>
          <w:sz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增收1211</w:t>
      </w:r>
      <w:r>
        <w:rPr>
          <w:rFonts w:hint="eastAsia" w:ascii="仿宋_GB2312" w:eastAsia="仿宋_GB2312"/>
          <w:color w:val="auto"/>
          <w:sz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其主要原因为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部分欠税企业清理欠税，新疆葱岭能源缴纳欠缴资源税806万元；其次是2021年办理专项缓税资源税292万元入库。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（三）分行业</w:t>
      </w:r>
      <w:r>
        <w:rPr>
          <w:rFonts w:hint="eastAsia" w:ascii="黑体" w:hAnsi="黑体" w:eastAsia="黑体"/>
          <w:color w:val="auto"/>
          <w:sz w:val="32"/>
          <w:highlight w:val="none"/>
        </w:rPr>
        <w:t>增减因素分析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2022年三月我局税收主要来源的三个产业采矿业、制造业、建筑业贡献税收分别为2504万元、342万元、190万元，均呈现增收趋势。主要增收因素分析如下：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1、采矿业增收因素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2022年3月,采矿业入库税款2504万元，同比增长681.09%；主要原因一是新疆葱岭能源缴纳2021年欠税1593万元；二是2021年办理的困难缓税企业缴纳503万元；</w:t>
      </w:r>
    </w:p>
    <w:p>
      <w:pPr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2、制造业增收因素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64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本月制造业入库税款342万元，同比增长8.52%。主要原因是阿克陶科邦锰业制造有限公司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highlight w:val="none"/>
          <w:lang w:val="zh-CN"/>
        </w:rPr>
        <w:t>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zh-CN"/>
        </w:rPr>
        <w:t>月缴纳税款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  <w:t>2021年度缓税金额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  <w:t>而本月入库的部分中小微制造业88万元因政策延续实施全部完成退税。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64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  <w:t>3、建筑业增收因素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64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24"/>
          <w:lang w:val="en-US" w:eastAsia="zh-CN"/>
        </w:rPr>
        <w:t>本月建筑业入库税款190万元，同比增长101.27%。主要原因一是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跨区域疆外企业的项目复工后增收；二是本地建筑企业项目增加；三是永兴建筑缴纳欠税25万元。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（四）2021年组织税收工作的具体做法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highlight w:val="none"/>
          <w:lang w:val="en-US" w:eastAsia="zh-CN"/>
        </w:rPr>
        <w:t>1、贯彻组织收入原则，依法组织税费收入。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强化税费收入质量监控，建立事前预警指标，排查收入异常变动风险点，有力落实自查自纠机制，定期开展“回头看”自查工作，对发现的问题严肃问责，在确保税费红利应减尽减的同时做到税费收入应收尽收。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highlight w:val="none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  <w:highlight w:val="none"/>
        </w:rPr>
        <w:t>加强税收分析和预测，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  <w:highlight w:val="none"/>
          <w:lang w:val="en-US"/>
        </w:rPr>
        <w:t>努力提高税收收入预测准确率。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对重点企业、重点行业、重点项目的动态监控，借助“项目管家”摸清税源分布状况，摸清整体税源结构，做到心中有数。深入全区重点税源企业调查分析，对企业的产量、销量、价格、利润等情况进行实时跟踪分析，准确了解分析其生产经营状况，合理预测税收发展趋势，增强税收分析的针对性、准确性和实效性。</w:t>
      </w:r>
    </w:p>
    <w:p>
      <w:pPr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抓住重点，强化征管。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全面加强税源管控，重视风险应对，对于停业、停产、减产企业以及销售额降幅异常，长期零申报、长期亏损的企业积极采取调查分析、纳税评估等方式进行核实，大力堵漏征收。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4、加强对重点税源企业监控。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通过微信群、钉钉群等途径加强与重点税源企业的沟通，及时掌握企业经营情况。二是将税收预测与企业日常管理相结合，摸清税源增减变化因素，充分利用税收数据，分税种、分行业对税收收入变化、收入结构、变动原因和趋势进行分析，增加税收收入的前瞻性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/>
        </w:rPr>
        <w:t>持续优化营商环境，切实提升纳税人缴费人获得感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一是坚持以纳税人缴费人感受为导向，贯彻落实上级部门要求，实现主要涉税服务事项跨部门“一网通办”，推广税费缴纳“掌上办”，探索涉税业务“就近办”；二是实现“信用+风险”新型管理方式，做到“无风险不打扰、低风险预提醒、中高风险严监控”，在减少对市场主体干扰的同时提升监督质效；三是持续推动“银税互动”，实现以“信”换“贷”，有效缓解纳税人缴费人融资压力。</w:t>
      </w:r>
    </w:p>
    <w:p>
      <w:pPr>
        <w:numPr>
          <w:ilvl w:val="0"/>
          <w:numId w:val="0"/>
        </w:numPr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财政支出情况。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截止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月阿克陶县预算支出完成情况。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月，完成地方财政支出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154687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28.7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27823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21.7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。其中：一般预算支出完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153740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29.0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27757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21.8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947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11.3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比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，同比增长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7.5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民生支出完成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105252万元，占公共财政支出68.46%。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0"/>
          <w:szCs w:val="30"/>
          <w:highlight w:val="none"/>
          <w:lang w:val="en-US" w:eastAsia="zh-CN" w:bidi="ar-SA"/>
        </w:rPr>
        <w:t>一般</w:t>
      </w:r>
      <w:r>
        <w:rPr>
          <w:rFonts w:hint="eastAsia" w:ascii="仿宋_GB2312" w:eastAsia="仿宋_GB2312" w:cs="Times New Roman"/>
          <w:b w:val="0"/>
          <w:color w:val="auto"/>
          <w:kern w:val="2"/>
          <w:sz w:val="30"/>
          <w:szCs w:val="30"/>
          <w:highlight w:val="none"/>
          <w:lang w:val="en-US" w:eastAsia="zh-CN" w:bidi="ar-SA"/>
        </w:rPr>
        <w:t>公共</w:t>
      </w: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0"/>
          <w:szCs w:val="30"/>
          <w:highlight w:val="none"/>
          <w:lang w:val="en-US" w:eastAsia="zh-CN" w:bidi="ar-SA"/>
        </w:rPr>
        <w:t>预算支出</w:t>
      </w:r>
      <w:r>
        <w:rPr>
          <w:rFonts w:hint="eastAsia" w:ascii="仿宋_GB2312" w:eastAsia="仿宋_GB2312" w:cs="Times New Roman"/>
          <w:b w:val="0"/>
          <w:color w:val="auto"/>
          <w:kern w:val="2"/>
          <w:sz w:val="30"/>
          <w:szCs w:val="30"/>
          <w:highlight w:val="none"/>
          <w:lang w:val="en-US" w:eastAsia="zh-CN" w:bidi="ar-SA"/>
        </w:rPr>
        <w:t>下降的主要原因：由于财政部门上了新的一体化系统后，财政负担的住房公积金、养老保险及社会保障缴费等，从工资统发分离后，由各单位支付，截止目前还未完全支付完成。导致一般公共预算支出下降。</w:t>
      </w:r>
    </w:p>
    <w:p>
      <w:pPr>
        <w:ind w:firstLine="602" w:firstLineChars="200"/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四、在加快预算执行方面采取的措施。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一是规范支出程序，对已到位的专项资金，科学制定专项资金支付计划，合理调度资金；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二是加大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对部门单位的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催办力度，对项目未及时启动以及进展缓慢的有关责任部门及时进行催办，督促其加快推进，为求早实施、早见效；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五、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财政收支预算执行特点。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收入方面：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矿产品市场较为良好，矿山企业销售量增加，使我县采矿业税收收入随之增长。部分重点税源企业活力增强，经济效益提升，带动税收收入大幅增长。</w:t>
      </w:r>
    </w:p>
    <w:p>
      <w:pPr>
        <w:spacing w:line="56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支出方面：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eastAsia="zh-CN"/>
        </w:rPr>
        <w:t>目前我县财政收支矛盾非常突出，库款支出保障能力较低。财政收支矛盾从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val="en-US" w:eastAsia="zh-CN"/>
        </w:rPr>
        <w:t>2018年起，为坚决落实维稳工作、支持保障教育工作、防范化解隐性债务等政策，县财政投入大量资金予以保障，其中主要以人员工资收支矛盾最为突出，为保人员工资支出，现已导致扶贫资金项目、直达资金项目、债券资金项目等重点支出保障举步为坚，财政收支矛盾还在进一步扩大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六、阿克陶县</w:t>
      </w:r>
      <w:r>
        <w:rPr>
          <w:rFonts w:hint="eastAsia" w:ascii="仿宋_GB2312" w:eastAsia="仿宋_GB2312"/>
          <w:b/>
          <w:sz w:val="30"/>
          <w:szCs w:val="30"/>
        </w:rPr>
        <w:t>当前经济和财政运行中存在的突出问题和矛盾，以及下一步工作思路。</w:t>
      </w:r>
    </w:p>
    <w:p>
      <w:pPr>
        <w:spacing w:line="560" w:lineRule="exact"/>
        <w:ind w:firstLine="600" w:firstLineChars="200"/>
        <w:jc w:val="left"/>
      </w:pP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24"/>
          <w:lang w:val="en-US" w:eastAsia="zh-CN" w:bidi="ar-SA"/>
        </w:rPr>
        <w:t>针对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我县当前经济和财政运行中存在的突出问题和矛盾，已多次向县委、县政府汇报，并提出建议意见，要从三个方面着手予以解决：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面对财政收支矛盾日渐突出的问题，应积极开展开源节流应对措施，大力压减一般性支出，坚守政府债务红线底线，协调各涉税部门培植税源，在受新冠疫情的影响下，保持财政税收稳步持续增长；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二是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按照“财政供养人员只减不增”的要求，严格控制财政供养人员的增长，规范人员招聘程序，在量入为出的前提下，明确增人增资解决方案,同时做好临聘人员压减工作，杜绝财政赤字。以缓解县级财力支出压力;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highlight w:val="none"/>
          <w:lang w:val="en-US" w:eastAsia="zh-CN" w:bidi="ar-SA"/>
        </w:rPr>
        <w:t>三是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严格执行《预算法》，强化预算编制与预算执行，预算编制应当以部门年度工作计划任务编制，以量入为出的原则经财经领导小组研究定部门年度资金预算，严控预算追加事项，无预算安排的项目停建或是缓建，以缓解财政收支矛盾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七、</w:t>
      </w:r>
      <w:r>
        <w:rPr>
          <w:rFonts w:hint="eastAsia" w:ascii="仿宋_GB2312" w:eastAsia="仿宋_GB2312"/>
          <w:b/>
          <w:bCs/>
          <w:sz w:val="30"/>
          <w:szCs w:val="30"/>
        </w:rPr>
        <w:t>意见建议方面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为落实社会稳定和长治久安的总目标，投入大量人力、财力、物力保障维稳、教育等各项工作顺利开展，新增大量自聘工作人员，导致保工资、促运转、保民生预算安排存在很大压力，严重影响“三保”保障及重点项目支出。一方面建议上级财政部门考虑我县财力的实际困难，加大对维稳及教育的一般性转移支付力度，减少专项转移支付，以保证全年财政收支平衡。另一方面加快库款调拨进度，以缓解重点项目支出压力。</w:t>
      </w: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阿克陶县财政局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 xml:space="preserve">                                  2022年4月2日 </w:t>
      </w:r>
    </w:p>
    <w:sectPr>
      <w:footerReference r:id="rId3" w:type="default"/>
      <w:footerReference r:id="rId4" w:type="even"/>
      <w:pgSz w:w="11906" w:h="16838"/>
      <w:pgMar w:top="2098" w:right="141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76"/>
    <w:rsid w:val="00013149"/>
    <w:rsid w:val="000319F9"/>
    <w:rsid w:val="00041E1A"/>
    <w:rsid w:val="000516A8"/>
    <w:rsid w:val="0006600A"/>
    <w:rsid w:val="00076160"/>
    <w:rsid w:val="00087E2B"/>
    <w:rsid w:val="000A37BE"/>
    <w:rsid w:val="000C6F67"/>
    <w:rsid w:val="000E209C"/>
    <w:rsid w:val="000F18D4"/>
    <w:rsid w:val="000F6E0A"/>
    <w:rsid w:val="00122587"/>
    <w:rsid w:val="0012382B"/>
    <w:rsid w:val="001307A1"/>
    <w:rsid w:val="00132000"/>
    <w:rsid w:val="00140DC5"/>
    <w:rsid w:val="00153CFE"/>
    <w:rsid w:val="001709CC"/>
    <w:rsid w:val="00182592"/>
    <w:rsid w:val="00183510"/>
    <w:rsid w:val="00192AED"/>
    <w:rsid w:val="001A4C0E"/>
    <w:rsid w:val="001A781C"/>
    <w:rsid w:val="001B15CC"/>
    <w:rsid w:val="001B659F"/>
    <w:rsid w:val="001D115E"/>
    <w:rsid w:val="001D261E"/>
    <w:rsid w:val="00227D34"/>
    <w:rsid w:val="002344C4"/>
    <w:rsid w:val="00235DC6"/>
    <w:rsid w:val="00235E42"/>
    <w:rsid w:val="00235F76"/>
    <w:rsid w:val="002363AA"/>
    <w:rsid w:val="00237005"/>
    <w:rsid w:val="00246115"/>
    <w:rsid w:val="00254AFC"/>
    <w:rsid w:val="002636CD"/>
    <w:rsid w:val="00263E4D"/>
    <w:rsid w:val="00290FD3"/>
    <w:rsid w:val="002B0BD5"/>
    <w:rsid w:val="002B1C53"/>
    <w:rsid w:val="002C1D28"/>
    <w:rsid w:val="002F2792"/>
    <w:rsid w:val="003073A6"/>
    <w:rsid w:val="00310D76"/>
    <w:rsid w:val="00312983"/>
    <w:rsid w:val="003159CF"/>
    <w:rsid w:val="003241FD"/>
    <w:rsid w:val="00335F13"/>
    <w:rsid w:val="00343C0A"/>
    <w:rsid w:val="003450F0"/>
    <w:rsid w:val="0038312E"/>
    <w:rsid w:val="0039058B"/>
    <w:rsid w:val="00396E2D"/>
    <w:rsid w:val="00397AD4"/>
    <w:rsid w:val="00397B12"/>
    <w:rsid w:val="003B476F"/>
    <w:rsid w:val="003B5EA2"/>
    <w:rsid w:val="003C1E36"/>
    <w:rsid w:val="003C685B"/>
    <w:rsid w:val="003E620A"/>
    <w:rsid w:val="003F5D9D"/>
    <w:rsid w:val="004042D6"/>
    <w:rsid w:val="00406166"/>
    <w:rsid w:val="0040684C"/>
    <w:rsid w:val="004074A9"/>
    <w:rsid w:val="0041357F"/>
    <w:rsid w:val="00435953"/>
    <w:rsid w:val="00440AB9"/>
    <w:rsid w:val="00444DCC"/>
    <w:rsid w:val="004546A4"/>
    <w:rsid w:val="00474438"/>
    <w:rsid w:val="0047497C"/>
    <w:rsid w:val="004749E8"/>
    <w:rsid w:val="00493A09"/>
    <w:rsid w:val="004D60E3"/>
    <w:rsid w:val="004D67C5"/>
    <w:rsid w:val="004E5F8D"/>
    <w:rsid w:val="004F2766"/>
    <w:rsid w:val="004F4868"/>
    <w:rsid w:val="00512355"/>
    <w:rsid w:val="00513024"/>
    <w:rsid w:val="0052535B"/>
    <w:rsid w:val="005612FD"/>
    <w:rsid w:val="00563A7D"/>
    <w:rsid w:val="00573A91"/>
    <w:rsid w:val="00594AA2"/>
    <w:rsid w:val="005A5947"/>
    <w:rsid w:val="005A640C"/>
    <w:rsid w:val="005B11B7"/>
    <w:rsid w:val="005D252E"/>
    <w:rsid w:val="005D374C"/>
    <w:rsid w:val="005E0FAF"/>
    <w:rsid w:val="005E3DC3"/>
    <w:rsid w:val="005E5411"/>
    <w:rsid w:val="005F1A88"/>
    <w:rsid w:val="006252CB"/>
    <w:rsid w:val="00636C87"/>
    <w:rsid w:val="00637E76"/>
    <w:rsid w:val="0064717E"/>
    <w:rsid w:val="00655CF7"/>
    <w:rsid w:val="00657EC6"/>
    <w:rsid w:val="006B6CAD"/>
    <w:rsid w:val="006C3455"/>
    <w:rsid w:val="006C73D6"/>
    <w:rsid w:val="006D0AD5"/>
    <w:rsid w:val="006D4D54"/>
    <w:rsid w:val="006D7376"/>
    <w:rsid w:val="006E1307"/>
    <w:rsid w:val="00700291"/>
    <w:rsid w:val="007039A8"/>
    <w:rsid w:val="00731276"/>
    <w:rsid w:val="00733D3C"/>
    <w:rsid w:val="00757F4A"/>
    <w:rsid w:val="00761915"/>
    <w:rsid w:val="007702E6"/>
    <w:rsid w:val="00784EE2"/>
    <w:rsid w:val="007A763C"/>
    <w:rsid w:val="007C4FDB"/>
    <w:rsid w:val="007D06DC"/>
    <w:rsid w:val="007D1917"/>
    <w:rsid w:val="007D6F7E"/>
    <w:rsid w:val="007E58FB"/>
    <w:rsid w:val="00806285"/>
    <w:rsid w:val="00822B44"/>
    <w:rsid w:val="0083372E"/>
    <w:rsid w:val="00852784"/>
    <w:rsid w:val="00857C3D"/>
    <w:rsid w:val="00890676"/>
    <w:rsid w:val="00897B57"/>
    <w:rsid w:val="008A5416"/>
    <w:rsid w:val="008A7696"/>
    <w:rsid w:val="008B58FD"/>
    <w:rsid w:val="008C221D"/>
    <w:rsid w:val="008C7905"/>
    <w:rsid w:val="008D75F9"/>
    <w:rsid w:val="008E1B70"/>
    <w:rsid w:val="008F21BF"/>
    <w:rsid w:val="008F7373"/>
    <w:rsid w:val="009016D6"/>
    <w:rsid w:val="00926B3F"/>
    <w:rsid w:val="0094427D"/>
    <w:rsid w:val="00946D60"/>
    <w:rsid w:val="0094750D"/>
    <w:rsid w:val="0096421B"/>
    <w:rsid w:val="00986395"/>
    <w:rsid w:val="009942EA"/>
    <w:rsid w:val="009E3A54"/>
    <w:rsid w:val="009F53CF"/>
    <w:rsid w:val="00A01720"/>
    <w:rsid w:val="00A233AB"/>
    <w:rsid w:val="00A30B94"/>
    <w:rsid w:val="00A52272"/>
    <w:rsid w:val="00A619CE"/>
    <w:rsid w:val="00A61D56"/>
    <w:rsid w:val="00A84493"/>
    <w:rsid w:val="00A905E1"/>
    <w:rsid w:val="00A97FFE"/>
    <w:rsid w:val="00AC1D1C"/>
    <w:rsid w:val="00AC2BC7"/>
    <w:rsid w:val="00AD1982"/>
    <w:rsid w:val="00AE4A23"/>
    <w:rsid w:val="00AE6933"/>
    <w:rsid w:val="00AF00CA"/>
    <w:rsid w:val="00AF6031"/>
    <w:rsid w:val="00AF6F5B"/>
    <w:rsid w:val="00B01D81"/>
    <w:rsid w:val="00B0694E"/>
    <w:rsid w:val="00B075D2"/>
    <w:rsid w:val="00B078FF"/>
    <w:rsid w:val="00B24124"/>
    <w:rsid w:val="00B40E54"/>
    <w:rsid w:val="00B431D0"/>
    <w:rsid w:val="00B43695"/>
    <w:rsid w:val="00B46DFD"/>
    <w:rsid w:val="00B561B4"/>
    <w:rsid w:val="00B642EC"/>
    <w:rsid w:val="00B6596F"/>
    <w:rsid w:val="00B65AB4"/>
    <w:rsid w:val="00B71911"/>
    <w:rsid w:val="00B97E80"/>
    <w:rsid w:val="00BC2AEB"/>
    <w:rsid w:val="00BC3E16"/>
    <w:rsid w:val="00BD4840"/>
    <w:rsid w:val="00BF41A7"/>
    <w:rsid w:val="00C01B39"/>
    <w:rsid w:val="00C11882"/>
    <w:rsid w:val="00C21419"/>
    <w:rsid w:val="00C21A92"/>
    <w:rsid w:val="00C26664"/>
    <w:rsid w:val="00C620C5"/>
    <w:rsid w:val="00C63B1E"/>
    <w:rsid w:val="00C90005"/>
    <w:rsid w:val="00C91C9C"/>
    <w:rsid w:val="00CA2619"/>
    <w:rsid w:val="00CA4288"/>
    <w:rsid w:val="00CE6DB8"/>
    <w:rsid w:val="00CF24EB"/>
    <w:rsid w:val="00D22809"/>
    <w:rsid w:val="00D330E1"/>
    <w:rsid w:val="00D338EE"/>
    <w:rsid w:val="00D432A7"/>
    <w:rsid w:val="00D44BA0"/>
    <w:rsid w:val="00D52156"/>
    <w:rsid w:val="00D5389F"/>
    <w:rsid w:val="00D73404"/>
    <w:rsid w:val="00D87DDC"/>
    <w:rsid w:val="00D90F07"/>
    <w:rsid w:val="00D97C3F"/>
    <w:rsid w:val="00DB5D20"/>
    <w:rsid w:val="00DC3521"/>
    <w:rsid w:val="00DD367F"/>
    <w:rsid w:val="00DD7EBF"/>
    <w:rsid w:val="00E07AD2"/>
    <w:rsid w:val="00E15809"/>
    <w:rsid w:val="00E16C45"/>
    <w:rsid w:val="00E27A33"/>
    <w:rsid w:val="00E30B14"/>
    <w:rsid w:val="00E35995"/>
    <w:rsid w:val="00E67EA4"/>
    <w:rsid w:val="00E800A4"/>
    <w:rsid w:val="00E8384F"/>
    <w:rsid w:val="00EA0D92"/>
    <w:rsid w:val="00EA580A"/>
    <w:rsid w:val="00EA74C5"/>
    <w:rsid w:val="00EB2437"/>
    <w:rsid w:val="00EC1583"/>
    <w:rsid w:val="00EC4B2B"/>
    <w:rsid w:val="00EC4FAC"/>
    <w:rsid w:val="00ED0ADA"/>
    <w:rsid w:val="00ED7B10"/>
    <w:rsid w:val="00EE3687"/>
    <w:rsid w:val="00EF694A"/>
    <w:rsid w:val="00F035F4"/>
    <w:rsid w:val="00F05D6C"/>
    <w:rsid w:val="00F065C1"/>
    <w:rsid w:val="00F1060C"/>
    <w:rsid w:val="00F14948"/>
    <w:rsid w:val="00F2650F"/>
    <w:rsid w:val="00F310BE"/>
    <w:rsid w:val="00F32149"/>
    <w:rsid w:val="00F4384E"/>
    <w:rsid w:val="00F459F4"/>
    <w:rsid w:val="00F71436"/>
    <w:rsid w:val="00F73E92"/>
    <w:rsid w:val="00F74A13"/>
    <w:rsid w:val="00F92B2F"/>
    <w:rsid w:val="00F97B8A"/>
    <w:rsid w:val="00FA7A0B"/>
    <w:rsid w:val="00FB362E"/>
    <w:rsid w:val="00FD2352"/>
    <w:rsid w:val="00FD52CD"/>
    <w:rsid w:val="00FF141D"/>
    <w:rsid w:val="00FF5822"/>
    <w:rsid w:val="010F1ADD"/>
    <w:rsid w:val="01A423DB"/>
    <w:rsid w:val="02007A50"/>
    <w:rsid w:val="023E47EB"/>
    <w:rsid w:val="03124E58"/>
    <w:rsid w:val="033125BC"/>
    <w:rsid w:val="049320F9"/>
    <w:rsid w:val="04A14788"/>
    <w:rsid w:val="05526282"/>
    <w:rsid w:val="05756291"/>
    <w:rsid w:val="07150CC8"/>
    <w:rsid w:val="07253648"/>
    <w:rsid w:val="074260F4"/>
    <w:rsid w:val="079B3297"/>
    <w:rsid w:val="07BE0AB4"/>
    <w:rsid w:val="07EE2E3F"/>
    <w:rsid w:val="081046A6"/>
    <w:rsid w:val="091B50F4"/>
    <w:rsid w:val="0A7924FA"/>
    <w:rsid w:val="0A8C73D0"/>
    <w:rsid w:val="0A8E0C1F"/>
    <w:rsid w:val="0A95224E"/>
    <w:rsid w:val="0AA41671"/>
    <w:rsid w:val="0C390C38"/>
    <w:rsid w:val="0CE3325C"/>
    <w:rsid w:val="0E225E64"/>
    <w:rsid w:val="0E574EA7"/>
    <w:rsid w:val="0ECC1867"/>
    <w:rsid w:val="0F2E7E3A"/>
    <w:rsid w:val="0FF72640"/>
    <w:rsid w:val="10272B08"/>
    <w:rsid w:val="10B10E8E"/>
    <w:rsid w:val="116A765E"/>
    <w:rsid w:val="118041DE"/>
    <w:rsid w:val="11A45524"/>
    <w:rsid w:val="11B46E7B"/>
    <w:rsid w:val="14606D95"/>
    <w:rsid w:val="1478779F"/>
    <w:rsid w:val="147B1B6F"/>
    <w:rsid w:val="165E4CAD"/>
    <w:rsid w:val="1704589A"/>
    <w:rsid w:val="178A3D22"/>
    <w:rsid w:val="17B24FF8"/>
    <w:rsid w:val="17B936D8"/>
    <w:rsid w:val="18050E57"/>
    <w:rsid w:val="18F12C6F"/>
    <w:rsid w:val="18F22C37"/>
    <w:rsid w:val="1A106D9B"/>
    <w:rsid w:val="1A190D86"/>
    <w:rsid w:val="1ADF5EC8"/>
    <w:rsid w:val="1B305198"/>
    <w:rsid w:val="1B384F54"/>
    <w:rsid w:val="1CCE07E4"/>
    <w:rsid w:val="1F264EEC"/>
    <w:rsid w:val="209E67DC"/>
    <w:rsid w:val="216B5068"/>
    <w:rsid w:val="21832D84"/>
    <w:rsid w:val="21D83C63"/>
    <w:rsid w:val="226129BA"/>
    <w:rsid w:val="2264765E"/>
    <w:rsid w:val="227E316D"/>
    <w:rsid w:val="227E7A7A"/>
    <w:rsid w:val="22D521EA"/>
    <w:rsid w:val="23625750"/>
    <w:rsid w:val="278F129A"/>
    <w:rsid w:val="27B87B6B"/>
    <w:rsid w:val="28665C91"/>
    <w:rsid w:val="28FD3A00"/>
    <w:rsid w:val="29E53B7F"/>
    <w:rsid w:val="2A9A6362"/>
    <w:rsid w:val="2ACA1FCC"/>
    <w:rsid w:val="2B5B3E5C"/>
    <w:rsid w:val="2BA60DFC"/>
    <w:rsid w:val="2BD231FA"/>
    <w:rsid w:val="2D2D5D05"/>
    <w:rsid w:val="2E7056F2"/>
    <w:rsid w:val="2F3766D0"/>
    <w:rsid w:val="30A64491"/>
    <w:rsid w:val="30DB1956"/>
    <w:rsid w:val="30F21321"/>
    <w:rsid w:val="30F72F1E"/>
    <w:rsid w:val="32160EDC"/>
    <w:rsid w:val="32D73619"/>
    <w:rsid w:val="33016455"/>
    <w:rsid w:val="344B403B"/>
    <w:rsid w:val="346B1BDB"/>
    <w:rsid w:val="34D019EC"/>
    <w:rsid w:val="366F42F4"/>
    <w:rsid w:val="370914C6"/>
    <w:rsid w:val="381A10E9"/>
    <w:rsid w:val="38220065"/>
    <w:rsid w:val="382E3960"/>
    <w:rsid w:val="38F32AA6"/>
    <w:rsid w:val="3AEA675F"/>
    <w:rsid w:val="3B5D2933"/>
    <w:rsid w:val="3C5F3D23"/>
    <w:rsid w:val="3D612F60"/>
    <w:rsid w:val="3D696C57"/>
    <w:rsid w:val="3EFA0570"/>
    <w:rsid w:val="3F212498"/>
    <w:rsid w:val="3F5E71F3"/>
    <w:rsid w:val="406325FF"/>
    <w:rsid w:val="41095C74"/>
    <w:rsid w:val="42FD275D"/>
    <w:rsid w:val="446A13E1"/>
    <w:rsid w:val="4474252A"/>
    <w:rsid w:val="45B31471"/>
    <w:rsid w:val="46FE53B4"/>
    <w:rsid w:val="47602F12"/>
    <w:rsid w:val="48D13340"/>
    <w:rsid w:val="491D611E"/>
    <w:rsid w:val="492E3E43"/>
    <w:rsid w:val="4A07168E"/>
    <w:rsid w:val="4AF87427"/>
    <w:rsid w:val="4C715BF4"/>
    <w:rsid w:val="4CC17C5B"/>
    <w:rsid w:val="4D9E0E59"/>
    <w:rsid w:val="4E410B28"/>
    <w:rsid w:val="4EBD1D30"/>
    <w:rsid w:val="4F247058"/>
    <w:rsid w:val="4F60604C"/>
    <w:rsid w:val="4F8C1753"/>
    <w:rsid w:val="50500093"/>
    <w:rsid w:val="506B57FD"/>
    <w:rsid w:val="510D7AB3"/>
    <w:rsid w:val="512B3EF7"/>
    <w:rsid w:val="514514FE"/>
    <w:rsid w:val="520F7D58"/>
    <w:rsid w:val="52627444"/>
    <w:rsid w:val="52630EF9"/>
    <w:rsid w:val="52A27290"/>
    <w:rsid w:val="53302853"/>
    <w:rsid w:val="53D850D9"/>
    <w:rsid w:val="55A52DC5"/>
    <w:rsid w:val="563134D0"/>
    <w:rsid w:val="564552D9"/>
    <w:rsid w:val="573D44AE"/>
    <w:rsid w:val="57FB2815"/>
    <w:rsid w:val="589A5198"/>
    <w:rsid w:val="58B27246"/>
    <w:rsid w:val="58C821ED"/>
    <w:rsid w:val="591D0A94"/>
    <w:rsid w:val="59500531"/>
    <w:rsid w:val="5BEB58EE"/>
    <w:rsid w:val="5C0D65EF"/>
    <w:rsid w:val="5CC045B3"/>
    <w:rsid w:val="5E042CF7"/>
    <w:rsid w:val="5E7364FF"/>
    <w:rsid w:val="5EEE5D42"/>
    <w:rsid w:val="5F0D0B78"/>
    <w:rsid w:val="607D7FA8"/>
    <w:rsid w:val="61395244"/>
    <w:rsid w:val="622515E6"/>
    <w:rsid w:val="62252B91"/>
    <w:rsid w:val="626232E1"/>
    <w:rsid w:val="62A25AD1"/>
    <w:rsid w:val="62B64E11"/>
    <w:rsid w:val="62C87BD8"/>
    <w:rsid w:val="62E276EE"/>
    <w:rsid w:val="62F566E9"/>
    <w:rsid w:val="6400418A"/>
    <w:rsid w:val="64357D63"/>
    <w:rsid w:val="66FE2F25"/>
    <w:rsid w:val="673A183C"/>
    <w:rsid w:val="679E78FA"/>
    <w:rsid w:val="6854671E"/>
    <w:rsid w:val="68625987"/>
    <w:rsid w:val="690448B5"/>
    <w:rsid w:val="69261B3A"/>
    <w:rsid w:val="6B9D2790"/>
    <w:rsid w:val="6D6051FB"/>
    <w:rsid w:val="6ECA3AF5"/>
    <w:rsid w:val="6F8429D8"/>
    <w:rsid w:val="707F2EE1"/>
    <w:rsid w:val="71702B1A"/>
    <w:rsid w:val="71E83522"/>
    <w:rsid w:val="72400C52"/>
    <w:rsid w:val="733654D3"/>
    <w:rsid w:val="74CC140A"/>
    <w:rsid w:val="7580253A"/>
    <w:rsid w:val="758D5A85"/>
    <w:rsid w:val="75D32E32"/>
    <w:rsid w:val="7601093C"/>
    <w:rsid w:val="7664713B"/>
    <w:rsid w:val="76667DB3"/>
    <w:rsid w:val="76BE6664"/>
    <w:rsid w:val="774A68C3"/>
    <w:rsid w:val="78060AE9"/>
    <w:rsid w:val="78B31B4D"/>
    <w:rsid w:val="78D17C6C"/>
    <w:rsid w:val="7C0F7CE8"/>
    <w:rsid w:val="7E7D1166"/>
    <w:rsid w:val="7E9F0DEF"/>
    <w:rsid w:val="7F450FB3"/>
    <w:rsid w:val="7F515BEF"/>
    <w:rsid w:val="7FF42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ind w:firstLine="880" w:firstLineChars="200"/>
      <w:outlineLvl w:val="2"/>
    </w:pPr>
    <w:rPr>
      <w:rFonts w:ascii="Times New Roman" w:hAnsi="Times New Roman" w:eastAsia="宋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330</Words>
  <Characters>1882</Characters>
  <Lines>15</Lines>
  <Paragraphs>4</Paragraphs>
  <TotalTime>47</TotalTime>
  <ScaleCrop>false</ScaleCrop>
  <LinksUpToDate>false</LinksUpToDate>
  <CharactersWithSpaces>2208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2020-01-02T05:59:00Z</dcterms:created>
  <dc:creator>user</dc:creator>
  <cp:lastModifiedBy>Administrator</cp:lastModifiedBy>
  <cp:lastPrinted>2010-03-29T03:50:00Z</cp:lastPrinted>
  <dcterms:modified xsi:type="dcterms:W3CDTF">2022-05-07T09:57:00Z</dcterms:modified>
  <dc:title>财 政 形 势 调 研 提 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