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阿克陶县</w:t>
      </w:r>
      <w:r>
        <w:rPr>
          <w:rFonts w:hint="eastAsia" w:ascii="华文中宋" w:hAnsi="华文中宋" w:eastAsia="华文中宋" w:cs="华文中宋"/>
          <w:sz w:val="52"/>
          <w:szCs w:val="52"/>
        </w:rPr>
        <w:t>财政运行情况分析</w:t>
      </w:r>
    </w:p>
    <w:p>
      <w:pPr>
        <w:pStyle w:val="2"/>
        <w:ind w:left="0" w:leftChars="0" w:firstLine="0" w:firstLineChars="0"/>
      </w:pP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阿克陶县</w:t>
      </w:r>
      <w:r>
        <w:rPr>
          <w:rFonts w:hint="eastAsia" w:ascii="仿宋_GB2312" w:eastAsia="仿宋_GB2312"/>
          <w:b/>
          <w:sz w:val="30"/>
          <w:szCs w:val="30"/>
        </w:rPr>
        <w:t>经济和财政运行情况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截止6月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阿克陶县预算收入完成情况及进度。</w:t>
      </w:r>
    </w:p>
    <w:p>
      <w:pPr>
        <w:spacing w:line="560" w:lineRule="exact"/>
        <w:ind w:firstLine="594" w:firstLineChars="198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完成地方财政收入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30960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45.3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，比上年同期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4456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16.8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。在地方财政收入中，一般预算收入完成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26521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49.2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3405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14.7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，其中：税收收入完成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17037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47.5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4849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39.8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非税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9484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52.7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减收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1444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13.2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4420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万元。 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  <w:lang w:eastAsia="zh-CN"/>
        </w:rPr>
        <w:t>税收收入增减情况分析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（一）</w:t>
      </w:r>
      <w:r>
        <w:rPr>
          <w:rFonts w:hint="eastAsia" w:ascii="黑体" w:hAnsi="黑体" w:eastAsia="黑体"/>
          <w:color w:val="auto"/>
          <w:sz w:val="32"/>
          <w:highlight w:val="none"/>
        </w:rPr>
        <w:t>组织收入基本情况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jc w:val="left"/>
        <w:textAlignment w:val="auto"/>
        <w:outlineLvl w:val="9"/>
        <w:rPr>
          <w:rFonts w:hint="default" w:ascii="楷体_GB2312" w:eastAsia="楷体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楷体_GB2312" w:eastAsia="楷体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分级次收入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2022年上半年，我县累计组织税收收入31057万元，同比增收8115万元，增长35.37%，其中：中央级入库14378万元，同比增收3981万元，增长38.29%；地方级入库16679万元，同比增收4134万元，增长32.95%。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还原留抵退税后上半年税收收入入库38117万元，同比增收15175万元，增长66.15%。其中中央级入库17908万元，同比增收7511万元，增长72.24%；地方级入库20209万元，同比增收7664万元，增长61.09%。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jc w:val="left"/>
        <w:textAlignment w:val="auto"/>
        <w:outlineLvl w:val="9"/>
        <w:rPr>
          <w:rFonts w:hint="default" w:ascii="楷体_GB2312" w:eastAsia="楷体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楷体_GB2312" w:eastAsia="楷体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分税种收入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2022年上半年我县组织税收收入完成分月来看，最高增长比达到159.56%，六个月中只有5月因留抵退税因素为负增长，下降65.38%，总体来看组织税收收入处于增长。详细如下表：</w:t>
      </w:r>
    </w:p>
    <w:tbl>
      <w:tblPr>
        <w:tblStyle w:val="12"/>
        <w:tblW w:w="81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13"/>
        <w:gridCol w:w="2013"/>
        <w:gridCol w:w="1604"/>
        <w:gridCol w:w="1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2022年上半年度分月入库情况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2022年收入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2021年收入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-3088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35.37%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leftChars="0"/>
        <w:jc w:val="left"/>
        <w:textAlignment w:val="auto"/>
        <w:outlineLvl w:val="9"/>
        <w:rPr>
          <w:rFonts w:hint="eastAsia" w:ascii="黑体" w:hAnsi="黑体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highlight w:val="none"/>
          <w:lang w:val="en-US" w:eastAsia="zh-CN"/>
        </w:rPr>
        <w:t>（二）分税种增减因素分析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楷体_GB2312" w:hAnsi="Times New Roman" w:eastAsia="楷体_GB2312" w:cs="楷体_GB2312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bCs w:val="0"/>
          <w:color w:val="auto"/>
          <w:sz w:val="32"/>
          <w:szCs w:val="32"/>
          <w:lang w:val="en-US" w:eastAsia="zh-CN" w:bidi="ar"/>
        </w:rPr>
        <w:t>1、产业税收收入情况（还原留</w:t>
      </w:r>
      <w:r>
        <w:rPr>
          <w:rFonts w:hint="eastAsia" w:ascii="楷体_GB2312" w:eastAsia="楷体_GB2312" w:cs="楷体_GB2312"/>
          <w:bCs w:val="0"/>
          <w:color w:val="auto"/>
          <w:sz w:val="32"/>
          <w:szCs w:val="32"/>
          <w:lang w:val="en-US" w:eastAsia="zh-CN" w:bidi="ar"/>
        </w:rPr>
        <w:t>抵</w:t>
      </w:r>
      <w:r>
        <w:rPr>
          <w:rFonts w:hint="eastAsia" w:ascii="楷体_GB2312" w:hAnsi="Times New Roman" w:eastAsia="楷体_GB2312" w:cs="楷体_GB2312"/>
          <w:bCs w:val="0"/>
          <w:color w:val="auto"/>
          <w:sz w:val="32"/>
          <w:szCs w:val="32"/>
          <w:lang w:val="en-US" w:eastAsia="zh-CN" w:bidi="ar"/>
        </w:rPr>
        <w:t>退税）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.总体情况：第一产业税收入库94万元，同比降低8.74%，减收9万元；第二产业税收入库31929万元，同比增长92.39%，增收15333万元；第三产业税收入库6094万元，同比降低2.39%，减收149万元。从产业情况分析，上半年度第一产业、第三产业经济发展较去年略有下降但基本持平，第二产业税收收入大幅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二产业税收收入情况。四大行业中，采矿业同比增长72.47%，增收5190万元；电力、热力、燃气及水的生产和供应业同比增长5.02%，增收164万元；制造业同比增长270.39%，同比增收8320万元；建筑业同比增长53.69%,增收1660。重点税源增长快的行业依次是：制造业税收入库11397万元，占第二产业税收收入35.69%；采矿业税收入库12352万元，占第二产业税收收入的38.69%；建筑业税收入库4752万元，占第二产业税收收入的14.88%；电力、热力生产和供应业税收入库3429万元，占第二产业税收收入的10.74%。电力、热力、燃气及水的生产和供应业相比同期增长幅度较小。详细可见下表：</w:t>
      </w:r>
    </w:p>
    <w:tbl>
      <w:tblPr>
        <w:tblStyle w:val="12"/>
        <w:tblpPr w:leftFromText="180" w:rightFromText="180" w:vertAnchor="text" w:horzAnchor="page" w:tblpXSpec="center" w:tblpY="562"/>
        <w:tblOverlap w:val="never"/>
        <w:tblW w:w="95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496"/>
        <w:gridCol w:w="2496"/>
        <w:gridCol w:w="1044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2022年上半年税收收入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2021年上半年税收收入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同比增收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电力、热力、燃气及水的生产和供应业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3.第三产业税收收入情况。第三产业税收收入情况因留抵退税因素影响，15类行业中14类行业均为下降趋势。还原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留抵退税因素后，第三产业基本与去年持平。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2、税种收入情况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减收原因主要是增值税留抵退税7060万元，</w:t>
      </w:r>
      <w:r>
        <w:rPr>
          <w:rFonts w:hint="default" w:ascii="仿宋_GB2312" w:hAnsi="宋体" w:eastAsia="仿宋_GB2312" w:cs="仿宋_GB2312"/>
          <w:b w:val="0"/>
          <w:bCs w:val="0"/>
          <w:color w:val="auto"/>
          <w:sz w:val="32"/>
          <w:szCs w:val="32"/>
          <w:lang w:val="zh-CN" w:eastAsia="zh-CN" w:bidi="ar"/>
        </w:rPr>
        <w:t>同比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多退税7060万元，还原留抵退税因素因素影响，实际税收收入同比保持小幅增长。从税种结构分析：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83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380"/>
        <w:gridCol w:w="1380"/>
        <w:gridCol w:w="960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增收减收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增值税（还原留抵退税7060万元）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18387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10175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车船税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车购税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-4.55%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15个税种中，10个税种呈现增长，5个税种呈现下降趋势。其中增长幅度最大的为企业所得税、个税级土地增值税；下降幅度最大的为消费税、车购税及耕地占用税。企业所得税同比增长219.17%，增收6987万元；土地增值税入库227万元，同比增长129.29%，增收128万元；个人所得税入库2710万元，同比增长112.05%，增收1432万元；资源税入库3490万元，同比增长58.71%，增收1291万元。详细可见下表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left="630" w:leftChars="0"/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（三）重点税源企业税收收入情况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上半年度辖区重点税源企业缴纳税款排名前3的企业主要有：阿克陶科邦锰业制造有限公司10738万元，同比增收7930万元，同比增长282.41%；阿克陶县百源丰矿业有限公司5158万元，同比增收446万元，增长9.47%；新疆葱岭能源有限公司4431万元，同比增收2449万元，增长123.56%。排名前十企业明细如下表：</w:t>
      </w:r>
    </w:p>
    <w:tbl>
      <w:tblPr>
        <w:tblStyle w:val="12"/>
        <w:tblW w:w="100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932"/>
        <w:gridCol w:w="936"/>
        <w:gridCol w:w="828"/>
        <w:gridCol w:w="1164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同期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同比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同比增减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阿克陶科邦锰业制造有限公司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10,738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2,808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7,930.00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5,158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4,712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新疆葱岭能源有限公司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4,431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1,982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2,449.00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广西水利电业集团新疆克州水利发电有限公司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2,777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2,271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阿克陶县永兴建筑有限责任公司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阿克陶乾盛矿业有限公司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阿克陶县桂新矿业开发有限责任公司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阿克陶县恒通建筑有限责任公司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中国人民财产保险股份有限公司阿克陶支公司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福建省明兴工程建设有限公司尤溪分公司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161.00 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189.41%</w:t>
            </w:r>
          </w:p>
        </w:tc>
      </w:tr>
    </w:tbl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同比增长幅度最大的是科邦锰业、葱岭能源、永兴建筑、乾盛矿业及桂新矿业。其中科邦锰业、葱岭能源及乾盛矿业均有去年结转收入入库。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（三）分行业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增减因素分析</w:t>
      </w:r>
      <w:r>
        <w:rPr>
          <w:rFonts w:hint="eastAsia" w:ascii="黑体" w:hAnsi="黑体" w:eastAsia="黑体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分行业为全口径收入</w:t>
      </w:r>
      <w:r>
        <w:rPr>
          <w:rFonts w:hint="eastAsia" w:ascii="黑体" w:hAnsi="黑体" w:eastAsia="黑体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1、今年第一季度入库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2021年的结转收入及清缴欠税共计5358万元；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年度的车购税和耕地占用税同比降低较多。去年同期耕地占用税有大额入库，今年上半年度有项目耕地占用批复未下发；但主要税种均呈现大幅增长，增值税还原留抵退税后同比增长5902万元；因企业经济效益增长，企业所得税也实现了大幅增长；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新增减税政策减少今年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7671.02万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</w:t>
      </w:r>
      <w:r>
        <w:rPr>
          <w:rFonts w:hint="eastAsia" w:ascii="仿宋_GB2312" w:hAnsi="仿宋_GB2312" w:eastAsia="仿宋_GB2312" w:cs="仿宋_GB2312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增值税小规模纳税人“六税两费”优惠新增减税200.3万元；制造业缓税政策缓缴税收410.72万元；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去年同期相比，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重点税源企业活力增强，经济效益提升，带动税收收入增长。如阿克陶科邦锰业制造有限公司同比增收7930万元，增长282.41%，科邦锰业电解锰单价（含税）预计20000/吨，2021年产量5.4万吨，预计今年产量5.8万吨，因目前单价相比去年最好时达到4万元/吨下降较多，预计多产多销，销量上升产量增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（四）2022年组织税收工作的具体做法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80" w:lineRule="exact"/>
        <w:ind w:firstLine="640" w:firstLineChars="200"/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1、持续改善税收营商环境。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认真落实国家税务总局制定的便民办春风行动80项便民措施，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ar"/>
        </w:rPr>
        <w:t>诉求响应类推出需求快速响应、政策及时送达、问题实时解决、关注个性需求4项14条措施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ar"/>
        </w:rPr>
        <w:t>智慧办理类推出提升网办体验、精简办理流程、减少资料报送、便利发票使用、提速退税办理5项21条措施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ar"/>
        </w:rPr>
        <w:t>分类服务类推出助力大型企业、扶持中小企业、完善缴费服务、服务个税汇算4项19条措施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ar"/>
        </w:rPr>
        <w:t>执法监管类推出优化执法方式、加强精准监管、保障合法权益3项11条措施；税收共治类推出推进部门联动、深化国际协作、促进社会协同、拓展信用应用4项15条措施，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为</w:t>
      </w:r>
      <w:r>
        <w:rPr>
          <w:rFonts w:hint="eastAsia" w:hAnsi="宋体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阿克陶县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的经济发展贡献税务力量。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80" w:lineRule="exact"/>
        <w:ind w:firstLine="640" w:firstLineChars="200"/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2、加强重点项目、重点行业调研辅导。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hAnsi="宋体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上把年度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累计税收收入减少的建筑业、零售业等行业的重点税源企业，以及减收的中小型民营企业，与</w:t>
      </w:r>
      <w:r>
        <w:rPr>
          <w:rFonts w:hint="eastAsia" w:hAnsi="宋体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政府相关部门联合，组织业务骨干深入开展调研，广泛收集涉税诉求，了解企业需求，查找制约发展的瓶颈问题，听取企业的意见建议，回应企业发展的合理诉求，最大限度助力企业发展壮大。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80" w:lineRule="exact"/>
        <w:ind w:firstLine="640" w:firstLineChars="200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3、认真落实退税减税降费等税费支持政策。</w:t>
      </w:r>
      <w:r>
        <w:rPr>
          <w:rFonts w:hint="eastAsia"/>
          <w:spacing w:val="0"/>
          <w:sz w:val="32"/>
          <w:szCs w:val="32"/>
          <w:lang w:val="en-US" w:eastAsia="zh-CN"/>
        </w:rPr>
        <w:t>及时组织企业财务人员、税务人员学习新制发的增值税小规模纳税人减免税、个人所得税婴幼儿照顾费用专项附加扣除等新减免退税政策，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结合“千名干部下万企”活动，</w:t>
      </w:r>
      <w:r>
        <w:rPr>
          <w:rFonts w:hint="eastAsia"/>
          <w:spacing w:val="0"/>
          <w:sz w:val="32"/>
          <w:szCs w:val="32"/>
          <w:lang w:val="en-US" w:eastAsia="zh-CN"/>
        </w:rPr>
        <w:t>采取多种形式，加强各项政策宣传、培训和辅导，确保各项优惠政策红利享受到位。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80" w:lineRule="exact"/>
        <w:ind w:firstLine="640" w:firstLineChars="200"/>
        <w:rPr>
          <w:rFonts w:hint="default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4、</w:t>
      </w:r>
      <w:r>
        <w:rPr>
          <w:rFonts w:hint="default" w:ascii="楷体_GB2312" w:hAnsi="楷体_GB2312" w:eastAsia="楷体_GB2312" w:cs="楷体_GB2312"/>
          <w:spacing w:val="0"/>
          <w:sz w:val="32"/>
          <w:szCs w:val="32"/>
          <w:lang w:val="en-US" w:eastAsia="zh-CN"/>
        </w:rPr>
        <w:t>持续跟进重点建设项目，做好“项目管家”服务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/>
          <w:spacing w:val="0"/>
          <w:sz w:val="32"/>
          <w:szCs w:val="32"/>
          <w:lang w:val="en-US" w:eastAsia="zh-CN"/>
        </w:rPr>
        <w:t>2022年</w:t>
      </w:r>
      <w:r>
        <w:rPr>
          <w:rFonts w:hint="eastAsia"/>
          <w:spacing w:val="0"/>
          <w:sz w:val="32"/>
          <w:szCs w:val="32"/>
          <w:lang w:val="en-US" w:eastAsia="zh-CN"/>
        </w:rPr>
        <w:t>阿克陶县</w:t>
      </w:r>
      <w:r>
        <w:rPr>
          <w:rFonts w:hint="default"/>
          <w:spacing w:val="0"/>
          <w:sz w:val="32"/>
          <w:szCs w:val="32"/>
          <w:lang w:val="en-US" w:eastAsia="zh-CN"/>
        </w:rPr>
        <w:t>重点项目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119个，总投资70.38亿</w:t>
      </w:r>
      <w:r>
        <w:rPr>
          <w:rFonts w:hint="default"/>
          <w:spacing w:val="0"/>
          <w:sz w:val="32"/>
          <w:szCs w:val="32"/>
          <w:lang w:val="en-US" w:eastAsia="zh-CN"/>
        </w:rPr>
        <w:t>，为组织税费收入带来重要的增长点。我局将依托重点建设项目信息平台，及时与财政局、</w:t>
      </w:r>
      <w:r>
        <w:rPr>
          <w:rFonts w:hint="eastAsia"/>
          <w:spacing w:val="0"/>
          <w:sz w:val="32"/>
          <w:szCs w:val="32"/>
          <w:lang w:val="en-US" w:eastAsia="zh-CN"/>
        </w:rPr>
        <w:t>发改委</w:t>
      </w:r>
      <w:r>
        <w:rPr>
          <w:rFonts w:hint="default"/>
          <w:spacing w:val="0"/>
          <w:sz w:val="32"/>
          <w:szCs w:val="32"/>
          <w:lang w:val="en-US" w:eastAsia="zh-CN"/>
        </w:rPr>
        <w:t>、</w:t>
      </w:r>
      <w:r>
        <w:rPr>
          <w:rFonts w:hint="eastAsia"/>
          <w:spacing w:val="0"/>
          <w:sz w:val="32"/>
          <w:szCs w:val="32"/>
          <w:lang w:val="en-US" w:eastAsia="zh-CN"/>
        </w:rPr>
        <w:t>自然资源局</w:t>
      </w:r>
      <w:r>
        <w:rPr>
          <w:rFonts w:hint="default"/>
          <w:spacing w:val="0"/>
          <w:sz w:val="32"/>
          <w:szCs w:val="32"/>
          <w:lang w:val="en-US" w:eastAsia="zh-CN"/>
        </w:rPr>
        <w:t>等相关部门沟通联系，及时掌握开发区范围内重点项目开工完工、项目资金拨付情况，把握项目结算时间节点，认真做好项目管家服务工作，准确掌握税款实现情况，保证税款及时足额入库。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80" w:lineRule="exact"/>
        <w:ind w:firstLine="640" w:firstLineChars="200"/>
        <w:rPr>
          <w:rFonts w:hint="default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5、</w:t>
      </w:r>
      <w:r>
        <w:rPr>
          <w:rFonts w:hint="default" w:ascii="楷体_GB2312" w:hAnsi="楷体_GB2312" w:eastAsia="楷体_GB2312" w:cs="楷体_GB2312"/>
          <w:spacing w:val="0"/>
          <w:sz w:val="32"/>
          <w:szCs w:val="32"/>
          <w:lang w:val="en-US" w:eastAsia="zh-CN"/>
        </w:rPr>
        <w:t>强化征管实现税收增收，严格控制新欠、大力清缴陈欠。</w:t>
      </w:r>
      <w:r>
        <w:rPr>
          <w:rFonts w:hint="default"/>
          <w:spacing w:val="0"/>
          <w:sz w:val="32"/>
          <w:szCs w:val="32"/>
          <w:lang w:val="en-US" w:eastAsia="zh-CN"/>
        </w:rPr>
        <w:t>进一步落实税务总局关于加强欠税管理的各项要求，对已产生欠税的纳税人，坚持通过按规定发布公告、以欠抵退，以票控欠，加强检查等措施，督促欠税人主动清缴欠税。</w:t>
      </w:r>
    </w:p>
    <w:p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 w:bidi="ar-SA"/>
        </w:rPr>
        <w:t>6、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加强大数据应用，提升税收风险管理质效。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聚焦重点事项，开展靶向征收。除符合税法明确规定缓缴税款条件的小微企业及个体工商户外，对县域重点项目进行税收分析比对，实施动态跟踪管理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重点对企业重大重组事项进行涉税风险辅导，对高风险行业、企业组织开展自查及监控分析，坚决杜绝“大规模、地毯式、无差别”行业新检查。</w:t>
      </w:r>
    </w:p>
    <w:p>
      <w:pPr>
        <w:numPr>
          <w:ilvl w:val="0"/>
          <w:numId w:val="0"/>
        </w:numPr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财政支出情况。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截止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月阿克陶县预算支出完成情况。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月，完成地方财政支出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338358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62.7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50801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17.7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。其中：一般预算支出完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318957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60.1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35478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12.5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19401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208.4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比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15323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，同比增长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375.7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民生支出完成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233807万元，占公共财政支出73.3%。</w:t>
      </w:r>
    </w:p>
    <w:p>
      <w:pPr>
        <w:ind w:firstLine="602" w:firstLineChars="200"/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四、在加快预算执行方面采取的措施。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一是规范支出程序，对已到位的专项资金，科学制定专项资金支付计划，合理调度资金；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二是加大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对部门单位的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催办力度，对项目未及时启动以及进展缓慢的有关责任部门及时进行催办，督促其加快推进，为求早实施、早见效；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五、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财政收支预算执行特点。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收入方面：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矿产品市场较为良好，矿山企业销售量增加，使我县采矿业税收收入随之增长。部分重点税源企业活力增强，经济效益提升，带动税收收入大幅增长。</w:t>
      </w:r>
    </w:p>
    <w:p>
      <w:pPr>
        <w:spacing w:line="56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支出方面：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eastAsia="zh-CN"/>
        </w:rPr>
        <w:t>目前我县财政收支矛盾非常突出，库款支出保障能力较低。财政收支矛盾从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val="en-US" w:eastAsia="zh-CN"/>
        </w:rPr>
        <w:t>2018年起，为坚决落实维稳工作、支持保障教育工作、防范化解隐性债务等政策，县财政投入大量资金予以保障，其中主要以人员工资收支矛盾最为突出，为保人员工资支出，现已导致扶贫资金项目、直达资金项目、债券资金项目等重点支出保障举步为坚，财政收支矛盾还在进一步扩大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六、阿克陶县</w:t>
      </w:r>
      <w:r>
        <w:rPr>
          <w:rFonts w:hint="eastAsia" w:ascii="仿宋_GB2312" w:eastAsia="仿宋_GB2312"/>
          <w:b/>
          <w:sz w:val="30"/>
          <w:szCs w:val="30"/>
        </w:rPr>
        <w:t>当前经济和财政运行中存在的突出问题和矛盾，以及下一步工作思路。</w:t>
      </w:r>
    </w:p>
    <w:p>
      <w:pPr>
        <w:spacing w:line="560" w:lineRule="exact"/>
        <w:ind w:firstLine="600" w:firstLineChars="200"/>
        <w:jc w:val="left"/>
      </w:pP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24"/>
          <w:lang w:val="en-US" w:eastAsia="zh-CN" w:bidi="ar-SA"/>
        </w:rPr>
        <w:t>针对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我县当前经济和财政运行中存在的突出问题和矛盾，已多次向县委、县政府汇报，并提出建议意见，要从三个方面着手予以解决：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面对财政收支矛盾日渐突出的问题，应积极开展开源节流应对措施，大力压减一般性支出，坚守政府债务红线底线，协调各涉税部门培植税源，在受新冠疫情的影响下，保持财政税收稳步持续增长；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二是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按照“财政供养人员只减不增”的要求，严格控制财政供养人员的增长，规范人员招聘程序，在量入为出的前提下，明确增人增资解决方案,同时做好临聘人员压减工作，杜绝财政赤字。以缓解县级财力支出压力;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highlight w:val="none"/>
          <w:lang w:val="en-US" w:eastAsia="zh-CN" w:bidi="ar-SA"/>
        </w:rPr>
        <w:t>三是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严格执行《预算法》，强化预算编制与预算执行，预算编制应当以部门年度工作计划任务编制，以量入为出的原则经财经领导小组研究定部门年度资金预算，严控预算追加事项，无预算安排的项目停建或是缓建，以缓解财政收支矛盾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七、</w:t>
      </w:r>
      <w:r>
        <w:rPr>
          <w:rFonts w:hint="eastAsia" w:ascii="仿宋_GB2312" w:eastAsia="仿宋_GB2312"/>
          <w:b/>
          <w:bCs/>
          <w:sz w:val="30"/>
          <w:szCs w:val="30"/>
        </w:rPr>
        <w:t>意见建议方面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为落实社会稳定和长治久安的总目标，投入大量人力、财力、物力保障维稳、教育等各项工作顺利开展，新增大量自聘工作人员，导致保工资、促运转、保民生预算安排存在很大压力，严重影响“三保”保障及重点项目支出。一方面建议上级财政部门考虑我县财力的实际困难，加大对维稳及教育的一般性转移支付力度，减少专项转移支付，以保证全年财政收支平衡。另一方面加快库款调拨进度，以缓解重点项目支出压力。</w:t>
      </w:r>
    </w:p>
    <w:p>
      <w:pPr>
        <w:spacing w:line="560" w:lineRule="exact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阿克陶县财政局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 xml:space="preserve">                                  2022年7月4日 </w:t>
      </w:r>
    </w:p>
    <w:sectPr>
      <w:footerReference r:id="rId3" w:type="default"/>
      <w:footerReference r:id="rId4" w:type="even"/>
      <w:pgSz w:w="11906" w:h="16838"/>
      <w:pgMar w:top="2098" w:right="141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2269D"/>
    <w:multiLevelType w:val="singleLevel"/>
    <w:tmpl w:val="899226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76"/>
    <w:rsid w:val="00013149"/>
    <w:rsid w:val="000319F9"/>
    <w:rsid w:val="00041E1A"/>
    <w:rsid w:val="000516A8"/>
    <w:rsid w:val="0006600A"/>
    <w:rsid w:val="00076160"/>
    <w:rsid w:val="00087E2B"/>
    <w:rsid w:val="000A37BE"/>
    <w:rsid w:val="000C6F67"/>
    <w:rsid w:val="000E209C"/>
    <w:rsid w:val="000F18D4"/>
    <w:rsid w:val="000F6E0A"/>
    <w:rsid w:val="00122587"/>
    <w:rsid w:val="0012382B"/>
    <w:rsid w:val="001307A1"/>
    <w:rsid w:val="00132000"/>
    <w:rsid w:val="00140DC5"/>
    <w:rsid w:val="00153CFE"/>
    <w:rsid w:val="001709CC"/>
    <w:rsid w:val="00182592"/>
    <w:rsid w:val="00183510"/>
    <w:rsid w:val="00192AED"/>
    <w:rsid w:val="001A4C0E"/>
    <w:rsid w:val="001A781C"/>
    <w:rsid w:val="001B15CC"/>
    <w:rsid w:val="001B659F"/>
    <w:rsid w:val="001D115E"/>
    <w:rsid w:val="001D261E"/>
    <w:rsid w:val="00227D34"/>
    <w:rsid w:val="002344C4"/>
    <w:rsid w:val="00235DC6"/>
    <w:rsid w:val="00235E42"/>
    <w:rsid w:val="00235F76"/>
    <w:rsid w:val="002363AA"/>
    <w:rsid w:val="00237005"/>
    <w:rsid w:val="00246115"/>
    <w:rsid w:val="00254AFC"/>
    <w:rsid w:val="002636CD"/>
    <w:rsid w:val="00263E4D"/>
    <w:rsid w:val="00290FD3"/>
    <w:rsid w:val="002B0BD5"/>
    <w:rsid w:val="002B1C53"/>
    <w:rsid w:val="002C1D28"/>
    <w:rsid w:val="002F2792"/>
    <w:rsid w:val="003073A6"/>
    <w:rsid w:val="00310D76"/>
    <w:rsid w:val="00312983"/>
    <w:rsid w:val="003159CF"/>
    <w:rsid w:val="003241FD"/>
    <w:rsid w:val="00335F13"/>
    <w:rsid w:val="00343C0A"/>
    <w:rsid w:val="003450F0"/>
    <w:rsid w:val="0038312E"/>
    <w:rsid w:val="0039058B"/>
    <w:rsid w:val="00396E2D"/>
    <w:rsid w:val="00397AD4"/>
    <w:rsid w:val="00397B12"/>
    <w:rsid w:val="003B476F"/>
    <w:rsid w:val="003B5EA2"/>
    <w:rsid w:val="003C1E36"/>
    <w:rsid w:val="003C685B"/>
    <w:rsid w:val="003E620A"/>
    <w:rsid w:val="003F5D9D"/>
    <w:rsid w:val="004042D6"/>
    <w:rsid w:val="00406166"/>
    <w:rsid w:val="0040684C"/>
    <w:rsid w:val="004074A9"/>
    <w:rsid w:val="0041357F"/>
    <w:rsid w:val="00435953"/>
    <w:rsid w:val="00440AB9"/>
    <w:rsid w:val="00444DCC"/>
    <w:rsid w:val="004546A4"/>
    <w:rsid w:val="00474438"/>
    <w:rsid w:val="0047497C"/>
    <w:rsid w:val="004749E8"/>
    <w:rsid w:val="00493A09"/>
    <w:rsid w:val="004D60E3"/>
    <w:rsid w:val="004D67C5"/>
    <w:rsid w:val="004E5F8D"/>
    <w:rsid w:val="004F2766"/>
    <w:rsid w:val="004F4868"/>
    <w:rsid w:val="00512355"/>
    <w:rsid w:val="00513024"/>
    <w:rsid w:val="0052535B"/>
    <w:rsid w:val="005612FD"/>
    <w:rsid w:val="00563A7D"/>
    <w:rsid w:val="00573A91"/>
    <w:rsid w:val="00594AA2"/>
    <w:rsid w:val="005A5947"/>
    <w:rsid w:val="005A640C"/>
    <w:rsid w:val="005B11B7"/>
    <w:rsid w:val="005D252E"/>
    <w:rsid w:val="005D374C"/>
    <w:rsid w:val="005E0FAF"/>
    <w:rsid w:val="005E3DC3"/>
    <w:rsid w:val="005E5411"/>
    <w:rsid w:val="005F1A88"/>
    <w:rsid w:val="006252CB"/>
    <w:rsid w:val="00636C87"/>
    <w:rsid w:val="00637E76"/>
    <w:rsid w:val="0064717E"/>
    <w:rsid w:val="00655CF7"/>
    <w:rsid w:val="00657EC6"/>
    <w:rsid w:val="006B6CAD"/>
    <w:rsid w:val="006C3455"/>
    <w:rsid w:val="006C73D6"/>
    <w:rsid w:val="006D0AD5"/>
    <w:rsid w:val="006D4D54"/>
    <w:rsid w:val="006D7376"/>
    <w:rsid w:val="006E1307"/>
    <w:rsid w:val="00700291"/>
    <w:rsid w:val="007039A8"/>
    <w:rsid w:val="00731276"/>
    <w:rsid w:val="00733D3C"/>
    <w:rsid w:val="00757F4A"/>
    <w:rsid w:val="00761915"/>
    <w:rsid w:val="007702E6"/>
    <w:rsid w:val="00784EE2"/>
    <w:rsid w:val="007A763C"/>
    <w:rsid w:val="007C4FDB"/>
    <w:rsid w:val="007D06DC"/>
    <w:rsid w:val="007D1917"/>
    <w:rsid w:val="007D6F7E"/>
    <w:rsid w:val="007E58FB"/>
    <w:rsid w:val="00806285"/>
    <w:rsid w:val="00822B44"/>
    <w:rsid w:val="0083372E"/>
    <w:rsid w:val="00852784"/>
    <w:rsid w:val="00857C3D"/>
    <w:rsid w:val="00890676"/>
    <w:rsid w:val="00897B57"/>
    <w:rsid w:val="008A5416"/>
    <w:rsid w:val="008A7696"/>
    <w:rsid w:val="008B58FD"/>
    <w:rsid w:val="008C221D"/>
    <w:rsid w:val="008C7905"/>
    <w:rsid w:val="008D75F9"/>
    <w:rsid w:val="008E1B70"/>
    <w:rsid w:val="008F21BF"/>
    <w:rsid w:val="008F7373"/>
    <w:rsid w:val="009016D6"/>
    <w:rsid w:val="00926B3F"/>
    <w:rsid w:val="0094427D"/>
    <w:rsid w:val="00946D60"/>
    <w:rsid w:val="0094750D"/>
    <w:rsid w:val="0096421B"/>
    <w:rsid w:val="00986395"/>
    <w:rsid w:val="009942EA"/>
    <w:rsid w:val="009E3A54"/>
    <w:rsid w:val="009F53CF"/>
    <w:rsid w:val="00A01720"/>
    <w:rsid w:val="00A233AB"/>
    <w:rsid w:val="00A30B94"/>
    <w:rsid w:val="00A52272"/>
    <w:rsid w:val="00A619CE"/>
    <w:rsid w:val="00A61D56"/>
    <w:rsid w:val="00A84493"/>
    <w:rsid w:val="00A905E1"/>
    <w:rsid w:val="00A97FFE"/>
    <w:rsid w:val="00AC1D1C"/>
    <w:rsid w:val="00AC2BC7"/>
    <w:rsid w:val="00AD1982"/>
    <w:rsid w:val="00AE4A23"/>
    <w:rsid w:val="00AE6933"/>
    <w:rsid w:val="00AF00CA"/>
    <w:rsid w:val="00AF6031"/>
    <w:rsid w:val="00AF6F5B"/>
    <w:rsid w:val="00B01D81"/>
    <w:rsid w:val="00B0694E"/>
    <w:rsid w:val="00B075D2"/>
    <w:rsid w:val="00B078FF"/>
    <w:rsid w:val="00B24124"/>
    <w:rsid w:val="00B40E54"/>
    <w:rsid w:val="00B431D0"/>
    <w:rsid w:val="00B43695"/>
    <w:rsid w:val="00B46DFD"/>
    <w:rsid w:val="00B561B4"/>
    <w:rsid w:val="00B642EC"/>
    <w:rsid w:val="00B6596F"/>
    <w:rsid w:val="00B65AB4"/>
    <w:rsid w:val="00B71911"/>
    <w:rsid w:val="00B97E80"/>
    <w:rsid w:val="00BC2AEB"/>
    <w:rsid w:val="00BC3E16"/>
    <w:rsid w:val="00BD4840"/>
    <w:rsid w:val="00BF41A7"/>
    <w:rsid w:val="00C01B39"/>
    <w:rsid w:val="00C11882"/>
    <w:rsid w:val="00C21419"/>
    <w:rsid w:val="00C21A92"/>
    <w:rsid w:val="00C26664"/>
    <w:rsid w:val="00C620C5"/>
    <w:rsid w:val="00C63B1E"/>
    <w:rsid w:val="00C90005"/>
    <w:rsid w:val="00C91C9C"/>
    <w:rsid w:val="00CA2619"/>
    <w:rsid w:val="00CA4288"/>
    <w:rsid w:val="00CE6DB8"/>
    <w:rsid w:val="00CF24EB"/>
    <w:rsid w:val="00D22809"/>
    <w:rsid w:val="00D330E1"/>
    <w:rsid w:val="00D338EE"/>
    <w:rsid w:val="00D432A7"/>
    <w:rsid w:val="00D44BA0"/>
    <w:rsid w:val="00D52156"/>
    <w:rsid w:val="00D5389F"/>
    <w:rsid w:val="00D73404"/>
    <w:rsid w:val="00D87DDC"/>
    <w:rsid w:val="00D90F07"/>
    <w:rsid w:val="00D97C3F"/>
    <w:rsid w:val="00DB5D20"/>
    <w:rsid w:val="00DC3521"/>
    <w:rsid w:val="00DD367F"/>
    <w:rsid w:val="00DD7EBF"/>
    <w:rsid w:val="00E07AD2"/>
    <w:rsid w:val="00E15809"/>
    <w:rsid w:val="00E16C45"/>
    <w:rsid w:val="00E27A33"/>
    <w:rsid w:val="00E30B14"/>
    <w:rsid w:val="00E35995"/>
    <w:rsid w:val="00E67EA4"/>
    <w:rsid w:val="00E800A4"/>
    <w:rsid w:val="00E8384F"/>
    <w:rsid w:val="00EA0D92"/>
    <w:rsid w:val="00EA580A"/>
    <w:rsid w:val="00EA74C5"/>
    <w:rsid w:val="00EB2437"/>
    <w:rsid w:val="00EC1583"/>
    <w:rsid w:val="00EC4B2B"/>
    <w:rsid w:val="00EC4FAC"/>
    <w:rsid w:val="00ED0ADA"/>
    <w:rsid w:val="00ED7B10"/>
    <w:rsid w:val="00EE3687"/>
    <w:rsid w:val="00EF694A"/>
    <w:rsid w:val="00F035F4"/>
    <w:rsid w:val="00F05D6C"/>
    <w:rsid w:val="00F065C1"/>
    <w:rsid w:val="00F1060C"/>
    <w:rsid w:val="00F14948"/>
    <w:rsid w:val="00F2650F"/>
    <w:rsid w:val="00F310BE"/>
    <w:rsid w:val="00F32149"/>
    <w:rsid w:val="00F4384E"/>
    <w:rsid w:val="00F459F4"/>
    <w:rsid w:val="00F71436"/>
    <w:rsid w:val="00F73E92"/>
    <w:rsid w:val="00F74A13"/>
    <w:rsid w:val="00F92B2F"/>
    <w:rsid w:val="00F97B8A"/>
    <w:rsid w:val="00FA7A0B"/>
    <w:rsid w:val="00FB362E"/>
    <w:rsid w:val="00FD2352"/>
    <w:rsid w:val="00FD52CD"/>
    <w:rsid w:val="00FF141D"/>
    <w:rsid w:val="00FF5822"/>
    <w:rsid w:val="010B3103"/>
    <w:rsid w:val="010F1ADD"/>
    <w:rsid w:val="01A423DB"/>
    <w:rsid w:val="02007A50"/>
    <w:rsid w:val="023E47EB"/>
    <w:rsid w:val="03124E58"/>
    <w:rsid w:val="033125BC"/>
    <w:rsid w:val="049320F9"/>
    <w:rsid w:val="04A14788"/>
    <w:rsid w:val="05526282"/>
    <w:rsid w:val="05756291"/>
    <w:rsid w:val="07150CC8"/>
    <w:rsid w:val="07253648"/>
    <w:rsid w:val="074260F4"/>
    <w:rsid w:val="079B3297"/>
    <w:rsid w:val="07BE0AB4"/>
    <w:rsid w:val="07EE2E3F"/>
    <w:rsid w:val="081046A6"/>
    <w:rsid w:val="091B50F4"/>
    <w:rsid w:val="0A7924FA"/>
    <w:rsid w:val="0A8C73D0"/>
    <w:rsid w:val="0A8E0C1F"/>
    <w:rsid w:val="0A95224E"/>
    <w:rsid w:val="0AA41671"/>
    <w:rsid w:val="0BB722A1"/>
    <w:rsid w:val="0C390C38"/>
    <w:rsid w:val="0CE3325C"/>
    <w:rsid w:val="0E225E64"/>
    <w:rsid w:val="0E4F19B7"/>
    <w:rsid w:val="0E574EA7"/>
    <w:rsid w:val="0ECC1867"/>
    <w:rsid w:val="0F2E7E3A"/>
    <w:rsid w:val="0FB328C1"/>
    <w:rsid w:val="0FF72640"/>
    <w:rsid w:val="10272B08"/>
    <w:rsid w:val="10B10E8E"/>
    <w:rsid w:val="116A765E"/>
    <w:rsid w:val="118041DE"/>
    <w:rsid w:val="11A45524"/>
    <w:rsid w:val="11B46E7B"/>
    <w:rsid w:val="14606D95"/>
    <w:rsid w:val="1478779F"/>
    <w:rsid w:val="147B1B6F"/>
    <w:rsid w:val="14E0574B"/>
    <w:rsid w:val="165E4CAD"/>
    <w:rsid w:val="1704589A"/>
    <w:rsid w:val="178A3D22"/>
    <w:rsid w:val="17B24FF8"/>
    <w:rsid w:val="17B936D8"/>
    <w:rsid w:val="18050E57"/>
    <w:rsid w:val="18B528C4"/>
    <w:rsid w:val="18F12C6F"/>
    <w:rsid w:val="18F22C37"/>
    <w:rsid w:val="1A106D9B"/>
    <w:rsid w:val="1A190D86"/>
    <w:rsid w:val="1ADF5EC8"/>
    <w:rsid w:val="1B305198"/>
    <w:rsid w:val="1B384F54"/>
    <w:rsid w:val="1CCE07E4"/>
    <w:rsid w:val="1F264EEC"/>
    <w:rsid w:val="208456CF"/>
    <w:rsid w:val="209E67DC"/>
    <w:rsid w:val="216B5068"/>
    <w:rsid w:val="21832D84"/>
    <w:rsid w:val="21D83C63"/>
    <w:rsid w:val="226129BA"/>
    <w:rsid w:val="2264765E"/>
    <w:rsid w:val="227E316D"/>
    <w:rsid w:val="227E7A7A"/>
    <w:rsid w:val="22D521EA"/>
    <w:rsid w:val="23625750"/>
    <w:rsid w:val="278F129A"/>
    <w:rsid w:val="27B87B6B"/>
    <w:rsid w:val="28665C91"/>
    <w:rsid w:val="28FD3A00"/>
    <w:rsid w:val="29E53B7F"/>
    <w:rsid w:val="2A9A6362"/>
    <w:rsid w:val="2ACA1FCC"/>
    <w:rsid w:val="2B5B3E5C"/>
    <w:rsid w:val="2BA60DFC"/>
    <w:rsid w:val="2BD231FA"/>
    <w:rsid w:val="2D2D5D05"/>
    <w:rsid w:val="2E7056F2"/>
    <w:rsid w:val="2F3766D0"/>
    <w:rsid w:val="2F6407AB"/>
    <w:rsid w:val="30A64491"/>
    <w:rsid w:val="30DB1956"/>
    <w:rsid w:val="30F21321"/>
    <w:rsid w:val="30F72F1E"/>
    <w:rsid w:val="32160EDC"/>
    <w:rsid w:val="327177AB"/>
    <w:rsid w:val="32D73619"/>
    <w:rsid w:val="33016455"/>
    <w:rsid w:val="342F318A"/>
    <w:rsid w:val="344B403B"/>
    <w:rsid w:val="346B1BDB"/>
    <w:rsid w:val="34D019EC"/>
    <w:rsid w:val="366F42F4"/>
    <w:rsid w:val="370914C6"/>
    <w:rsid w:val="381A10E9"/>
    <w:rsid w:val="38220065"/>
    <w:rsid w:val="382E3960"/>
    <w:rsid w:val="38F32AA6"/>
    <w:rsid w:val="3AEA675F"/>
    <w:rsid w:val="3B5D2933"/>
    <w:rsid w:val="3BBD5F69"/>
    <w:rsid w:val="3C2A1B43"/>
    <w:rsid w:val="3C5F3D23"/>
    <w:rsid w:val="3D612F60"/>
    <w:rsid w:val="3D696C57"/>
    <w:rsid w:val="3EFA0570"/>
    <w:rsid w:val="3F212498"/>
    <w:rsid w:val="3F5E71F3"/>
    <w:rsid w:val="406325FF"/>
    <w:rsid w:val="41095C74"/>
    <w:rsid w:val="42E76F37"/>
    <w:rsid w:val="42FD275D"/>
    <w:rsid w:val="43F80165"/>
    <w:rsid w:val="446A13E1"/>
    <w:rsid w:val="4474252A"/>
    <w:rsid w:val="45B31471"/>
    <w:rsid w:val="47602F12"/>
    <w:rsid w:val="48D13340"/>
    <w:rsid w:val="491D611E"/>
    <w:rsid w:val="492E3E43"/>
    <w:rsid w:val="4A07168E"/>
    <w:rsid w:val="4AF87427"/>
    <w:rsid w:val="4C715BF4"/>
    <w:rsid w:val="4CC17C5B"/>
    <w:rsid w:val="4D9E0E59"/>
    <w:rsid w:val="4E220601"/>
    <w:rsid w:val="4E410B28"/>
    <w:rsid w:val="4EBD1D30"/>
    <w:rsid w:val="4F247058"/>
    <w:rsid w:val="4F60604C"/>
    <w:rsid w:val="4F8C1753"/>
    <w:rsid w:val="50500093"/>
    <w:rsid w:val="506B57FD"/>
    <w:rsid w:val="510D7AB3"/>
    <w:rsid w:val="512B3EF7"/>
    <w:rsid w:val="514514FE"/>
    <w:rsid w:val="520F7D58"/>
    <w:rsid w:val="52627444"/>
    <w:rsid w:val="52630EF9"/>
    <w:rsid w:val="52A27290"/>
    <w:rsid w:val="53302853"/>
    <w:rsid w:val="53D850D9"/>
    <w:rsid w:val="55A52DC5"/>
    <w:rsid w:val="563134D0"/>
    <w:rsid w:val="564552D9"/>
    <w:rsid w:val="573D44AE"/>
    <w:rsid w:val="57FB2815"/>
    <w:rsid w:val="589A5198"/>
    <w:rsid w:val="58B27246"/>
    <w:rsid w:val="58C821ED"/>
    <w:rsid w:val="591D0A94"/>
    <w:rsid w:val="59500531"/>
    <w:rsid w:val="5BEB58EE"/>
    <w:rsid w:val="5C0D65EF"/>
    <w:rsid w:val="5CC045B3"/>
    <w:rsid w:val="5D1C0867"/>
    <w:rsid w:val="5E042CF7"/>
    <w:rsid w:val="5E7364FF"/>
    <w:rsid w:val="5EEE5D42"/>
    <w:rsid w:val="5F0D0B78"/>
    <w:rsid w:val="607D7FA8"/>
    <w:rsid w:val="61395244"/>
    <w:rsid w:val="622515E6"/>
    <w:rsid w:val="62252B91"/>
    <w:rsid w:val="626232E1"/>
    <w:rsid w:val="62A25AD1"/>
    <w:rsid w:val="62B64E11"/>
    <w:rsid w:val="62C87BD8"/>
    <w:rsid w:val="62E276EE"/>
    <w:rsid w:val="62F566E9"/>
    <w:rsid w:val="6400418A"/>
    <w:rsid w:val="64357D63"/>
    <w:rsid w:val="66FE2F25"/>
    <w:rsid w:val="673A183C"/>
    <w:rsid w:val="679E78FA"/>
    <w:rsid w:val="6854671E"/>
    <w:rsid w:val="68625987"/>
    <w:rsid w:val="690448B5"/>
    <w:rsid w:val="69261B3A"/>
    <w:rsid w:val="6B9D2790"/>
    <w:rsid w:val="6C8D0E79"/>
    <w:rsid w:val="6D6051FB"/>
    <w:rsid w:val="6E162F0C"/>
    <w:rsid w:val="6ECA3AF5"/>
    <w:rsid w:val="6F8429D8"/>
    <w:rsid w:val="707F2EE1"/>
    <w:rsid w:val="70BE7B1A"/>
    <w:rsid w:val="71702B1A"/>
    <w:rsid w:val="71E83522"/>
    <w:rsid w:val="72400C52"/>
    <w:rsid w:val="733654D3"/>
    <w:rsid w:val="74CC140A"/>
    <w:rsid w:val="7580253A"/>
    <w:rsid w:val="758D5A85"/>
    <w:rsid w:val="75D32E32"/>
    <w:rsid w:val="7601093C"/>
    <w:rsid w:val="7664713B"/>
    <w:rsid w:val="76667DB3"/>
    <w:rsid w:val="76BE6664"/>
    <w:rsid w:val="774A68C3"/>
    <w:rsid w:val="78060AE9"/>
    <w:rsid w:val="78B31B4D"/>
    <w:rsid w:val="78D17C6C"/>
    <w:rsid w:val="7C0F7CE8"/>
    <w:rsid w:val="7CDC2619"/>
    <w:rsid w:val="7E7D1166"/>
    <w:rsid w:val="7E9F0DEF"/>
    <w:rsid w:val="7F450FB3"/>
    <w:rsid w:val="7F515BEF"/>
    <w:rsid w:val="7FF42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ind w:firstLine="880" w:firstLineChars="200"/>
      <w:outlineLvl w:val="2"/>
    </w:pPr>
    <w:rPr>
      <w:rFonts w:ascii="Times New Roman" w:hAnsi="Times New Roman" w:eastAsia="宋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Body Text Indent"/>
    <w:basedOn w:val="1"/>
    <w:next w:val="1"/>
    <w:qFormat/>
    <w:uiPriority w:val="0"/>
    <w:pPr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next w:val="3"/>
    <w:qFormat/>
    <w:uiPriority w:val="0"/>
    <w:pPr>
      <w:ind w:firstLine="420" w:firstLineChars="262"/>
    </w:pPr>
    <w:rPr>
      <w:b/>
      <w:bCs/>
      <w:sz w:val="32"/>
      <w:szCs w:val="21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330</Words>
  <Characters>1882</Characters>
  <Lines>15</Lines>
  <Paragraphs>4</Paragraphs>
  <TotalTime>5</TotalTime>
  <ScaleCrop>false</ScaleCrop>
  <LinksUpToDate>false</LinksUpToDate>
  <CharactersWithSpaces>2208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2020-01-02T05:59:00Z</dcterms:created>
  <dc:creator>user</dc:creator>
  <cp:lastModifiedBy>Administrator</cp:lastModifiedBy>
  <cp:lastPrinted>2010-03-29T03:50:00Z</cp:lastPrinted>
  <dcterms:modified xsi:type="dcterms:W3CDTF">2023-11-17T09:26:36Z</dcterms:modified>
  <dc:title>财 政 形 势 调 研 提 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