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52"/>
          <w:szCs w:val="52"/>
        </w:rPr>
      </w:pP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阿克陶县</w:t>
      </w:r>
      <w:r>
        <w:rPr>
          <w:rFonts w:hint="eastAsia" w:ascii="华文中宋" w:hAnsi="华文中宋" w:eastAsia="华文中宋" w:cs="华文中宋"/>
          <w:sz w:val="52"/>
          <w:szCs w:val="52"/>
        </w:rPr>
        <w:t>财政运行情况分析</w:t>
      </w:r>
    </w:p>
    <w:p>
      <w:pPr>
        <w:pStyle w:val="3"/>
        <w:ind w:left="0" w:leftChars="0" w:firstLine="0" w:firstLineChars="0"/>
      </w:pP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阿克陶县</w:t>
      </w:r>
      <w:r>
        <w:rPr>
          <w:rFonts w:hint="eastAsia" w:ascii="仿宋_GB2312" w:eastAsia="仿宋_GB2312"/>
          <w:b/>
          <w:sz w:val="30"/>
          <w:szCs w:val="30"/>
        </w:rPr>
        <w:t>经济和财政运行情况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截止9月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阿克陶县预算收入完成情况及进度。</w:t>
      </w:r>
    </w:p>
    <w:p>
      <w:pPr>
        <w:spacing w:line="560" w:lineRule="exact"/>
        <w:ind w:firstLine="594" w:firstLineChars="198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完成地方财政收入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41881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61.3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，比上年同期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5013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13.6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。在地方财政收入中，一般预算收入完成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37020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68.7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3651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10.9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，其中：税收收入完成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25537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71.1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6057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31.1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非税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11483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63.8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减收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2406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17.3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；基金收入完成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4842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万元。 </w:t>
      </w:r>
    </w:p>
    <w:p>
      <w:pPr>
        <w:numPr>
          <w:ilvl w:val="0"/>
          <w:numId w:val="1"/>
        </w:numPr>
        <w:spacing w:line="560" w:lineRule="exact"/>
        <w:ind w:firstLine="602" w:firstLineChars="200"/>
        <w:rPr>
          <w:rFonts w:hint="eastAsia" w:ascii="仿宋_GB2312" w:eastAsia="仿宋_GB2312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highlight w:val="none"/>
          <w:lang w:eastAsia="zh-CN"/>
        </w:rPr>
        <w:t>税收收入增减情况分析</w:t>
      </w:r>
    </w:p>
    <w:p>
      <w:pPr>
        <w:pStyle w:val="3"/>
        <w:numPr>
          <w:ilvl w:val="0"/>
          <w:numId w:val="0"/>
        </w:numPr>
        <w:ind w:firstLine="643" w:firstLineChars="200"/>
        <w:rPr>
          <w:rFonts w:hint="eastAsia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highlight w:val="none"/>
          <w:lang w:eastAsia="zh-CN"/>
        </w:rPr>
        <w:t>（一）</w:t>
      </w:r>
      <w:r>
        <w:rPr>
          <w:rFonts w:hint="eastAsia" w:ascii="黑体" w:hAnsi="黑体" w:eastAsia="黑体"/>
          <w:color w:val="auto"/>
          <w:sz w:val="32"/>
          <w:highlight w:val="none"/>
        </w:rPr>
        <w:t>组织收入基本情况</w:t>
      </w:r>
    </w:p>
    <w:p>
      <w:pPr>
        <w:spacing w:line="560" w:lineRule="exact"/>
        <w:ind w:firstLine="594" w:firstLineChars="198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（一）税收收入完成总体情况。</w:t>
      </w:r>
    </w:p>
    <w:p>
      <w:pPr>
        <w:spacing w:line="560" w:lineRule="exact"/>
        <w:ind w:firstLine="594" w:firstLineChars="198"/>
        <w:rPr>
          <w:rFonts w:hint="default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1-9月我局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组织税收收入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48432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万元万元，同比增收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11542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万元，增长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31.29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%，其中：中央级入库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22395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万元，同比增收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5606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万元，增长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33.39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%；地方级入库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26037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万元，同比增收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5945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万元，增长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29.59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%；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县级收入完成28404，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同比增收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8323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万元，增长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41.44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。</w:t>
      </w:r>
    </w:p>
    <w:p>
      <w:pPr>
        <w:spacing w:line="560" w:lineRule="exact"/>
        <w:ind w:firstLine="594" w:firstLineChars="198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（二）分月份入库情况（县级）</w:t>
      </w:r>
    </w:p>
    <w:p>
      <w:pPr>
        <w:spacing w:line="560" w:lineRule="exact"/>
        <w:ind w:firstLine="594" w:firstLineChars="198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截至三季度我局组织税收收入完成分月来看，最高增长比达到205.64%，9月税收收入增长幅度最小0.98%。总体来看组织税收收入处于增长。详细如下表：</w:t>
      </w:r>
    </w:p>
    <w:p>
      <w:pPr>
        <w:pStyle w:val="6"/>
        <w:jc w:val="center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表 </w:t>
      </w:r>
      <w:r>
        <w:rPr>
          <w:rFonts w:hint="eastAsia" w:ascii="楷体_GB2312" w:hAnsi="楷体_GB2312" w:eastAsia="楷体_GB2312" w:cs="楷体_GB2312"/>
          <w:sz w:val="28"/>
          <w:szCs w:val="28"/>
        </w:rPr>
        <w:fldChar w:fldCharType="begin"/>
      </w:r>
      <w:r>
        <w:rPr>
          <w:rFonts w:hint="eastAsia" w:ascii="楷体_GB2312" w:hAnsi="楷体_GB2312" w:eastAsia="楷体_GB2312" w:cs="楷体_GB2312"/>
          <w:sz w:val="28"/>
          <w:szCs w:val="28"/>
        </w:rPr>
        <w:instrText xml:space="preserve"> SEQ 表 \* ARABIC </w:instrText>
      </w:r>
      <w:r>
        <w:rPr>
          <w:rFonts w:hint="eastAsia" w:ascii="楷体_GB2312" w:hAnsi="楷体_GB2312" w:eastAsia="楷体_GB2312" w:cs="楷体_GB2312"/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fldChar w:fldCharType="end"/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： 2022年上半年度分月入库情况      单位：万元</w:t>
      </w:r>
    </w:p>
    <w:tbl>
      <w:tblPr>
        <w:tblStyle w:val="14"/>
        <w:tblW w:w="69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28"/>
        <w:gridCol w:w="1536"/>
        <w:gridCol w:w="1332"/>
        <w:gridCol w:w="1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2022年收入</w:t>
            </w: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2021年收入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同比增收</w:t>
            </w:r>
          </w:p>
        </w:tc>
        <w:tc>
          <w:tcPr>
            <w:tcW w:w="13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4489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41.52%</w:t>
            </w:r>
          </w:p>
        </w:tc>
      </w:tr>
    </w:tbl>
    <w:p>
      <w:pPr>
        <w:pStyle w:val="3"/>
        <w:numPr>
          <w:ilvl w:val="0"/>
          <w:numId w:val="0"/>
        </w:numPr>
        <w:ind w:firstLine="643" w:firstLineChars="200"/>
        <w:rPr>
          <w:rFonts w:hint="eastAsia" w:ascii="黑体" w:hAnsi="黑体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highlight w:val="none"/>
          <w:lang w:val="en-US" w:eastAsia="zh-CN"/>
        </w:rPr>
        <w:t>(二)、税收收入分类分析</w:t>
      </w:r>
    </w:p>
    <w:p>
      <w:pPr>
        <w:spacing w:line="560" w:lineRule="exact"/>
        <w:ind w:firstLine="594" w:firstLineChars="198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一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产业税收收入情况（全口径）</w:t>
      </w:r>
    </w:p>
    <w:p>
      <w:pPr>
        <w:spacing w:line="560" w:lineRule="exact"/>
        <w:ind w:firstLine="594" w:firstLineChars="198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1.总体情况：第一产业税收入库111万元，同比降低33.93%，减收57万元；第二产业税收入库41224万元，同比增长47.48%，增收13272万元；第三产业税收入库7089万元，同比降低20.32%，减收1808万元。从产业情况分析，1-9月第一产业、第三产业经济发展较去年均有降低趋势，减收幅度均达到20%以上，第二产业税收收入大幅增长，但因阿克陶支撑产业为第二产业，第一产业及第三产业的减收对总体收入造成的影响并不大。</w:t>
      </w:r>
    </w:p>
    <w:p>
      <w:pPr>
        <w:spacing w:line="560" w:lineRule="exact"/>
        <w:ind w:firstLine="594" w:firstLineChars="198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2.第二产业税收收入情况。四大行业中，采矿业同比增长49%，增收5472万元；电力、热力、燃气及水的生产和供应业同比降低33.34%，减少1311万元万元，但此行业留抵退税金额3624万元，还原留底退税后此行业应增长58.83%；制造业同比增长167.3%，同比增收8288万元；建筑业同比增长10.42%,增收823万元。重点税源增长快的行业依次是：采矿业税收入库16640万元，占第二产业税收收入40.36%；制造业税收入库13242万元，占第二产业税收收入的32.12%；建筑业税收入库8721万元，占第二产业税收收入的21.16%；电力、热力生产和供应业税收入库2621万元，占第二产业税收收入的6.36%。电力、热力、燃气及水的生产和供应业相比同期增长幅度较小。详细可见下表：</w:t>
      </w:r>
    </w:p>
    <w:p>
      <w:pPr>
        <w:spacing w:line="560" w:lineRule="exact"/>
        <w:ind w:firstLine="594" w:firstLineChars="198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3.第三产业税收收入情况。第三产业税收收入情况因留抵退税因素影响及8月全县静默状态的影响，15类行业中10类行业均为下降趋势。</w:t>
      </w:r>
    </w:p>
    <w:p>
      <w:pPr>
        <w:pStyle w:val="6"/>
        <w:jc w:val="center"/>
        <w:rPr>
          <w:rFonts w:hint="eastAsia" w:eastAsia="宋体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40"/>
        </w:rPr>
        <w:t xml:space="preserve">表 </w:t>
      </w:r>
      <w:r>
        <w:rPr>
          <w:rFonts w:hint="eastAsia" w:ascii="楷体_GB2312" w:hAnsi="楷体_GB2312" w:eastAsia="楷体_GB2312" w:cs="楷体_GB2312"/>
          <w:sz w:val="28"/>
          <w:szCs w:val="40"/>
        </w:rPr>
        <w:fldChar w:fldCharType="begin"/>
      </w:r>
      <w:r>
        <w:rPr>
          <w:rFonts w:hint="eastAsia" w:ascii="楷体_GB2312" w:hAnsi="楷体_GB2312" w:eastAsia="楷体_GB2312" w:cs="楷体_GB2312"/>
          <w:sz w:val="28"/>
          <w:szCs w:val="40"/>
        </w:rPr>
        <w:instrText xml:space="preserve"> SEQ 表 \* ARABIC </w:instrText>
      </w:r>
      <w:r>
        <w:rPr>
          <w:rFonts w:hint="eastAsia" w:ascii="楷体_GB2312" w:hAnsi="楷体_GB2312" w:eastAsia="楷体_GB2312" w:cs="楷体_GB2312"/>
          <w:sz w:val="28"/>
          <w:szCs w:val="40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40"/>
        </w:rPr>
        <w:t>2</w:t>
      </w:r>
      <w:r>
        <w:rPr>
          <w:rFonts w:hint="eastAsia" w:ascii="楷体_GB2312" w:hAnsi="楷体_GB2312" w:eastAsia="楷体_GB2312" w:cs="楷体_GB2312"/>
          <w:sz w:val="28"/>
          <w:szCs w:val="40"/>
        </w:rPr>
        <w:fldChar w:fldCharType="end"/>
      </w:r>
      <w:r>
        <w:rPr>
          <w:rFonts w:hint="eastAsia" w:ascii="楷体_GB2312" w:hAnsi="楷体_GB2312" w:eastAsia="楷体_GB2312" w:cs="楷体_GB2312"/>
          <w:sz w:val="28"/>
          <w:szCs w:val="40"/>
          <w:lang w:eastAsia="zh-CN"/>
        </w:rPr>
        <w:t>：分行业分产业1-9月入库对比      单位：万元</w:t>
      </w:r>
    </w:p>
    <w:tbl>
      <w:tblPr>
        <w:tblStyle w:val="14"/>
        <w:tblW w:w="1003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989"/>
        <w:gridCol w:w="1680"/>
        <w:gridCol w:w="1632"/>
        <w:gridCol w:w="960"/>
        <w:gridCol w:w="1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2021年1-9月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2022年1-9月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增收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16,640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13,242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电力、热力、燃气及水的生产和供应业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-1311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8,721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-522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-69.88%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-48.34%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公共管理、社会保障和社会组织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-484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-32.68%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-32.16%</w:t>
            </w:r>
          </w:p>
        </w:tc>
      </w:tr>
    </w:tbl>
    <w:p>
      <w:pPr>
        <w:spacing w:line="560" w:lineRule="exact"/>
        <w:ind w:firstLine="594" w:firstLineChars="198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减收原因主要是增值税留底退税7045万元，</w:t>
      </w:r>
      <w:r>
        <w:rPr>
          <w:rFonts w:hint="default" w:ascii="仿宋_GB2312" w:hAnsi="Times New Roman" w:eastAsia="仿宋_GB2312" w:cs="Times New Roman"/>
          <w:color w:val="auto"/>
          <w:sz w:val="30"/>
          <w:szCs w:val="30"/>
          <w:highlight w:val="none"/>
          <w:lang w:val="zh-CN" w:eastAsia="zh-CN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多退税7045万元，还原留抵退税因素因素影响，实际税收收入同比保持小幅增长。从税种结构分析：</w:t>
      </w:r>
    </w:p>
    <w:p>
      <w:pPr>
        <w:spacing w:line="560" w:lineRule="exact"/>
        <w:ind w:firstLine="594" w:firstLineChars="198"/>
        <w:rPr>
          <w:rFonts w:hint="default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二、分税种收入情况（县级）</w:t>
      </w:r>
    </w:p>
    <w:p>
      <w:pPr>
        <w:spacing w:line="560" w:lineRule="exact"/>
        <w:ind w:firstLine="594" w:firstLineChars="198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15个税种中，9个税种呈现增长，6个税种呈现下降趋势。其中增长幅度最大的为企业所得税、个税及土地增值税；下降幅度最大的为消费税、车购税及耕地占用税。企业所得税同比增长150.78%，增收8032万元；土地增值税入库498万元，同比增长170.65%，增收314万元；个人所得税入库3435万元，同比增长73.05%，增收1450万元；资源税入库4703万元，同比增长31.63%，增收1130万元。详细可见下表：</w:t>
      </w:r>
    </w:p>
    <w:p>
      <w:pPr>
        <w:pStyle w:val="6"/>
        <w:jc w:val="center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表 </w:t>
      </w:r>
      <w:r>
        <w:rPr>
          <w:rFonts w:hint="eastAsia" w:ascii="楷体_GB2312" w:hAnsi="楷体_GB2312" w:eastAsia="楷体_GB2312" w:cs="楷体_GB2312"/>
          <w:sz w:val="28"/>
          <w:szCs w:val="28"/>
        </w:rPr>
        <w:fldChar w:fldCharType="begin"/>
      </w:r>
      <w:r>
        <w:rPr>
          <w:rFonts w:hint="eastAsia" w:ascii="楷体_GB2312" w:hAnsi="楷体_GB2312" w:eastAsia="楷体_GB2312" w:cs="楷体_GB2312"/>
          <w:sz w:val="28"/>
          <w:szCs w:val="28"/>
        </w:rPr>
        <w:instrText xml:space="preserve"> SEQ 表 \* ARABIC </w:instrText>
      </w:r>
      <w:r>
        <w:rPr>
          <w:rFonts w:hint="eastAsia" w:ascii="楷体_GB2312" w:hAnsi="楷体_GB2312" w:eastAsia="楷体_GB2312" w:cs="楷体_GB2312"/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</w:rPr>
        <w:fldChar w:fldCharType="end"/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：分税种入库情况对比      单位：万元</w:t>
      </w:r>
    </w:p>
    <w:tbl>
      <w:tblPr>
        <w:tblStyle w:val="14"/>
        <w:tblW w:w="85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1101"/>
        <w:gridCol w:w="1248"/>
        <w:gridCol w:w="1325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税种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增收减收</w:t>
            </w:r>
          </w:p>
        </w:tc>
        <w:tc>
          <w:tcPr>
            <w:tcW w:w="14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同比增减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还原留抵退税后增值税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5344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个人所得税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4,703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城镇土地使用税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土地增值税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车船税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耕地占用税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-390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-82.98%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契税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4.27%</w:t>
            </w:r>
          </w:p>
        </w:tc>
      </w:tr>
    </w:tbl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left="630" w:leftChars="0"/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三</w:t>
      </w:r>
      <w:r>
        <w:rPr>
          <w:rFonts w:hint="eastAsia" w:hAnsi="Times New Roman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重点税源企业税收收入情况（全口径）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00" w:firstLineChars="200"/>
        <w:rPr>
          <w:rFonts w:hint="default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上半年度辖区重点税源企业缴纳税款排名前3的企业主要有：阿克陶科邦锰业制造有限公司12936.69万元，同比增收8524.42万元，同比增长193.2%；阿克陶县百源丰矿业有限公司8091.10万元，同比增收1564.11万元，增长23.96%；新疆葱岭能源有限公司5205.68万元，同比增收2564.7万元，增长97.11%。排名前十企业明细如下表：</w:t>
      </w:r>
    </w:p>
    <w:tbl>
      <w:tblPr>
        <w:tblStyle w:val="14"/>
        <w:tblW w:w="104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932"/>
        <w:gridCol w:w="1380"/>
        <w:gridCol w:w="1380"/>
        <w:gridCol w:w="1164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2022年入库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2021年入库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增收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同比增减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阿克陶科邦锰业制造有限公司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12,936.69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4,412.27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8,524.42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阿克陶百源丰矿业有限公司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8,091.10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6,526.99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1,564.11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新疆葱岭能源有限公司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5,205.68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2,640.98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2,564.70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广西水利电业集团新疆克州水利发电有限公司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5,086.46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2,674.13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2,412.32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阿克陶县恒通建筑有限责任公司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843.30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阿克陶县桂新矿业开发有限责任公司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694.53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356.89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337.64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阿克陶县永兴建筑有限责任公司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606.30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425.08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181.21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新疆昌鹏建筑安装有限公司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548.99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116.10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432.89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阿克陶乾盛矿业有限公司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515.28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365.68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149.60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福建省明兴工程建设有限公司尤溪分公司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461.72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203.75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257.96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126.61%</w:t>
            </w:r>
          </w:p>
        </w:tc>
      </w:tr>
    </w:tbl>
    <w:p>
      <w:pPr>
        <w:spacing w:line="560" w:lineRule="exact"/>
        <w:ind w:firstLine="594" w:firstLineChars="198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同比增长幅度最大的是科邦锰业、葱岭能源、广西水利、昌鹏建筑、桂新矿业及福建省明兴工程，其中明兴工程为外管证，因承建塔什库尔干河两河口水电站工程，工程为自治区级项目，投资金额较大入库税款相应较多；科邦总体因上半年单价及销量同时增长，总体增长幅度较大，但三季度开始电解锰单价一开始逐渐下降，目前单价已下降至1.5万元/吨，预计四季度将会有小幅度下降趋势；新疆葱岭目前因铁矿销量悲观，已处于基本停产状态，但因年初清缴欠税金额较多，总体来看该企业增收幅度较大。</w:t>
      </w:r>
    </w:p>
    <w:p>
      <w:pPr>
        <w:numPr>
          <w:ilvl w:val="0"/>
          <w:numId w:val="1"/>
        </w:numPr>
        <w:spacing w:line="560" w:lineRule="exact"/>
        <w:ind w:firstLine="602" w:firstLineChars="200"/>
        <w:rPr>
          <w:rFonts w:hint="eastAsia" w:ascii="仿宋_GB2312" w:hAnsi="Times New Roman" w:eastAsia="仿宋_GB2312" w:cs="Times New Roman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highlight w:val="none"/>
          <w:lang w:eastAsia="zh-CN"/>
        </w:rPr>
        <w:t>财政支出情况。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截止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月阿克陶县预算支出完成情况。</w:t>
      </w:r>
    </w:p>
    <w:p>
      <w:pPr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月，完成地方财政支出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517203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年初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94.0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同比增支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18011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3.6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。其中：一般预算支出完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470023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88.6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同比增支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；基金支出完成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47176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万元，完成预算的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244.3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比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17965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万元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，同比增长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61.5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%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民生支出完成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351023万元，占公共财政支出74.68%。</w:t>
      </w:r>
    </w:p>
    <w:p>
      <w:pPr>
        <w:ind w:firstLine="602" w:firstLineChars="200"/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四、在加快预算执行方面采取的措施。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一是规范支出程序，对已到位的专项资金，科学制定专项资金支付计划，合理调度资金；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二是加大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对部门单位的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催办力度，对项目未及时启动以及进展缓慢的有关责任部门及时进行催办，督促其加快推进，为求早实施、早见效；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eastAsia="zh-CN"/>
        </w:rPr>
        <w:t>五、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财政收支预算执行特点。</w:t>
      </w:r>
    </w:p>
    <w:p>
      <w:pPr>
        <w:spacing w:line="560" w:lineRule="exact"/>
        <w:ind w:firstLine="602" w:firstLine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收入方面：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矿产品市场较为良好，矿山企业销售量增加，使我县采矿业税收收入随之增长。部分重点税源企业活力增强，经济效益提升，带动税收收入大幅增长。</w:t>
      </w:r>
    </w:p>
    <w:p>
      <w:pPr>
        <w:spacing w:line="560" w:lineRule="exact"/>
        <w:ind w:firstLine="602" w:firstLineChars="200"/>
        <w:rPr>
          <w:rFonts w:hint="eastAsia" w:ascii="仿宋_GB2312" w:hAnsi="宋体" w:eastAsia="仿宋_GB2312" w:cs="宋体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支出方面：</w:t>
      </w:r>
      <w:r>
        <w:rPr>
          <w:rFonts w:hint="eastAsia" w:ascii="仿宋_GB2312" w:hAnsi="宋体" w:eastAsia="仿宋_GB2312" w:cs="宋体"/>
          <w:sz w:val="30"/>
          <w:szCs w:val="30"/>
          <w:highlight w:val="none"/>
          <w:lang w:eastAsia="zh-CN"/>
        </w:rPr>
        <w:t>目前我县财政收支矛盾非常突出，库款支出保障能力较低。财政收支矛盾从</w:t>
      </w:r>
      <w:r>
        <w:rPr>
          <w:rFonts w:hint="eastAsia" w:ascii="仿宋_GB2312" w:hAnsi="宋体" w:eastAsia="仿宋_GB2312" w:cs="宋体"/>
          <w:sz w:val="30"/>
          <w:szCs w:val="30"/>
          <w:highlight w:val="none"/>
          <w:lang w:val="en-US" w:eastAsia="zh-CN"/>
        </w:rPr>
        <w:t>2018年起，为坚决落实维稳工作、支持保障教育工作、防范化解隐性债务等政策，县财政投入大量资金予以保障，其中主要以人员工资收支矛盾最为突出，为保人员工资支出，现已导致扶贫资金项目、直达资金项目、债券资金项目等重点支出保障举步为坚，财政收支矛盾还在进一步扩大。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六、阿克陶县</w:t>
      </w:r>
      <w:r>
        <w:rPr>
          <w:rFonts w:hint="eastAsia" w:ascii="仿宋_GB2312" w:eastAsia="仿宋_GB2312"/>
          <w:b/>
          <w:sz w:val="30"/>
          <w:szCs w:val="30"/>
        </w:rPr>
        <w:t>当前经济和财政运行中存在的突出问题和矛盾，以及下一步工作思路。</w:t>
      </w:r>
    </w:p>
    <w:p>
      <w:pPr>
        <w:spacing w:line="560" w:lineRule="exact"/>
        <w:ind w:firstLine="600" w:firstLineChars="200"/>
        <w:jc w:val="left"/>
      </w:pPr>
      <w:r>
        <w:rPr>
          <w:rFonts w:hint="eastAsia" w:ascii="仿宋_GB2312" w:hAnsi="Times New Roman" w:eastAsia="仿宋_GB2312" w:cs="Times New Roman"/>
          <w:b w:val="0"/>
          <w:kern w:val="2"/>
          <w:sz w:val="30"/>
          <w:szCs w:val="24"/>
          <w:lang w:val="en-US" w:eastAsia="zh-CN" w:bidi="ar-SA"/>
        </w:rPr>
        <w:t>针对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我县当前经济和财政运行中存在的突出问题和矛盾，已多次向县委、县政府汇报，并提出建议意见，要从三个方面着手予以解决：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24"/>
          <w:lang w:val="en-US" w:eastAsia="zh-CN" w:bidi="ar-SA"/>
        </w:rPr>
        <w:t>一是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面对财政收支矛盾日渐突出的问题，应积极开展开源节流应对措施，大力压减一般性支出，坚守政府债务红线底线，协调各涉税部门培植税源，在受新冠疫情的影响下，保持财政税收稳步持续增长；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24"/>
          <w:lang w:val="en-US" w:eastAsia="zh-CN" w:bidi="ar-SA"/>
        </w:rPr>
        <w:t>二是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按照“财政供养人员只减不增”的要求，严格控制财政供养人员的增长，规范人员招聘程序，在量入为出的前提下，明确增人增资解决方案,同时做好临聘人员压减工作，杜绝财政赤字。以缓解县级财力支出压力;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24"/>
          <w:highlight w:val="none"/>
          <w:lang w:val="en-US" w:eastAsia="zh-CN" w:bidi="ar-SA"/>
        </w:rPr>
        <w:t>三是</w:t>
      </w:r>
      <w:r>
        <w:rPr>
          <w:rFonts w:hint="eastAsia" w:ascii="仿宋_GB2312" w:eastAsia="仿宋_GB2312" w:cs="Times New Roman"/>
          <w:b w:val="0"/>
          <w:kern w:val="2"/>
          <w:sz w:val="30"/>
          <w:szCs w:val="24"/>
          <w:lang w:val="en-US" w:eastAsia="zh-CN" w:bidi="ar-SA"/>
        </w:rPr>
        <w:t>严格执行《预算法》，强化预算编制与预算执行，预算编制应当以部门年度工作计划任务编制，以量入为出的原则经财经领导小组研究定部门年度资金预算，严控预算追加事项，无预算安排的项目停建或是缓建，以缓解财政收支矛盾。</w:t>
      </w:r>
    </w:p>
    <w:p>
      <w:pPr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七、</w:t>
      </w:r>
      <w:r>
        <w:rPr>
          <w:rFonts w:hint="eastAsia" w:ascii="仿宋_GB2312" w:eastAsia="仿宋_GB2312"/>
          <w:b/>
          <w:bCs/>
          <w:sz w:val="30"/>
          <w:szCs w:val="30"/>
        </w:rPr>
        <w:t>意见建议方面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  <w:t>为落实社会稳定和长治久安的总目标，投入大量人力、财力、物力保障维稳、教育等各项工作顺利开展，新增大量自聘工作人员，导致保工资、促运转、保民生预算安排存在很大压力，严重影响“三保”保障及重点项目支出。一方面建议上级财政部门考虑我县财力的实际困难，加大对维稳及教育的一般性转移支付力度，减少专项转移支付，以保证全年财政收支平衡。另一方面加快库款调拨进度，以缓解重点项目支出压力。</w:t>
      </w:r>
    </w:p>
    <w:p>
      <w:pPr>
        <w:spacing w:line="560" w:lineRule="exact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</w:p>
    <w:p>
      <w:pPr>
        <w:spacing w:line="560" w:lineRule="exact"/>
        <w:ind w:firstLine="5700" w:firstLineChars="19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</w:p>
    <w:p>
      <w:pPr>
        <w:spacing w:line="560" w:lineRule="exact"/>
        <w:ind w:firstLine="5700" w:firstLineChars="19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  <w:t>阿克陶县财政局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  <w:t xml:space="preserve">             </w:t>
      </w:r>
      <w:bookmarkStart w:id="0" w:name="_GoBack"/>
      <w:bookmarkEnd w:id="0"/>
      <w:r>
        <w:rPr>
          <w:rFonts w:hint="eastAsia" w:ascii="仿宋_GB2312" w:eastAsia="仿宋_GB2312" w:cs="Times New Roman"/>
          <w:b w:val="0"/>
          <w:bCs w:val="0"/>
          <w:kern w:val="2"/>
          <w:sz w:val="30"/>
          <w:szCs w:val="24"/>
          <w:highlight w:val="none"/>
          <w:lang w:val="en-US" w:eastAsia="zh-CN" w:bidi="ar-SA"/>
        </w:rPr>
        <w:t xml:space="preserve">                     2022年10月1日 </w:t>
      </w:r>
    </w:p>
    <w:sectPr>
      <w:footerReference r:id="rId3" w:type="default"/>
      <w:footerReference r:id="rId4" w:type="even"/>
      <w:pgSz w:w="11906" w:h="16838"/>
      <w:pgMar w:top="2098" w:right="1418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2269D"/>
    <w:multiLevelType w:val="singleLevel"/>
    <w:tmpl w:val="899226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76"/>
    <w:rsid w:val="00013149"/>
    <w:rsid w:val="000319F9"/>
    <w:rsid w:val="00041E1A"/>
    <w:rsid w:val="000516A8"/>
    <w:rsid w:val="0006600A"/>
    <w:rsid w:val="00076160"/>
    <w:rsid w:val="00087E2B"/>
    <w:rsid w:val="000A37BE"/>
    <w:rsid w:val="000C6F67"/>
    <w:rsid w:val="000E209C"/>
    <w:rsid w:val="000F18D4"/>
    <w:rsid w:val="000F6E0A"/>
    <w:rsid w:val="00122587"/>
    <w:rsid w:val="0012382B"/>
    <w:rsid w:val="001307A1"/>
    <w:rsid w:val="00132000"/>
    <w:rsid w:val="00140DC5"/>
    <w:rsid w:val="00153CFE"/>
    <w:rsid w:val="001709CC"/>
    <w:rsid w:val="00182592"/>
    <w:rsid w:val="00183510"/>
    <w:rsid w:val="00192AED"/>
    <w:rsid w:val="001A4C0E"/>
    <w:rsid w:val="001A781C"/>
    <w:rsid w:val="001B15CC"/>
    <w:rsid w:val="001B659F"/>
    <w:rsid w:val="001D115E"/>
    <w:rsid w:val="001D261E"/>
    <w:rsid w:val="00227D34"/>
    <w:rsid w:val="002344C4"/>
    <w:rsid w:val="00235DC6"/>
    <w:rsid w:val="00235E42"/>
    <w:rsid w:val="00235F76"/>
    <w:rsid w:val="002363AA"/>
    <w:rsid w:val="00237005"/>
    <w:rsid w:val="00246115"/>
    <w:rsid w:val="00254AFC"/>
    <w:rsid w:val="002636CD"/>
    <w:rsid w:val="00263E4D"/>
    <w:rsid w:val="00290FD3"/>
    <w:rsid w:val="002B0BD5"/>
    <w:rsid w:val="002B1C53"/>
    <w:rsid w:val="002C1D28"/>
    <w:rsid w:val="002F2792"/>
    <w:rsid w:val="003073A6"/>
    <w:rsid w:val="00310D76"/>
    <w:rsid w:val="00312983"/>
    <w:rsid w:val="003159CF"/>
    <w:rsid w:val="003241FD"/>
    <w:rsid w:val="00335F13"/>
    <w:rsid w:val="00343C0A"/>
    <w:rsid w:val="003450F0"/>
    <w:rsid w:val="0038312E"/>
    <w:rsid w:val="0039058B"/>
    <w:rsid w:val="00396E2D"/>
    <w:rsid w:val="00397AD4"/>
    <w:rsid w:val="00397B12"/>
    <w:rsid w:val="003B476F"/>
    <w:rsid w:val="003B5EA2"/>
    <w:rsid w:val="003C1E36"/>
    <w:rsid w:val="003C685B"/>
    <w:rsid w:val="003E620A"/>
    <w:rsid w:val="003F5D9D"/>
    <w:rsid w:val="004042D6"/>
    <w:rsid w:val="00406166"/>
    <w:rsid w:val="0040684C"/>
    <w:rsid w:val="004074A9"/>
    <w:rsid w:val="0041357F"/>
    <w:rsid w:val="00435953"/>
    <w:rsid w:val="00440AB9"/>
    <w:rsid w:val="00444DCC"/>
    <w:rsid w:val="004546A4"/>
    <w:rsid w:val="00474438"/>
    <w:rsid w:val="0047497C"/>
    <w:rsid w:val="004749E8"/>
    <w:rsid w:val="00493A09"/>
    <w:rsid w:val="004D60E3"/>
    <w:rsid w:val="004D67C5"/>
    <w:rsid w:val="004E5F8D"/>
    <w:rsid w:val="004F2766"/>
    <w:rsid w:val="004F4868"/>
    <w:rsid w:val="00512355"/>
    <w:rsid w:val="00513024"/>
    <w:rsid w:val="0052535B"/>
    <w:rsid w:val="005612FD"/>
    <w:rsid w:val="00563A7D"/>
    <w:rsid w:val="00573A91"/>
    <w:rsid w:val="00594AA2"/>
    <w:rsid w:val="005A5947"/>
    <w:rsid w:val="005A640C"/>
    <w:rsid w:val="005B11B7"/>
    <w:rsid w:val="005D252E"/>
    <w:rsid w:val="005D374C"/>
    <w:rsid w:val="005E0FAF"/>
    <w:rsid w:val="005E3DC3"/>
    <w:rsid w:val="005E5411"/>
    <w:rsid w:val="005F1A88"/>
    <w:rsid w:val="006252CB"/>
    <w:rsid w:val="00636C87"/>
    <w:rsid w:val="00637E76"/>
    <w:rsid w:val="0064717E"/>
    <w:rsid w:val="00655CF7"/>
    <w:rsid w:val="00657EC6"/>
    <w:rsid w:val="006B6CAD"/>
    <w:rsid w:val="006C3455"/>
    <w:rsid w:val="006C73D6"/>
    <w:rsid w:val="006D0AD5"/>
    <w:rsid w:val="006D4D54"/>
    <w:rsid w:val="006D7376"/>
    <w:rsid w:val="006E1307"/>
    <w:rsid w:val="00700291"/>
    <w:rsid w:val="007039A8"/>
    <w:rsid w:val="00731276"/>
    <w:rsid w:val="00733D3C"/>
    <w:rsid w:val="00757F4A"/>
    <w:rsid w:val="00761915"/>
    <w:rsid w:val="007702E6"/>
    <w:rsid w:val="00784EE2"/>
    <w:rsid w:val="007A763C"/>
    <w:rsid w:val="007C4FDB"/>
    <w:rsid w:val="007D06DC"/>
    <w:rsid w:val="007D1917"/>
    <w:rsid w:val="007D6F7E"/>
    <w:rsid w:val="007E58FB"/>
    <w:rsid w:val="00806285"/>
    <w:rsid w:val="00822B44"/>
    <w:rsid w:val="0083372E"/>
    <w:rsid w:val="00852784"/>
    <w:rsid w:val="00857C3D"/>
    <w:rsid w:val="00890676"/>
    <w:rsid w:val="00897B57"/>
    <w:rsid w:val="008A5416"/>
    <w:rsid w:val="008A7696"/>
    <w:rsid w:val="008B58FD"/>
    <w:rsid w:val="008C221D"/>
    <w:rsid w:val="008C7905"/>
    <w:rsid w:val="008D75F9"/>
    <w:rsid w:val="008E1B70"/>
    <w:rsid w:val="008F21BF"/>
    <w:rsid w:val="008F7373"/>
    <w:rsid w:val="009016D6"/>
    <w:rsid w:val="00926B3F"/>
    <w:rsid w:val="0094427D"/>
    <w:rsid w:val="00946D60"/>
    <w:rsid w:val="0094750D"/>
    <w:rsid w:val="0096421B"/>
    <w:rsid w:val="00986395"/>
    <w:rsid w:val="009942EA"/>
    <w:rsid w:val="009E3A54"/>
    <w:rsid w:val="009F53CF"/>
    <w:rsid w:val="00A01720"/>
    <w:rsid w:val="00A233AB"/>
    <w:rsid w:val="00A30B94"/>
    <w:rsid w:val="00A52272"/>
    <w:rsid w:val="00A619CE"/>
    <w:rsid w:val="00A61D56"/>
    <w:rsid w:val="00A84493"/>
    <w:rsid w:val="00A905E1"/>
    <w:rsid w:val="00A97FFE"/>
    <w:rsid w:val="00AC1D1C"/>
    <w:rsid w:val="00AC2BC7"/>
    <w:rsid w:val="00AD1982"/>
    <w:rsid w:val="00AE4A23"/>
    <w:rsid w:val="00AE6933"/>
    <w:rsid w:val="00AF00CA"/>
    <w:rsid w:val="00AF6031"/>
    <w:rsid w:val="00AF6F5B"/>
    <w:rsid w:val="00B01D81"/>
    <w:rsid w:val="00B0694E"/>
    <w:rsid w:val="00B075D2"/>
    <w:rsid w:val="00B078FF"/>
    <w:rsid w:val="00B24124"/>
    <w:rsid w:val="00B40E54"/>
    <w:rsid w:val="00B431D0"/>
    <w:rsid w:val="00B43695"/>
    <w:rsid w:val="00B46DFD"/>
    <w:rsid w:val="00B561B4"/>
    <w:rsid w:val="00B642EC"/>
    <w:rsid w:val="00B6596F"/>
    <w:rsid w:val="00B65AB4"/>
    <w:rsid w:val="00B71911"/>
    <w:rsid w:val="00B97E80"/>
    <w:rsid w:val="00BC2AEB"/>
    <w:rsid w:val="00BC3E16"/>
    <w:rsid w:val="00BD4840"/>
    <w:rsid w:val="00BF41A7"/>
    <w:rsid w:val="00C01B39"/>
    <w:rsid w:val="00C11882"/>
    <w:rsid w:val="00C21419"/>
    <w:rsid w:val="00C21A92"/>
    <w:rsid w:val="00C26664"/>
    <w:rsid w:val="00C620C5"/>
    <w:rsid w:val="00C63B1E"/>
    <w:rsid w:val="00C90005"/>
    <w:rsid w:val="00C91C9C"/>
    <w:rsid w:val="00CA2619"/>
    <w:rsid w:val="00CA4288"/>
    <w:rsid w:val="00CE6DB8"/>
    <w:rsid w:val="00CF24EB"/>
    <w:rsid w:val="00D22809"/>
    <w:rsid w:val="00D330E1"/>
    <w:rsid w:val="00D338EE"/>
    <w:rsid w:val="00D432A7"/>
    <w:rsid w:val="00D44BA0"/>
    <w:rsid w:val="00D52156"/>
    <w:rsid w:val="00D5389F"/>
    <w:rsid w:val="00D73404"/>
    <w:rsid w:val="00D87DDC"/>
    <w:rsid w:val="00D90F07"/>
    <w:rsid w:val="00D97C3F"/>
    <w:rsid w:val="00DB5D20"/>
    <w:rsid w:val="00DC3521"/>
    <w:rsid w:val="00DD367F"/>
    <w:rsid w:val="00DD7EBF"/>
    <w:rsid w:val="00E07AD2"/>
    <w:rsid w:val="00E15809"/>
    <w:rsid w:val="00E16C45"/>
    <w:rsid w:val="00E27A33"/>
    <w:rsid w:val="00E30B14"/>
    <w:rsid w:val="00E35995"/>
    <w:rsid w:val="00E67EA4"/>
    <w:rsid w:val="00E800A4"/>
    <w:rsid w:val="00E8384F"/>
    <w:rsid w:val="00EA0D92"/>
    <w:rsid w:val="00EA580A"/>
    <w:rsid w:val="00EA74C5"/>
    <w:rsid w:val="00EB2437"/>
    <w:rsid w:val="00EC1583"/>
    <w:rsid w:val="00EC4B2B"/>
    <w:rsid w:val="00EC4FAC"/>
    <w:rsid w:val="00ED0ADA"/>
    <w:rsid w:val="00ED7B10"/>
    <w:rsid w:val="00EE3687"/>
    <w:rsid w:val="00EF694A"/>
    <w:rsid w:val="00F035F4"/>
    <w:rsid w:val="00F05D6C"/>
    <w:rsid w:val="00F065C1"/>
    <w:rsid w:val="00F1060C"/>
    <w:rsid w:val="00F14948"/>
    <w:rsid w:val="00F2650F"/>
    <w:rsid w:val="00F310BE"/>
    <w:rsid w:val="00F32149"/>
    <w:rsid w:val="00F4384E"/>
    <w:rsid w:val="00F459F4"/>
    <w:rsid w:val="00F71436"/>
    <w:rsid w:val="00F73E92"/>
    <w:rsid w:val="00F74A13"/>
    <w:rsid w:val="00F92B2F"/>
    <w:rsid w:val="00F97B8A"/>
    <w:rsid w:val="00FA7A0B"/>
    <w:rsid w:val="00FB362E"/>
    <w:rsid w:val="00FD2352"/>
    <w:rsid w:val="00FD52CD"/>
    <w:rsid w:val="00FF141D"/>
    <w:rsid w:val="00FF5822"/>
    <w:rsid w:val="010B3103"/>
    <w:rsid w:val="010F1ADD"/>
    <w:rsid w:val="01A423DB"/>
    <w:rsid w:val="02007A50"/>
    <w:rsid w:val="023E47EB"/>
    <w:rsid w:val="03124E58"/>
    <w:rsid w:val="033125BC"/>
    <w:rsid w:val="049320F9"/>
    <w:rsid w:val="04A14788"/>
    <w:rsid w:val="05526282"/>
    <w:rsid w:val="05756291"/>
    <w:rsid w:val="06666410"/>
    <w:rsid w:val="07150CC8"/>
    <w:rsid w:val="07253648"/>
    <w:rsid w:val="074260F4"/>
    <w:rsid w:val="079B3297"/>
    <w:rsid w:val="07BE0AB4"/>
    <w:rsid w:val="07EE2E3F"/>
    <w:rsid w:val="081046A6"/>
    <w:rsid w:val="091B50F4"/>
    <w:rsid w:val="097E2258"/>
    <w:rsid w:val="09A012CA"/>
    <w:rsid w:val="0A7924FA"/>
    <w:rsid w:val="0A8C73D0"/>
    <w:rsid w:val="0A8E0C1F"/>
    <w:rsid w:val="0A95224E"/>
    <w:rsid w:val="0AA41671"/>
    <w:rsid w:val="0AE00899"/>
    <w:rsid w:val="0BB722A1"/>
    <w:rsid w:val="0C390C38"/>
    <w:rsid w:val="0CC16C52"/>
    <w:rsid w:val="0CE3325C"/>
    <w:rsid w:val="0D1B01C0"/>
    <w:rsid w:val="0E225E64"/>
    <w:rsid w:val="0E4F19B7"/>
    <w:rsid w:val="0E574EA7"/>
    <w:rsid w:val="0ECC1867"/>
    <w:rsid w:val="0F2E7E3A"/>
    <w:rsid w:val="0FB328C1"/>
    <w:rsid w:val="0FF72640"/>
    <w:rsid w:val="10272B08"/>
    <w:rsid w:val="10B10E8E"/>
    <w:rsid w:val="116A765E"/>
    <w:rsid w:val="118041DE"/>
    <w:rsid w:val="11A45524"/>
    <w:rsid w:val="11AC2953"/>
    <w:rsid w:val="11B46E7B"/>
    <w:rsid w:val="14606D95"/>
    <w:rsid w:val="1478779F"/>
    <w:rsid w:val="147B1B6F"/>
    <w:rsid w:val="14E0574B"/>
    <w:rsid w:val="165E4CAD"/>
    <w:rsid w:val="1704589A"/>
    <w:rsid w:val="178A3D22"/>
    <w:rsid w:val="17B24FF8"/>
    <w:rsid w:val="17B936D8"/>
    <w:rsid w:val="18050E57"/>
    <w:rsid w:val="18B528C4"/>
    <w:rsid w:val="18F12C6F"/>
    <w:rsid w:val="18F22C37"/>
    <w:rsid w:val="1A106D9B"/>
    <w:rsid w:val="1A190D86"/>
    <w:rsid w:val="1ADF5EC8"/>
    <w:rsid w:val="1B305198"/>
    <w:rsid w:val="1B384F54"/>
    <w:rsid w:val="1BDC29C7"/>
    <w:rsid w:val="1CCE07E4"/>
    <w:rsid w:val="1F264EEC"/>
    <w:rsid w:val="208456CF"/>
    <w:rsid w:val="209E67DC"/>
    <w:rsid w:val="216B5068"/>
    <w:rsid w:val="21832D84"/>
    <w:rsid w:val="21D83C63"/>
    <w:rsid w:val="226129BA"/>
    <w:rsid w:val="2264765E"/>
    <w:rsid w:val="227E316D"/>
    <w:rsid w:val="227E7A7A"/>
    <w:rsid w:val="22D521EA"/>
    <w:rsid w:val="23625750"/>
    <w:rsid w:val="250A72B5"/>
    <w:rsid w:val="278F129A"/>
    <w:rsid w:val="27B87B6B"/>
    <w:rsid w:val="28665C91"/>
    <w:rsid w:val="28FD3A00"/>
    <w:rsid w:val="29E53B7F"/>
    <w:rsid w:val="2A9A6362"/>
    <w:rsid w:val="2AC75581"/>
    <w:rsid w:val="2ACA1FCC"/>
    <w:rsid w:val="2B5B3E5C"/>
    <w:rsid w:val="2BA60DFC"/>
    <w:rsid w:val="2BD231FA"/>
    <w:rsid w:val="2D2D5D05"/>
    <w:rsid w:val="2E7056F2"/>
    <w:rsid w:val="2F3766D0"/>
    <w:rsid w:val="30A64491"/>
    <w:rsid w:val="30DB1956"/>
    <w:rsid w:val="30F21321"/>
    <w:rsid w:val="30F72F1E"/>
    <w:rsid w:val="32160EDC"/>
    <w:rsid w:val="327177AB"/>
    <w:rsid w:val="32D73619"/>
    <w:rsid w:val="33016455"/>
    <w:rsid w:val="342F318A"/>
    <w:rsid w:val="344B403B"/>
    <w:rsid w:val="346B1BDB"/>
    <w:rsid w:val="34D019EC"/>
    <w:rsid w:val="366F42F4"/>
    <w:rsid w:val="370914C6"/>
    <w:rsid w:val="381A10E9"/>
    <w:rsid w:val="38220065"/>
    <w:rsid w:val="382E3960"/>
    <w:rsid w:val="38F32AA6"/>
    <w:rsid w:val="3A8B3F78"/>
    <w:rsid w:val="3AEA675F"/>
    <w:rsid w:val="3B5D2933"/>
    <w:rsid w:val="3BBD5F69"/>
    <w:rsid w:val="3C2A1B43"/>
    <w:rsid w:val="3C3773A2"/>
    <w:rsid w:val="3C5F3D23"/>
    <w:rsid w:val="3D612F60"/>
    <w:rsid w:val="3D696C57"/>
    <w:rsid w:val="3EFA0570"/>
    <w:rsid w:val="3F212498"/>
    <w:rsid w:val="3F5E71F3"/>
    <w:rsid w:val="406325FF"/>
    <w:rsid w:val="41095C74"/>
    <w:rsid w:val="42E76F37"/>
    <w:rsid w:val="42FD275D"/>
    <w:rsid w:val="43F80165"/>
    <w:rsid w:val="446A13E1"/>
    <w:rsid w:val="4474252A"/>
    <w:rsid w:val="45B31471"/>
    <w:rsid w:val="47602F12"/>
    <w:rsid w:val="48D13340"/>
    <w:rsid w:val="491D611E"/>
    <w:rsid w:val="492E3E43"/>
    <w:rsid w:val="497A2EB4"/>
    <w:rsid w:val="4A07168E"/>
    <w:rsid w:val="4AF87427"/>
    <w:rsid w:val="4C715BF4"/>
    <w:rsid w:val="4CC17C5B"/>
    <w:rsid w:val="4D9E0E59"/>
    <w:rsid w:val="4E220601"/>
    <w:rsid w:val="4E410B28"/>
    <w:rsid w:val="4EBD1D30"/>
    <w:rsid w:val="4F247058"/>
    <w:rsid w:val="4F60604C"/>
    <w:rsid w:val="4F8C1753"/>
    <w:rsid w:val="50500093"/>
    <w:rsid w:val="506B57FD"/>
    <w:rsid w:val="510D7AB3"/>
    <w:rsid w:val="512B3EF7"/>
    <w:rsid w:val="514514FE"/>
    <w:rsid w:val="516F7D99"/>
    <w:rsid w:val="520F7D58"/>
    <w:rsid w:val="52627444"/>
    <w:rsid w:val="52630EF9"/>
    <w:rsid w:val="52A27290"/>
    <w:rsid w:val="53302853"/>
    <w:rsid w:val="53D850D9"/>
    <w:rsid w:val="54B62488"/>
    <w:rsid w:val="55A52DC5"/>
    <w:rsid w:val="563134D0"/>
    <w:rsid w:val="564552D9"/>
    <w:rsid w:val="573D44AE"/>
    <w:rsid w:val="57FB2815"/>
    <w:rsid w:val="589A5198"/>
    <w:rsid w:val="58B27246"/>
    <w:rsid w:val="58C821ED"/>
    <w:rsid w:val="591D0A94"/>
    <w:rsid w:val="59500531"/>
    <w:rsid w:val="5BEB58EE"/>
    <w:rsid w:val="5C0D65EF"/>
    <w:rsid w:val="5CC045B3"/>
    <w:rsid w:val="5D1C0867"/>
    <w:rsid w:val="5DCB6E46"/>
    <w:rsid w:val="5E042CF7"/>
    <w:rsid w:val="5E7364FF"/>
    <w:rsid w:val="5EEE5D42"/>
    <w:rsid w:val="5F0D0B78"/>
    <w:rsid w:val="607D7FA8"/>
    <w:rsid w:val="60D9706E"/>
    <w:rsid w:val="61395244"/>
    <w:rsid w:val="622515E6"/>
    <w:rsid w:val="62252B91"/>
    <w:rsid w:val="626232E1"/>
    <w:rsid w:val="62A25AD1"/>
    <w:rsid w:val="62B64E11"/>
    <w:rsid w:val="62C87BD8"/>
    <w:rsid w:val="62E072C9"/>
    <w:rsid w:val="62E276EE"/>
    <w:rsid w:val="62F566E9"/>
    <w:rsid w:val="6400418A"/>
    <w:rsid w:val="64357D63"/>
    <w:rsid w:val="66FE2F25"/>
    <w:rsid w:val="673A183C"/>
    <w:rsid w:val="679E78FA"/>
    <w:rsid w:val="6854671E"/>
    <w:rsid w:val="68625987"/>
    <w:rsid w:val="690448B5"/>
    <w:rsid w:val="69261B3A"/>
    <w:rsid w:val="6B9D2790"/>
    <w:rsid w:val="6C8D0E79"/>
    <w:rsid w:val="6D1D62AB"/>
    <w:rsid w:val="6D6051FB"/>
    <w:rsid w:val="6E162F0C"/>
    <w:rsid w:val="6ECA3AF5"/>
    <w:rsid w:val="6F8429D8"/>
    <w:rsid w:val="707F2EE1"/>
    <w:rsid w:val="70BE7B1A"/>
    <w:rsid w:val="71702B1A"/>
    <w:rsid w:val="71E83522"/>
    <w:rsid w:val="71F27A9C"/>
    <w:rsid w:val="72400C52"/>
    <w:rsid w:val="733654D3"/>
    <w:rsid w:val="74CC140A"/>
    <w:rsid w:val="7580253A"/>
    <w:rsid w:val="75832CED"/>
    <w:rsid w:val="758D5A85"/>
    <w:rsid w:val="75D32E32"/>
    <w:rsid w:val="7601093C"/>
    <w:rsid w:val="7664713B"/>
    <w:rsid w:val="76667DB3"/>
    <w:rsid w:val="76BE6664"/>
    <w:rsid w:val="774A68C3"/>
    <w:rsid w:val="78060AE9"/>
    <w:rsid w:val="78B31B4D"/>
    <w:rsid w:val="78D17C6C"/>
    <w:rsid w:val="7C0F7CE8"/>
    <w:rsid w:val="7CDC2619"/>
    <w:rsid w:val="7E7D1166"/>
    <w:rsid w:val="7E9F0DEF"/>
    <w:rsid w:val="7F450FB3"/>
    <w:rsid w:val="7F515BEF"/>
    <w:rsid w:val="7FF42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240" w:lineRule="auto"/>
      <w:ind w:firstLine="880" w:firstLineChars="200"/>
      <w:outlineLvl w:val="2"/>
    </w:pPr>
    <w:rPr>
      <w:rFonts w:ascii="Times New Roman" w:hAnsi="Times New Roman" w:eastAsia="宋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rPr>
      <w:rFonts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Body Text Indent"/>
    <w:basedOn w:val="1"/>
    <w:next w:val="1"/>
    <w:qFormat/>
    <w:uiPriority w:val="0"/>
    <w:pPr>
      <w:ind w:left="420" w:leftChars="2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7"/>
    <w:next w:val="4"/>
    <w:qFormat/>
    <w:uiPriority w:val="0"/>
    <w:pPr>
      <w:ind w:firstLine="420" w:firstLineChars="262"/>
    </w:pPr>
    <w:rPr>
      <w:b/>
      <w:bCs/>
      <w:sz w:val="32"/>
      <w:szCs w:val="21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330</Words>
  <Characters>1882</Characters>
  <Lines>15</Lines>
  <Paragraphs>4</Paragraphs>
  <TotalTime>5</TotalTime>
  <ScaleCrop>false</ScaleCrop>
  <LinksUpToDate>false</LinksUpToDate>
  <CharactersWithSpaces>2208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2020-01-02T05:59:00Z</dcterms:created>
  <dc:creator>user</dc:creator>
  <cp:lastModifiedBy>Administrator</cp:lastModifiedBy>
  <cp:lastPrinted>2010-03-29T03:50:00Z</cp:lastPrinted>
  <dcterms:modified xsi:type="dcterms:W3CDTF">2022-10-01T04:06:11Z</dcterms:modified>
  <dc:title>财 政 形 势 调 研 提 纲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