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0ECD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小标宋_GBK" w:cs="Times New Roman"/>
          <w:sz w:val="44"/>
          <w:szCs w:val="44"/>
        </w:rPr>
      </w:pPr>
    </w:p>
    <w:p w14:paraId="799283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小标宋_GBK" w:cs="Times New Roman"/>
          <w:sz w:val="44"/>
          <w:szCs w:val="44"/>
        </w:rPr>
      </w:pPr>
    </w:p>
    <w:p w14:paraId="6EABF5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小标宋_GBK" w:cs="Times New Roman"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_GBK" w:cs="Times New Roman"/>
          <w:sz w:val="44"/>
          <w:szCs w:val="44"/>
        </w:rPr>
        <w:t>公租房租金</w:t>
      </w:r>
      <w:r>
        <w:rPr>
          <w:rFonts w:hint="default" w:ascii="Times New Roman" w:hAnsi="Times New Roman" w:eastAsia="方正小标宋_GBK" w:cs="Times New Roman"/>
          <w:sz w:val="44"/>
          <w:szCs w:val="44"/>
          <w:lang w:eastAsia="zh-CN"/>
        </w:rPr>
        <w:t>“</w:t>
      </w:r>
      <w:r>
        <w:rPr>
          <w:rFonts w:hint="default" w:ascii="Times New Roman" w:hAnsi="Times New Roman" w:eastAsia="方正小标宋_GBK" w:cs="Times New Roman"/>
          <w:sz w:val="44"/>
          <w:szCs w:val="44"/>
          <w:lang w:val="en-US" w:eastAsia="zh-CN"/>
        </w:rPr>
        <w:t>收缴-入库</w:t>
      </w:r>
      <w:r>
        <w:rPr>
          <w:rFonts w:hint="default" w:ascii="Times New Roman" w:hAnsi="Times New Roman" w:eastAsia="方正小标宋_GBK" w:cs="Times New Roman"/>
          <w:sz w:val="44"/>
          <w:szCs w:val="44"/>
          <w:lang w:eastAsia="zh-CN"/>
        </w:rPr>
        <w:t>”</w:t>
      </w:r>
      <w:r>
        <w:rPr>
          <w:rFonts w:hint="default" w:ascii="Times New Roman" w:hAnsi="Times New Roman" w:eastAsia="方正小标宋_GBK" w:cs="Times New Roman"/>
          <w:sz w:val="44"/>
          <w:szCs w:val="44"/>
          <w:lang w:val="en-US" w:eastAsia="zh-CN"/>
        </w:rPr>
        <w:t>周对账</w:t>
      </w:r>
      <w:bookmarkStart w:id="0" w:name="_GoBack"/>
      <w:bookmarkEnd w:id="0"/>
      <w:r>
        <w:rPr>
          <w:rFonts w:hint="default" w:ascii="Times New Roman" w:hAnsi="Times New Roman" w:eastAsia="方正小标宋_GBK" w:cs="Times New Roman"/>
          <w:sz w:val="44"/>
          <w:szCs w:val="44"/>
          <w:lang w:val="en-US" w:eastAsia="zh-CN"/>
        </w:rPr>
        <w:t xml:space="preserve">机制    </w:t>
      </w:r>
    </w:p>
    <w:p w14:paraId="5A3563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小标宋_GBK" w:cs="Times New Roman"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_GBK" w:cs="Times New Roman"/>
          <w:sz w:val="44"/>
          <w:szCs w:val="44"/>
          <w:lang w:val="en-US" w:eastAsia="zh-CN"/>
        </w:rPr>
        <w:t>（征求意见稿）</w:t>
      </w:r>
    </w:p>
    <w:p w14:paraId="46C403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880" w:firstLineChars="200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</w:pPr>
    </w:p>
    <w:p w14:paraId="268D1B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公租房租金对账机制是规范租金管理、保障资金安全、防范收缴风险的核心支撑，包含日常对账规范和长效管控两个层面，通过标准化对账流程、精细化数据管控，确保租金收缴数据真实可溯、账实相符，为公租房规范运营提供保障。</w:t>
      </w:r>
    </w:p>
    <w:p w14:paraId="2C8401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一.日常对账规范</w:t>
      </w:r>
    </w:p>
    <w:p w14:paraId="297636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1.明确对账时限和对账流程，制定标准化对账操作指引，明确对账责任人及分工；</w:t>
      </w:r>
    </w:p>
    <w:p w14:paraId="43EC8E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2.细化对账内容，重点核对租金应收金额、实收金额、欠租金额及明细，确保账证、账账、账实一致；</w:t>
      </w:r>
    </w:p>
    <w:p w14:paraId="697B33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3.加强部门协同，联动收缴、财务、运维等相关岗位，及时沟通对账过程中的疑问及差异；</w:t>
      </w:r>
    </w:p>
    <w:p w14:paraId="5AC987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4.目标是提升对账准确率，及时发现收缴数据偏差，减少数据错误引发的管理隐患；</w:t>
      </w:r>
    </w:p>
    <w:p w14:paraId="72F1B0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default" w:ascii="黑体" w:hAnsi="黑体" w:eastAsia="黑体" w:cs="黑体"/>
          <w:b w:val="0"/>
          <w:bCs w:val="0"/>
          <w:sz w:val="32"/>
          <w:szCs w:val="32"/>
          <w:lang w:val="en-US" w:eastAsia="zh-CN"/>
        </w:rPr>
        <w:t>二、长效管控机制</w:t>
      </w:r>
    </w:p>
    <w:p w14:paraId="3A3FC0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1.周对账制度：每周固定时间开展全面对账，核对当期租金收缴明细、到账数据与系统录入数据，形成对账台账；</w:t>
      </w:r>
    </w:p>
    <w:p w14:paraId="17825D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2.差异核查：对不对账过程中发现的金额偏差、数据缺失、到账延迟等异常情况，明确核查时限和责任，及时核实处理并留存记录；</w:t>
      </w:r>
    </w:p>
    <w:p w14:paraId="1D22C1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3.台账管控：建立完整的对账台账，详细记录对账时间、对账内容、差异情况、处理结果及责任人，确保对账过程可追溯；</w:t>
      </w:r>
    </w:p>
    <w:p w14:paraId="127119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4.复盘优化：每月汇总对账情况，分析差异产生的根源，优化对账流程和管控措施，完善操作规范；</w:t>
      </w:r>
    </w:p>
    <w:p w14:paraId="566105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该机制通过常态化对账、精准化差异处理和持续化复盘优化，有效防范租金数据失真、资金流失等风险，保障公租房租金管理的规范性、严谨性和可持续性。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762DAF"/>
    <w:rsid w:val="13BC3ECB"/>
    <w:rsid w:val="17163A31"/>
    <w:rsid w:val="42F43853"/>
    <w:rsid w:val="642F3009"/>
    <w:rsid w:val="6799667B"/>
    <w:rsid w:val="766203A6"/>
    <w:rsid w:val="7D6B3B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Strong"/>
    <w:basedOn w:val="7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463</Words>
  <Characters>470</Characters>
  <Lines>0</Lines>
  <Paragraphs>0</Paragraphs>
  <TotalTime>87</TotalTime>
  <ScaleCrop>false</ScaleCrop>
  <LinksUpToDate>false</LinksUpToDate>
  <CharactersWithSpaces>474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2026-02-02T12:53:00Z</dcterms:created>
  <dc:creator>lenovo</dc:creator>
  <cp:lastModifiedBy>mayir</cp:lastModifiedBy>
  <cp:lastPrinted>2026-10-14T04:45:00Z</cp:lastPrinted>
  <dcterms:modified xsi:type="dcterms:W3CDTF">2026-10-28T11:49:20Z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eyJoZGlkIjoiNzA0MDNjNGJmODFmYTA0OWNkM2M0MjE1NmZjZjU1YzciLCJ1c2VySWQiOiIyNzc4MDk0OTMifQ==</vt:lpwstr>
  </property>
  <property fmtid="{D5CDD505-2E9C-101B-9397-08002B2CF9AE}" pid="4" name="ICV">
    <vt:lpwstr>8C33E62857A34DB0975A50D8A11BE78E_12</vt:lpwstr>
  </property>
</Properties>
</file>