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62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AE22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4370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公租房租金收缴管理制度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（征求意见稿）</w:t>
      </w:r>
    </w:p>
    <w:p w14:paraId="67BA0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D32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为进一步规范公租房租金收缴工作流程，强化资金管理合规性，保障资产收益及时足额回笼，防范欠租及资金管理风险，依据《公共租赁住房管理办法》（住房和城乡建设部令第11号）《自治区公租房管理办法(试行)》（新政办发[2019]124号）及我县相关规定，结合公租房运营管理实际，制定本制度。</w:t>
      </w:r>
    </w:p>
    <w:p w14:paraId="55EB5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本制度适用于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保障性公租房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BF6E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租金收缴管理坚持“规范高效、闭环可控、预防为先、依法处置”原则，构建全流程管理、专项核查、预警防控、合规保障相结合的工作体系，确保租金收缴工作有据可查、风险可控、收益稳定。</w:t>
      </w:r>
    </w:p>
    <w:p w14:paraId="07851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健全租金收缴全流程闭环管理，明确各环节责任主体、时间节点及操作标准，实现从租金核算、通知送达、款项收缴至台账更新的全链条可控。</w:t>
      </w:r>
    </w:p>
    <w:p w14:paraId="3C6DB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（一）租金核算。运营单位依据租赁合同约定的租金标准、租赁期限，结合租户资格审核结果，精准核算每户每期应收租金金额，形成租金核算清单，确保核算数据准确无误。</w:t>
      </w:r>
    </w:p>
    <w:p w14:paraId="510D4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（二）通知送达。运营单位应在缴费期起始前，通过智能系统推送、短信、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电话、上门及</w:t>
      </w:r>
      <w:r>
        <w:rPr>
          <w:rFonts w:hint="eastAsia" w:ascii="仿宋_GB2312" w:hAnsi="仿宋_GB2312" w:eastAsia="仿宋_GB2312" w:cs="仿宋_GB2312"/>
          <w:sz w:val="32"/>
          <w:szCs w:val="32"/>
        </w:rPr>
        <w:t>书面通知等方式向租户送达缴费提醒，明确租金金额、缴费时限、缴款渠道（含线上支付平台、指定银行账户等）及相关注意事项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确保通知到位。</w:t>
      </w:r>
    </w:p>
    <w:p w14:paraId="3F401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款项收缴。租户应在规定时限内通过指定渠道足额缴纳租金，运营单位需实时跟踪缴费进度，及时确认到账信息；对缴费过程中出现的操作问题、渠道故障等情况，应第一时间协调解决，为租户提供便捷高效的缴费服务。</w:t>
      </w:r>
    </w:p>
    <w:p w14:paraId="35FEF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（四）台账管理。运营单位、财务部门应分别建立租金收缴台账，详细记录租户信息、租赁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</w:rPr>
        <w:t>、应收金额、实收金额、缴费时间、欠缴金额、催收情况等内容，确保台账信息与租赁合同、财务缴款记录一致；台账需及时更新，做到动态管控、有据可查。</w:t>
      </w:r>
    </w:p>
    <w:p w14:paraId="6128F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明确责任分工：县住建局统筹监督租金收缴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租金标准和管理办法修订、强制清退等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工作；运营单位为租金收缴责任主体，负责租金核算、通知送达、款项收缴、台账更新及日常催收；社区配合开展租户信息摸排、通知核实等工作。</w:t>
      </w:r>
      <w:bookmarkStart w:id="0" w:name="_GoBack"/>
      <w:bookmarkEnd w:id="0"/>
    </w:p>
    <w:p w14:paraId="46CF9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严格执行按季度开展租金收缴专项核查工作要求，由县住建局牵头，联合运营单位、财务部门组建专项核查小组，明确核查负责人及成员职责，确保核查工作有序推进。</w:t>
      </w:r>
    </w:p>
    <w:p w14:paraId="38253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核查内容：对照租赁合同、租金台账、财务缴款记录、银行到账数据等资料，逐户核对租金收缴情况，重点核查欠缴、缓缴及漏缴等问题；同步核查租金资金缴存、账务处理等合规性情况。</w:t>
      </w:r>
    </w:p>
    <w:p w14:paraId="6A26D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核查流程：核查小组采取资料核对、数据比对、实地走访等方式开展核查，形成问题清单，明确涉及租户、问题成因及整改时限；专项核查工作完成后15个工作日内，需编制书面核查报告，报送县住建局备案。</w:t>
      </w:r>
    </w:p>
    <w:p w14:paraId="445F1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问题整改：对核查发现的问题建立整改台账，实行销号管理，由专人跟进督办。运营单位需在整改时限内完成问题整改，整改完成后提交核查小组复核，确保各类问题及时整改到位，杜绝同类问题反复发生。</w:t>
      </w:r>
    </w:p>
    <w:p w14:paraId="7D512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强化租金资金管理合规性，运营单位收缴的租金款项需严格按照财务制度要求，在收款当日足额缴存指定银行账户，严禁坐支、截留、挪用租金款项。</w:t>
      </w:r>
    </w:p>
    <w:p w14:paraId="2ABAE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租金对账机制，落实周对账、月汇总制度：每周由运营单位联合财务部门，核对当期租金收缴明细、银行到账数据与系统录入数据；每月对租金收缴整体情况进行汇总核对，确保账实相符、账账相符、账证相符。</w:t>
      </w:r>
    </w:p>
    <w:p w14:paraId="426AA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建立租金资金监督机制，租金收缴全过程接受财务监督与审计核查；运营单位向县住建局及财务部门报送租金收缴情况报表，主动接受监督检查。</w:t>
      </w:r>
    </w:p>
    <w:p w14:paraId="711B3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建立租金收缴预警机制，结合专项核查结果及日常收缴数据，对租金即将到期、逾期未缴、履约能力异常的租户分类预警。</w:t>
      </w:r>
    </w:p>
    <w:p w14:paraId="51AEB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（一）事前预警：对租金即将到期的承租户，提前15天通过智能门锁语音提示、智能系统预警、短信、电话等方式进行提醒，明确缴费义务及逾期责任。</w:t>
      </w:r>
    </w:p>
    <w:p w14:paraId="31744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（二）事中预警：每月中旬对逾期未缴费租户进行集中预警，运营单位统一电话告知，特殊承租户优先上门核实情况，了解未缴费原因并做好记录。</w:t>
      </w:r>
    </w:p>
    <w:p w14:paraId="01868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（三）重点预警：对长期欠缴、履约能力异常的租户，纳入重点预警名单，及时采取约谈、发送催收函等措施，必要时通过法律途径维护合法权益。</w:t>
      </w:r>
    </w:p>
    <w:p w14:paraId="78568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规范催收流程，租金逾期后，运营单位需在3个工作日内核实逾期原因，分类处置并全程留痕：</w:t>
      </w:r>
    </w:p>
    <w:p w14:paraId="4F3DF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（一）对因特殊困难暂时无法缴费的租户，经审核符合缓缴条件的，按规定办理缓缴手续，明确缓缴期限及补缴计划；</w:t>
      </w:r>
    </w:p>
    <w:p w14:paraId="7EFEA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（二）对无正当理由逾期不缴的，依据相关法规及租赁合同约定进行催收；累计欠租6个月以上的，上报县住建局，建议取消保障资格、收回公租房，并依法追缴欠租。</w:t>
      </w:r>
    </w:p>
    <w:p w14:paraId="58134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条建立承租户“一户一档”，录入智能管理系统，包含租户基本信息、租赁合同、缴费记录、预警催收记录等内容；承租户信息变更需及时报备，运营单位应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sz w:val="32"/>
          <w:szCs w:val="32"/>
        </w:rPr>
        <w:t>更新档案信息，确保预警提醒精准送达。</w:t>
      </w:r>
    </w:p>
    <w:p w14:paraId="43E2B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运营单位每月汇总租金收缴情况、预警催收情况及问题整改情况，向县住建局报送工作报告；县住建局定期组织开展租金收缴管理工作复盘，分析问题成因，优化管控措施，完善操作规范。</w:t>
      </w:r>
    </w:p>
    <w:p w14:paraId="4EC06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第十七条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加强部门协同联动，县住建局、运营单位、社区、物业服务企业建立定期沟通机制，及时协调解决租金收缴过程中的各类问题，形成工作合力。</w:t>
      </w:r>
    </w:p>
    <w:p w14:paraId="313D8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对在租金收缴管理工作中存在失职渎职、弄虚作假、截留挪用租金等违规行为的单位或个人，依法依规追究相关责任；构成犯罪的，移交司法机关处理。</w:t>
      </w:r>
    </w:p>
    <w:p w14:paraId="24C3B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第十九条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本制度由县住建局负责解释。</w:t>
      </w:r>
    </w:p>
    <w:p w14:paraId="2535B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本制度自印发之日起执行，原有相关规定与本制度不一致的，以本制度为准。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14F32"/>
    <w:rsid w:val="12735384"/>
    <w:rsid w:val="24DE10E8"/>
    <w:rsid w:val="2C962A73"/>
    <w:rsid w:val="34425240"/>
    <w:rsid w:val="3C5B3B50"/>
    <w:rsid w:val="427B4C26"/>
    <w:rsid w:val="5DD8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2315</Words>
  <Characters>2326</Characters>
  <Lines>0</Lines>
  <Paragraphs>0</Paragraphs>
  <TotalTime>77</TotalTime>
  <ScaleCrop>false</ScaleCrop>
  <LinksUpToDate>false</LinksUpToDate>
  <CharactersWithSpaces>2353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2026-02-02T12:41:00Z</dcterms:created>
  <dc:creator>lenovo</dc:creator>
  <cp:lastModifiedBy>user</cp:lastModifiedBy>
  <cp:lastPrinted>2026-10-14T04:40:12Z</cp:lastPrinted>
  <dcterms:modified xsi:type="dcterms:W3CDTF">2026-10-14T04:41:19Z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eyJoZGlkIjoiOTJhMjc3NWQ2NWY2YTJkMGQ2MzNlMDA3NTFlODIyNzQiLCJ1c2VySWQiOiI1MDg5ODUxNDcifQ==</vt:lpwstr>
  </property>
  <property fmtid="{D5CDD505-2E9C-101B-9397-08002B2CF9AE}" pid="4" name="ICV">
    <vt:lpwstr>DEF2768526A240C2AA3E5A36A8B206D9_13</vt:lpwstr>
  </property>
</Properties>
</file>