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napToGrid w:val="0"/>
        <w:spacing w:before="0" w:beforeAutospacing="0" w:after="0" w:afterAutospacing="0" w:line="540" w:lineRule="exact"/>
        <w:jc w:val="both"/>
        <w:rPr>
          <w:rFonts w:hint="eastAsia" w:ascii="方正仿宋_GBK" w:hAnsi="方正仿宋_GBK" w:eastAsia="方正仿宋_GBK" w:cs="方正仿宋_GBK"/>
          <w:color w:val="000000"/>
          <w:sz w:val="32"/>
          <w:szCs w:val="32"/>
          <w:lang w:bidi="ar"/>
        </w:rPr>
      </w:pPr>
      <w:r>
        <w:rPr>
          <w:rFonts w:hint="eastAsia" w:ascii="方正仿宋_GBK" w:hAnsi="方正仿宋_GBK" w:eastAsia="方正仿宋_GBK" w:cs="方正仿宋_GBK"/>
          <w:color w:val="000000"/>
          <w:sz w:val="32"/>
          <w:szCs w:val="32"/>
          <w:lang w:bidi="ar"/>
        </w:rPr>
        <w:t>附件1</w:t>
      </w:r>
    </w:p>
    <w:p>
      <w:pPr>
        <w:pStyle w:val="5"/>
        <w:widowControl w:val="0"/>
        <w:snapToGrid w:val="0"/>
        <w:spacing w:before="0" w:beforeAutospacing="0" w:after="0" w:afterAutospacing="0" w:line="560" w:lineRule="exact"/>
        <w:jc w:val="center"/>
        <w:rPr>
          <w:rFonts w:hint="eastAsia" w:ascii="Times New Roman" w:hAnsi="Times New Roman" w:eastAsia="方正小标宋简体" w:cs="Times New Roman"/>
          <w:color w:val="000000"/>
          <w:sz w:val="44"/>
          <w:szCs w:val="44"/>
          <w:lang w:eastAsia="zh-CN"/>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sz w:val="44"/>
          <w:szCs w:val="44"/>
        </w:rPr>
      </w:pPr>
      <w:bookmarkStart w:id="3" w:name="_GoBack"/>
      <w:r>
        <w:rPr>
          <w:rFonts w:hint="eastAsia" w:ascii="方正小标宋简体" w:hAnsi="方正小标宋简体" w:eastAsia="方正小标宋简体" w:cs="方正小标宋简体"/>
          <w:color w:val="000000"/>
          <w:sz w:val="44"/>
          <w:szCs w:val="44"/>
          <w:lang w:eastAsia="zh-CN"/>
        </w:rPr>
        <w:t>克州</w:t>
      </w:r>
      <w:r>
        <w:rPr>
          <w:rFonts w:hint="eastAsia" w:ascii="方正小标宋简体" w:hAnsi="方正小标宋简体" w:eastAsia="方正小标宋简体" w:cs="方正小标宋简体"/>
          <w:color w:val="000000"/>
          <w:sz w:val="44"/>
          <w:szCs w:val="44"/>
        </w:rPr>
        <w:t>2021-2023年农业机械购置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补贴实施方案</w:t>
      </w:r>
    </w:p>
    <w:bookmarkEnd w:id="3"/>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textAlignment w:val="auto"/>
        <w:rPr>
          <w:rFonts w:ascii="Times New Roman" w:hAnsi="Times New Roman" w:eastAsia="黑体" w:cs="Times New Roman"/>
          <w:color w:val="000000"/>
          <w:sz w:val="32"/>
          <w:szCs w:val="32"/>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一、总体要求</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坚持以习近平新时代中国特色社会主义思想为指导，全面贯彻党的十九大和十九届二中、三中、四中、五中全会精神，贯彻落实第三次中央新疆工作座谈会精神，认真落实自治区党委九届十次、十一次全会精神、自治区党委农村工作会议精神，按照自治区党委“3+1”部署要求，坚持“稳粮、优棉、强果、兴畜、促特色”总思路，以满足广大农牧民对机械化生产的需要为目标，以稳定实施政策、最大限度发挥政策效益为主线，稳重点、扩范围、优服务、强监管、提效能，持续提升政策实施的精准化、规范化、便利化水平，支持引导农民购置使用先进适用的农业机械，引领推动农业机械化向全程全面高质高效发展，加快推动农机装备产业转型升级，为实施乡村振兴战略、推进农业农村现代化提供坚实支撑。</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二、补贴范围和补贴机具</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自治区享受中央财政补贴的机具种类范围为15大类4</w:t>
      </w:r>
      <w:r>
        <w:rPr>
          <w:rFonts w:hint="eastAsia" w:ascii="方正仿宋_GBK" w:hAnsi="方正仿宋_GBK" w:eastAsia="方正仿宋_GBK" w:cs="方正仿宋_GBK"/>
          <w:color w:val="000000"/>
          <w:sz w:val="32"/>
          <w:szCs w:val="32"/>
          <w:lang w:val="en"/>
        </w:rPr>
        <w:t>2</w:t>
      </w:r>
      <w:r>
        <w:rPr>
          <w:rFonts w:hint="eastAsia" w:ascii="方正仿宋_GBK" w:hAnsi="方正仿宋_GBK" w:eastAsia="方正仿宋_GBK" w:cs="方正仿宋_GBK"/>
          <w:color w:val="000000"/>
          <w:sz w:val="32"/>
          <w:szCs w:val="32"/>
        </w:rPr>
        <w:t>个小类1</w:t>
      </w:r>
      <w:r>
        <w:rPr>
          <w:rFonts w:hint="eastAsia" w:ascii="方正仿宋_GBK" w:hAnsi="方正仿宋_GBK" w:eastAsia="方正仿宋_GBK" w:cs="方正仿宋_GBK"/>
          <w:color w:val="000000"/>
          <w:sz w:val="32"/>
          <w:szCs w:val="32"/>
          <w:lang w:val="en"/>
        </w:rPr>
        <w:t>55</w:t>
      </w:r>
      <w:r>
        <w:rPr>
          <w:rFonts w:hint="eastAsia" w:ascii="方正仿宋_GBK" w:hAnsi="方正仿宋_GBK" w:eastAsia="方正仿宋_GBK" w:cs="方正仿宋_GBK"/>
          <w:color w:val="000000"/>
          <w:sz w:val="32"/>
          <w:szCs w:val="32"/>
        </w:rPr>
        <w:t>个品目（详见附件2）。各地</w:t>
      </w:r>
      <w:r>
        <w:rPr>
          <w:rFonts w:hint="eastAsia" w:ascii="方正仿宋_GBK" w:hAnsi="方正仿宋_GBK" w:eastAsia="方正仿宋_GBK" w:cs="方正仿宋_GBK"/>
          <w:color w:val="000000"/>
          <w:sz w:val="32"/>
          <w:szCs w:val="32"/>
          <w:lang w:eastAsia="zh-CN"/>
        </w:rPr>
        <w:t>县（市）</w:t>
      </w:r>
      <w:r>
        <w:rPr>
          <w:rFonts w:hint="eastAsia" w:ascii="方正仿宋_GBK" w:hAnsi="方正仿宋_GBK" w:eastAsia="方正仿宋_GBK" w:cs="方正仿宋_GBK"/>
          <w:color w:val="000000"/>
          <w:sz w:val="32"/>
          <w:szCs w:val="32"/>
        </w:rPr>
        <w:t>可以根据农业生产需要和资金供需实际，从自治区补贴范围中选取本区域补贴机具品目，优先保障粮棉、林果、畜牧养殖、设施、特色等重要农产品生产以及支持残膜回收、翻堆肥等农业绿色发展和数字化发展所需机具的补贴需要，将更多符合条件的高端、复式、智能产品纳入补贴，提高补贴标准，加大补贴力度。</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地方特色农业发展所需和小区域适用性强的机具，可列入地方各级财政安排资金的补贴范围，具体补贴机具品目和补贴标准由地方自定，不得占用中央财政补贴资金。</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大力支持农机创新产品列入补贴范围。全面贯彻落实新修订的《农业机械试验鉴定办法》，积极开展农机专项鉴定，加快农机创新产品获得农机试验鉴定证书步伐，并按规定列入补贴范围。继续组织实施中央财政农机新产品购置补贴试点，对尚不能通过农机专项鉴定取得补贴资质的创新产品和成套设施装备等给予支持，重点补贴建设标准成熟的烘干机配套设施、温室大棚骨架和标准化猪舍钢结构、智能养殖设备、蔬菜初加工成套设备、林果初加工成套设备、蜜蜂养殖及蜂产品初加工成套设施装备等。全面开展植保无人驾驶航空器购置补贴工作，具体操作办法另行通知，在此之前，继续按有关规定实施引导植保无人飞机规范应用试点。</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三、补贴对象和补贴标准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补贴对象为从事农业生产的个人和农业生产经营组织（以下简称“购机者”），其中农业生产经营组织包括农村集体经济组织、农民专业合作经济组织、农业企业和其他从事农业生产经营的组织。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中央财政农机购置补贴实行定额补贴，即同一种类、同一档次农业机械实行统一的补贴标准。其中，通用类机具补贴额不超过农业农村部发布的最高补贴额。</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户农牧民年度内享受补贴的拖拉机或自带动力的农业机械数量不超过3台，配套农具数量不限，但同一品目的农具不超过3台；一个农机专业合作社年度内享受补贴的拖拉机或联合收获机不超过10台，配套农具数量不限。</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般补贴机具单机补贴限额原则上不超过5万元；挤奶机械、烘干机单机补贴限额不超过12万元；100马力以上拖拉机、高性能青饲料收获机、大型免耕播种机、大型联合收割机、水稻大型浸种催芽程控设备、畜禽粪污资源化利用机具单机补贴限额不超过15万元；200马力以上拖拉机单机补贴限额不超过25万元；大型棉花收获机单机、成套设施装备单套补贴限额不超过60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围绕粮食生产薄弱环节以及高端、复式、智能农机产品的推广应用，选择不超过10个品目的产品提高补贴额，其补贴额测算比例可提高至35%。2021年起，对</w:t>
      </w:r>
      <w:r>
        <w:rPr>
          <w:rFonts w:hint="eastAsia" w:ascii="方正仿宋_GBK" w:hAnsi="方正仿宋_GBK" w:eastAsia="方正仿宋_GBK" w:cs="方正仿宋_GBK"/>
          <w:color w:val="000000"/>
          <w:sz w:val="32"/>
          <w:szCs w:val="32"/>
          <w:lang w:eastAsia="zh-CN"/>
        </w:rPr>
        <w:t>我州</w:t>
      </w:r>
      <w:r>
        <w:rPr>
          <w:rFonts w:hint="eastAsia" w:ascii="方正仿宋_GBK" w:hAnsi="方正仿宋_GBK" w:eastAsia="方正仿宋_GBK" w:cs="方正仿宋_GBK"/>
          <w:color w:val="000000"/>
          <w:sz w:val="32"/>
          <w:szCs w:val="32"/>
        </w:rPr>
        <w:t>保有量明显过多、技术相对落后的轮式拖拉机等机具品目或档次降低补贴标准，确保到2023年将其补贴机具补贴额测算比例降低至15%及以下。</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保持补贴额总体稳定，全面公开农机购置补贴机具分类分档与补贴额一览表，加强宣传，引导购机者根据各档次的补贴定额自主议价，不再对外公布具体产品的补贴额。</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各县（市）</w:t>
      </w:r>
      <w:r>
        <w:rPr>
          <w:rFonts w:hint="eastAsia" w:ascii="方正仿宋_GBK" w:hAnsi="方正仿宋_GBK" w:eastAsia="方正仿宋_GBK" w:cs="方正仿宋_GBK"/>
          <w:color w:val="000000"/>
          <w:sz w:val="32"/>
          <w:szCs w:val="32"/>
        </w:rPr>
        <w:t>在政策实施过程中发现具体产品或档次的中央财政资金实际补贴比例超过50%的，应及时上报或组织调查，对有违规情节的，按相关规定处理；对无违规情节的补贴申请，可按原规定兑付补贴资金。自治区农业农村厅组织对相关产品及其所属档次补贴额进行评估，视情况及时调整。</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南疆五地州补贴标准继续按照《农业部办公厅 财政部办公厅关于在西藏和新疆南疆地区开展差别化农机购置补贴试点的通知》（农办财〔2017〕19号）执行。具体标准按照自治区农业农村厅、财政厅统一发布的《农机购置补贴机具补贴额一览表》执行，具体产品补贴额度继续采取“定额+限比”方式确定。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对每一类补贴对象年度内享受补贴购置农机具的台（套）数或补贴资金总额应设置上限，由</w:t>
      </w:r>
      <w:r>
        <w:rPr>
          <w:rFonts w:hint="eastAsia" w:ascii="方正仿宋_GBK" w:hAnsi="方正仿宋_GBK" w:eastAsia="方正仿宋_GBK" w:cs="方正仿宋_GBK"/>
          <w:color w:val="000000"/>
          <w:sz w:val="32"/>
          <w:szCs w:val="32"/>
          <w:lang w:eastAsia="zh-CN"/>
        </w:rPr>
        <w:t>州、县（市）</w:t>
      </w:r>
      <w:r>
        <w:rPr>
          <w:rFonts w:hint="eastAsia" w:ascii="方正仿宋_GBK" w:hAnsi="方正仿宋_GBK" w:eastAsia="方正仿宋_GBK" w:cs="方正仿宋_GBK"/>
          <w:color w:val="000000"/>
          <w:sz w:val="32"/>
          <w:szCs w:val="32"/>
        </w:rPr>
        <w:t>结合实际自行确定。</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开展农机专项鉴定产品购置补贴、农机新产品购置补贴试点以及确定提高补贴额产品品目的相关具体工作要求另行通知。</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四、资金分配与使用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农机购置补贴支出主要用于支持购置先进适用农业机械，以及开展有关试点和农机报废更新等方面。</w:t>
      </w:r>
      <w:r>
        <w:rPr>
          <w:rFonts w:hint="eastAsia" w:ascii="方正仿宋_GBK" w:hAnsi="方正仿宋_GBK" w:eastAsia="方正仿宋_GBK" w:cs="方正仿宋_GBK"/>
          <w:color w:val="000000"/>
          <w:sz w:val="32"/>
          <w:szCs w:val="32"/>
          <w:lang w:eastAsia="zh-CN"/>
        </w:rPr>
        <w:t>州</w:t>
      </w:r>
      <w:r>
        <w:rPr>
          <w:rFonts w:hint="eastAsia" w:ascii="方正仿宋_GBK" w:hAnsi="方正仿宋_GBK" w:eastAsia="方正仿宋_GBK" w:cs="方正仿宋_GBK"/>
          <w:color w:val="000000"/>
          <w:sz w:val="32"/>
          <w:szCs w:val="32"/>
        </w:rPr>
        <w:t>农业农村</w:t>
      </w:r>
      <w:r>
        <w:rPr>
          <w:rFonts w:hint="eastAsia" w:ascii="方正仿宋_GBK" w:hAnsi="方正仿宋_GBK" w:eastAsia="方正仿宋_GBK" w:cs="方正仿宋_GBK"/>
          <w:color w:val="000000"/>
          <w:sz w:val="32"/>
          <w:szCs w:val="32"/>
          <w:lang w:eastAsia="zh-CN"/>
        </w:rPr>
        <w:t>局</w:t>
      </w:r>
      <w:r>
        <w:rPr>
          <w:rFonts w:hint="eastAsia" w:ascii="方正仿宋_GBK" w:hAnsi="方正仿宋_GBK" w:eastAsia="方正仿宋_GBK" w:cs="方正仿宋_GBK"/>
          <w:color w:val="000000"/>
          <w:sz w:val="32"/>
          <w:szCs w:val="32"/>
        </w:rPr>
        <w:t>会同</w:t>
      </w:r>
      <w:r>
        <w:rPr>
          <w:rFonts w:hint="eastAsia" w:ascii="方正仿宋_GBK" w:hAnsi="方正仿宋_GBK" w:eastAsia="方正仿宋_GBK" w:cs="方正仿宋_GBK"/>
          <w:color w:val="000000"/>
          <w:sz w:val="32"/>
          <w:szCs w:val="32"/>
          <w:lang w:eastAsia="zh-CN"/>
        </w:rPr>
        <w:t>州</w:t>
      </w:r>
      <w:r>
        <w:rPr>
          <w:rFonts w:hint="eastAsia" w:ascii="方正仿宋_GBK" w:hAnsi="方正仿宋_GBK" w:eastAsia="方正仿宋_GBK" w:cs="方正仿宋_GBK"/>
          <w:color w:val="000000"/>
          <w:sz w:val="32"/>
          <w:szCs w:val="32"/>
        </w:rPr>
        <w:t>财政采用因素法测算分配资金，不突破县级需求上限分配补贴资金，调减资金结转量大、政策实施风险高、资金使用效益低县（市）的预算规模。</w:t>
      </w:r>
      <w:r>
        <w:rPr>
          <w:rFonts w:hint="eastAsia" w:ascii="方正仿宋_GBK" w:hAnsi="方正仿宋_GBK" w:eastAsia="方正仿宋_GBK" w:cs="方正仿宋_GBK"/>
          <w:color w:val="000000"/>
          <w:sz w:val="32"/>
          <w:szCs w:val="32"/>
          <w:lang w:eastAsia="zh-CN"/>
        </w:rPr>
        <w:t>州（县）</w:t>
      </w:r>
      <w:r>
        <w:rPr>
          <w:rFonts w:hint="eastAsia" w:ascii="方正仿宋_GBK" w:hAnsi="方正仿宋_GBK" w:eastAsia="方正仿宋_GBK" w:cs="方正仿宋_GBK"/>
          <w:color w:val="000000"/>
          <w:sz w:val="32"/>
          <w:szCs w:val="32"/>
        </w:rPr>
        <w:t>财政部门会同农业农村部门加强资金使用情况监测，定期调度和发布各县（市）资金使用进度，督促相关县（市）优先使用结转资金，督促预算执行较慢地区加快使用，并按需组织开展县（市）际余缺调剂，重点将实施进度低于序时进度县（市）的补贴资金调增给已出现供需缺口的县（市），确保不发生资金大量结转，促进资金使用实现两年动态紧平衡。对于上年超录部分的优先使用下年年度资金进行兑付，兑付标准按照上年标准执行。</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进一步加快推进农机报废更新补贴工作。县（市）农业农村部门依据《新疆维吾尔自治区农业机械化促进条例》第三章第二十三条之规定，以及《新疆维吾尔自治区农业机械报废更新补贴实施方案》（新农机〔2020〕151号）规定的申报公布流程，对提交报废农机回收资质认定申请的农机合作社或其他企业，予以现场核查、公示，对符合要求的颁发《新疆维吾尔自治区报废农机回收企业认定书》，准予从事报废农机回收。依据《新疆维吾尔自治区农业机械化促进条例》第四十三条规定及《新疆维吾尔自治区农业机械报废更新补贴实施方案》相关规定，加强对报废农机回收企业的依法监督管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农机购置补贴</w:t>
      </w:r>
      <w:r>
        <w:rPr>
          <w:rFonts w:hint="eastAsia" w:ascii="方正仿宋_GBK" w:hAnsi="方正仿宋_GBK" w:eastAsia="方正仿宋_GBK" w:cs="方正仿宋_GBK"/>
          <w:color w:val="000000"/>
          <w:sz w:val="32"/>
          <w:szCs w:val="32"/>
          <w:lang w:val="en-US" w:eastAsia="zh-CN"/>
        </w:rPr>
        <w:t>属约束性任务</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资金</w:t>
      </w:r>
      <w:r>
        <w:rPr>
          <w:rFonts w:hint="eastAsia" w:ascii="方正仿宋_GBK" w:hAnsi="方正仿宋_GBK" w:eastAsia="方正仿宋_GBK" w:cs="方正仿宋_GBK"/>
          <w:color w:val="000000"/>
          <w:sz w:val="32"/>
          <w:szCs w:val="32"/>
        </w:rPr>
        <w:t>必须足额保障，不得用于其他任务支出。对于挪用专项资金现象，将严格按照相关财经纪律进行处理，并相应调减来年资金分配数量。地方各级财政部门要保障补贴工作实施必要的组织管理经费。</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五、操作流程</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业农村部门提出补贴资金申领事项，签署告知承诺书，承诺购买行为、发票购机价格等信息真实有效，按相关规定申办补贴。</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w:t>
      </w:r>
      <w:r>
        <w:rPr>
          <w:rFonts w:hint="eastAsia" w:ascii="方正仿宋_GBK" w:hAnsi="方正仿宋_GBK" w:eastAsia="方正仿宋_GBK" w:cs="方正仿宋_GBK"/>
          <w:color w:val="000000"/>
          <w:sz w:val="32"/>
          <w:szCs w:val="32"/>
          <w:lang w:eastAsia="zh-CN"/>
        </w:rPr>
        <w:t>县（市）</w:t>
      </w:r>
      <w:r>
        <w:rPr>
          <w:rFonts w:hint="eastAsia" w:ascii="方正仿宋_GBK" w:hAnsi="方正仿宋_GBK" w:eastAsia="方正仿宋_GBK" w:cs="方正仿宋_GBK"/>
          <w:color w:val="000000"/>
          <w:sz w:val="32"/>
          <w:szCs w:val="32"/>
        </w:rPr>
        <w:t>农机购置补贴政策实施工作按以下流程操作。</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ascii="Times New Roman" w:hAnsi="Times New Roman" w:eastAsia="楷体_GB2312" w:cs="Times New Roman"/>
          <w:b/>
          <w:bCs/>
          <w:color w:val="000000"/>
          <w:sz w:val="32"/>
          <w:szCs w:val="32"/>
        </w:rPr>
        <w:t>（一）发布实施规定。</w:t>
      </w:r>
      <w:r>
        <w:rPr>
          <w:rFonts w:hint="eastAsia" w:ascii="方正仿宋_GBK" w:hAnsi="方正仿宋_GBK" w:eastAsia="方正仿宋_GBK" w:cs="方正仿宋_GBK"/>
          <w:color w:val="000000"/>
          <w:sz w:val="32"/>
          <w:szCs w:val="32"/>
        </w:rPr>
        <w:t>各</w:t>
      </w:r>
      <w:r>
        <w:rPr>
          <w:rFonts w:hint="eastAsia" w:ascii="方正仿宋_GBK" w:hAnsi="方正仿宋_GBK" w:eastAsia="方正仿宋_GBK" w:cs="方正仿宋_GBK"/>
          <w:color w:val="000000"/>
          <w:sz w:val="32"/>
          <w:szCs w:val="32"/>
          <w:lang w:eastAsia="zh-CN"/>
        </w:rPr>
        <w:t>县（市）</w:t>
      </w:r>
      <w:r>
        <w:rPr>
          <w:rFonts w:hint="eastAsia" w:ascii="方正仿宋_GBK" w:hAnsi="方正仿宋_GBK" w:eastAsia="方正仿宋_GBK" w:cs="方正仿宋_GBK"/>
          <w:color w:val="000000"/>
          <w:sz w:val="32"/>
          <w:szCs w:val="32"/>
        </w:rPr>
        <w:t>农业农村、财政管理部门按职责分工和有关规定发布本地区农机购置补贴实施方案、操作程序、补贴额一览表、补贴机具信息表、咨询投诉举报电话等信息。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hint="eastAsia" w:ascii="楷体_GB2312" w:hAnsi="楷体_GB2312" w:eastAsia="楷体_GB2312" w:cs="楷体_GB2312"/>
          <w:b/>
          <w:bCs/>
          <w:color w:val="000000"/>
          <w:sz w:val="32"/>
          <w:szCs w:val="32"/>
        </w:rPr>
        <w:t>（二）组织机具投档。</w:t>
      </w:r>
      <w:r>
        <w:rPr>
          <w:rFonts w:hint="eastAsia" w:ascii="方正仿宋_GBK" w:hAnsi="方正仿宋_GBK" w:eastAsia="方正仿宋_GBK" w:cs="方正仿宋_GBK"/>
          <w:color w:val="000000"/>
          <w:sz w:val="32"/>
          <w:szCs w:val="32"/>
        </w:rPr>
        <w:t>自治区农业农村部门按照《农机购置补贴机具投档工作规范（试行）》等要求，全面运用农机购置补贴机具自主投档平台，常年受理企业投档，组织开展形式审核，公示公布投档结果，并导入办理服务系统。</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ascii="Times New Roman" w:hAnsi="Times New Roman" w:eastAsia="楷体_GB2312" w:cs="Times New Roman"/>
          <w:b/>
          <w:bCs/>
          <w:color w:val="000000"/>
          <w:sz w:val="32"/>
          <w:szCs w:val="32"/>
        </w:rPr>
        <w:t>（三）受理补贴申请。</w:t>
      </w:r>
      <w:r>
        <w:rPr>
          <w:rFonts w:hint="eastAsia" w:ascii="方正仿宋_GBK" w:hAnsi="方正仿宋_GBK" w:eastAsia="方正仿宋_GBK" w:cs="方正仿宋_GBK"/>
          <w:color w:val="000000"/>
          <w:sz w:val="32"/>
          <w:szCs w:val="32"/>
        </w:rPr>
        <w:t>县</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农业农村部门全面实行办理服务系统常年连续开放，推广使用带有人脸识别功能的手机App等信息化技术，方便购机者随时在线提交补贴申请、应录尽录，加快实现购机者线下申领补贴“最多跑一次”“最多跑一地”。县级农机购置补贴资金申请数量达到当年可用资金（含结转资金和调剂资金）总量110%的，相关县</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应及时发布公告，停止受理补贴申请。</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方正仿宋_GBK" w:hAnsi="方正仿宋_GBK" w:eastAsia="方正仿宋_GBK" w:cs="方正仿宋_GBK"/>
          <w:color w:val="000000"/>
          <w:sz w:val="32"/>
          <w:szCs w:val="32"/>
        </w:rPr>
      </w:pPr>
      <w:r>
        <w:rPr>
          <w:rFonts w:hint="eastAsia" w:ascii="楷体_GB2312" w:hAnsi="楷体_GB2312" w:eastAsia="楷体_GB2312" w:cs="楷体_GB2312"/>
          <w:b/>
          <w:bCs/>
          <w:color w:val="000000"/>
          <w:sz w:val="32"/>
          <w:szCs w:val="32"/>
        </w:rPr>
        <w:t>（四）审验公示信息。</w:t>
      </w:r>
      <w:r>
        <w:rPr>
          <w:rFonts w:hint="eastAsia" w:ascii="方正仿宋_GBK" w:hAnsi="方正仿宋_GBK" w:eastAsia="方正仿宋_GBK" w:cs="方正仿宋_GBK"/>
          <w:color w:val="000000"/>
          <w:sz w:val="32"/>
          <w:szCs w:val="32"/>
        </w:rPr>
        <w:t>县</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农业农村部门按照《农机购置补贴机具核验工作要点（试行）》等要求，对补贴相关申请资料进行形式审核，对补贴机具进行核验，其中牌证管理机具凭牌证免于现场实物核验。农业农村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方正仿宋_GBK" w:hAnsi="方正仿宋_GBK" w:eastAsia="方正仿宋_GBK" w:cs="方正仿宋_GBK"/>
          <w:color w:val="000000"/>
          <w:sz w:val="32"/>
          <w:szCs w:val="32"/>
        </w:rPr>
      </w:pPr>
      <w:r>
        <w:rPr>
          <w:rFonts w:hint="eastAsia" w:ascii="楷体_GB2312" w:hAnsi="楷体_GB2312" w:eastAsia="楷体_GB2312" w:cs="楷体_GB2312"/>
          <w:b/>
          <w:bCs/>
          <w:color w:val="000000"/>
          <w:sz w:val="32"/>
          <w:szCs w:val="32"/>
        </w:rPr>
        <w:t>（五）兑付补贴资金。</w:t>
      </w:r>
      <w:r>
        <w:rPr>
          <w:rFonts w:hint="eastAsia" w:ascii="方正仿宋_GBK" w:hAnsi="方正仿宋_GBK" w:eastAsia="方正仿宋_GBK" w:cs="方正仿宋_GBK"/>
          <w:color w:val="000000"/>
          <w:sz w:val="32"/>
          <w:szCs w:val="32"/>
        </w:rPr>
        <w:t>县</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财政部门审核农业农村部门提交的资金兑付申请与有关材料，于15个工作日内通过国库集中支付方式向符合要求的购机者兑付资金。严禁挤占挪用农机购置补贴资金。因资金不足或加强监管等原因需要延期兑付的，应告知购机者，并及时与同级农业农村部门联合向上报告资金供需情况。补贴申领原则上当年有效，因当年财政补贴资金规模不够、办理手续时间紧张等无法享受补贴的，可在下一个年度优先兑付。</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六、工作要求</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方正仿宋_GBK" w:hAnsi="方正仿宋_GBK" w:eastAsia="方正仿宋_GBK" w:cs="方正仿宋_GBK"/>
          <w:color w:val="000000"/>
          <w:kern w:val="0"/>
          <w:sz w:val="32"/>
          <w:szCs w:val="32"/>
        </w:rPr>
      </w:pPr>
      <w:r>
        <w:rPr>
          <w:rFonts w:hint="eastAsia" w:ascii="楷体_GB2312" w:hAnsi="楷体_GB2312" w:eastAsia="楷体_GB2312" w:cs="楷体_GB2312"/>
          <w:b/>
          <w:bCs/>
          <w:color w:val="000000"/>
          <w:sz w:val="32"/>
          <w:szCs w:val="32"/>
        </w:rPr>
        <w:t>（一）加强领导，明确分工。</w:t>
      </w:r>
      <w:r>
        <w:rPr>
          <w:rFonts w:hint="eastAsia" w:ascii="方正仿宋_GBK" w:hAnsi="方正仿宋_GBK" w:eastAsia="方正仿宋_GBK" w:cs="方正仿宋_GBK"/>
          <w:color w:val="000000"/>
          <w:kern w:val="0"/>
          <w:sz w:val="32"/>
          <w:szCs w:val="32"/>
        </w:rPr>
        <w:t>各</w:t>
      </w:r>
      <w:r>
        <w:rPr>
          <w:rFonts w:hint="eastAsia" w:ascii="方正仿宋_GBK" w:hAnsi="方正仿宋_GBK" w:eastAsia="方正仿宋_GBK" w:cs="方正仿宋_GBK"/>
          <w:color w:val="000000"/>
          <w:kern w:val="0"/>
          <w:sz w:val="32"/>
          <w:szCs w:val="32"/>
          <w:lang w:eastAsia="zh-CN"/>
        </w:rPr>
        <w:t>县（市）</w:t>
      </w:r>
      <w:r>
        <w:rPr>
          <w:rFonts w:hint="eastAsia" w:ascii="方正仿宋_GBK" w:hAnsi="方正仿宋_GBK" w:eastAsia="方正仿宋_GBK" w:cs="方正仿宋_GBK"/>
          <w:color w:val="000000"/>
          <w:kern w:val="0"/>
          <w:sz w:val="32"/>
          <w:szCs w:val="32"/>
        </w:rPr>
        <w:t>农业农村、财政部门要建立健全政府领导下的联合实施和监管机制，切实加强组织协调，密切沟通配合，健全完善风险防控工作制度和内部控制规程，明确职责分工，形成工作合力。县级人民政府要成立农机购置补贴领导小组，进一步明确职责分工，落实领导小组统管政策实施的责任。要进一步明确职责分工，全面落实县</w:t>
      </w:r>
      <w:r>
        <w:rPr>
          <w:rFonts w:hint="eastAsia" w:ascii="方正仿宋_GBK" w:hAnsi="方正仿宋_GBK" w:eastAsia="方正仿宋_GBK" w:cs="方正仿宋_GBK"/>
          <w:color w:val="000000"/>
          <w:kern w:val="0"/>
          <w:sz w:val="32"/>
          <w:szCs w:val="32"/>
          <w:lang w:eastAsia="zh-CN"/>
        </w:rPr>
        <w:t>、乡</w:t>
      </w:r>
      <w:r>
        <w:rPr>
          <w:rFonts w:hint="eastAsia" w:ascii="方正仿宋_GBK" w:hAnsi="方正仿宋_GBK" w:eastAsia="方正仿宋_GBK" w:cs="方正仿宋_GBK"/>
          <w:color w:val="000000"/>
          <w:kern w:val="0"/>
          <w:sz w:val="32"/>
          <w:szCs w:val="32"/>
        </w:rPr>
        <w:t>农业农村部门组织实施、审核和监管责任和财政部门资金兑付、资金监管责任。要加强绩效管理，强化闭环管理，切实提升政策实施管理工作能力水平。</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加强对农机鉴定工作的领导和监督。鉴定机构应当建立健全工作规则、操作规范、风险防控等制度，加强内部监督制约，规范鉴定行为，保证鉴定质量，防范廉政风险。加快农机专项鉴定大纲制修订，组织所属或指定的农机鉴定机构公布鉴定产品种类指南，规范开展鉴定及其采信工作，及时公开鉴定证书、鉴定结果和产品主要技术规格参数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方正仿宋_GBK" w:hAnsi="方正仿宋_GBK" w:eastAsia="方正仿宋_GBK" w:cs="方正仿宋_GBK"/>
          <w:color w:val="000000"/>
          <w:sz w:val="32"/>
          <w:szCs w:val="32"/>
        </w:rPr>
      </w:pPr>
      <w:r>
        <w:rPr>
          <w:rFonts w:hint="eastAsia" w:ascii="楷体_GB2312" w:hAnsi="楷体_GB2312" w:eastAsia="楷体_GB2312" w:cs="楷体_GB2312"/>
          <w:b/>
          <w:bCs/>
          <w:color w:val="000000"/>
          <w:sz w:val="32"/>
          <w:szCs w:val="32"/>
        </w:rPr>
        <w:t>（二）优化服务，提升效能。</w:t>
      </w:r>
      <w:r>
        <w:rPr>
          <w:rFonts w:hint="eastAsia" w:ascii="方正仿宋_GBK" w:hAnsi="方正仿宋_GBK" w:eastAsia="方正仿宋_GBK" w:cs="方正仿宋_GBK"/>
          <w:color w:val="000000"/>
          <w:sz w:val="32"/>
          <w:szCs w:val="32"/>
          <w:lang w:eastAsia="zh-CN"/>
        </w:rPr>
        <w:t>各县（市）</w:t>
      </w:r>
      <w:r>
        <w:rPr>
          <w:rFonts w:hint="eastAsia" w:ascii="方正仿宋_GBK" w:hAnsi="方正仿宋_GBK" w:eastAsia="方正仿宋_GBK" w:cs="方正仿宋_GBK"/>
          <w:color w:val="000000"/>
          <w:sz w:val="32"/>
          <w:szCs w:val="32"/>
        </w:rPr>
        <w:t>要依托农机购置补贴申请办理服务系统（以下简称“办理服务系统”），动态分析基层农业农村和财政部门办理补贴申请具体时限，及时预警和定期通报超时办理行为，督促各地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加快农机试验鉴定、补贴机具投档、牌证管理、补贴资金申领等环节信息系统的互联互通，推动补贴机具由人工核验向信息化核验转变。推广使用智能终端和应用智能作业模式，加大补贴力度，深化北斗系统在农业生产中的推广应用，确保农业生产数据安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65"/>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推进农机深松、植保等作业数据信息上传工作，实现作业机具与新疆农机作业综合管理服务平台的数据对接，促进机械化和信息化的融合发展。积极推动农机购置补贴机具二维码应用试点工作，推广应用手机App、人脸识别、补贴机具二维码管理和物联网监控等技术集成应用，加快推进补贴全流程线上办理，实现“手机办补贴，农户少跑腿、信息化监督”的管理目标，解决机具核验难题。</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楷体_GB2312" w:hAnsi="楷体_GB2312" w:eastAsia="楷体_GB2312" w:cs="楷体_GB2312"/>
          <w:b/>
          <w:bCs/>
          <w:color w:val="000000"/>
          <w:sz w:val="32"/>
          <w:szCs w:val="32"/>
        </w:rPr>
        <w:t>（三）公开信息，接受监督。</w:t>
      </w:r>
      <w:r>
        <w:rPr>
          <w:rFonts w:hint="eastAsia" w:ascii="方正仿宋_GBK" w:hAnsi="方正仿宋_GBK" w:eastAsia="方正仿宋_GBK" w:cs="方正仿宋_GBK"/>
          <w:color w:val="000000"/>
          <w:sz w:val="32"/>
          <w:szCs w:val="32"/>
          <w:lang w:eastAsia="zh-CN"/>
        </w:rPr>
        <w:t>州、县（市）</w:t>
      </w:r>
      <w:r>
        <w:rPr>
          <w:rFonts w:hint="eastAsia" w:ascii="方正仿宋_GBK" w:hAnsi="方正仿宋_GBK" w:eastAsia="方正仿宋_GBK" w:cs="方正仿宋_GBK"/>
          <w:color w:val="000000"/>
          <w:sz w:val="32"/>
          <w:szCs w:val="32"/>
        </w:rPr>
        <w:t>农业农村部门要因地制宜、综合运用宣传挂图、报纸杂志、广播电视、互联网等方式，以及村务公开等渠道，全方位开展补贴政策与实施工作宣传解读，着力提升政策知晓率，切实保障购机者、生产经销企业和广大农民群众的知情权、监督权。要健全完善农机购置补贴信息公开专栏，按年度公告近三年县域内补贴受益户信息，公开违规查处结果等信息，主动接受社会监督。</w:t>
      </w:r>
    </w:p>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方正仿宋_GBK" w:hAnsi="方正仿宋_GBK" w:eastAsia="方正仿宋_GBK" w:cs="方正仿宋_GBK"/>
          <w:color w:val="000000"/>
          <w:kern w:val="0"/>
          <w:sz w:val="32"/>
          <w:szCs w:val="32"/>
        </w:rPr>
      </w:pPr>
      <w:r>
        <w:rPr>
          <w:rFonts w:eastAsia="楷体"/>
          <w:color w:val="000000"/>
          <w:sz w:val="32"/>
          <w:szCs w:val="32"/>
        </w:rPr>
        <w:t xml:space="preserve">   </w:t>
      </w:r>
      <w:r>
        <w:rPr>
          <w:rFonts w:hint="eastAsia" w:ascii="楷体_GB2312" w:hAnsi="楷体_GB2312" w:eastAsia="楷体_GB2312" w:cs="楷体_GB2312"/>
          <w:b/>
          <w:bCs/>
          <w:color w:val="000000"/>
          <w:sz w:val="32"/>
          <w:szCs w:val="32"/>
        </w:rPr>
        <w:t>（四）严肃纪律，防控风险。</w:t>
      </w:r>
      <w:r>
        <w:rPr>
          <w:rFonts w:hint="eastAsia" w:ascii="方正仿宋_GBK" w:hAnsi="方正仿宋_GBK" w:eastAsia="方正仿宋_GBK" w:cs="方正仿宋_GBK"/>
          <w:color w:val="000000"/>
          <w:kern w:val="0"/>
          <w:sz w:val="32"/>
          <w:szCs w:val="32"/>
          <w:lang w:eastAsia="zh-CN"/>
        </w:rPr>
        <w:t>州、县（市）</w:t>
      </w:r>
      <w:r>
        <w:rPr>
          <w:rFonts w:hint="eastAsia" w:ascii="方正仿宋_GBK" w:hAnsi="方正仿宋_GBK" w:eastAsia="方正仿宋_GBK" w:cs="方正仿宋_GBK"/>
          <w:color w:val="000000"/>
          <w:kern w:val="0"/>
          <w:sz w:val="32"/>
          <w:szCs w:val="32"/>
        </w:rPr>
        <w:t>要强化对所属事业单位参与农机购置补贴关键重点工作人员的廉政教育和业务培训，提高补贴工作人员业务素质和风险防控能力。严禁有关人员以各种形式直接或间接进行补贴机具经营活动。</w:t>
      </w:r>
      <w:r>
        <w:rPr>
          <w:rFonts w:hint="eastAsia" w:ascii="方正仿宋_GBK" w:hAnsi="方正仿宋_GBK" w:eastAsia="方正仿宋_GBK" w:cs="方正仿宋_GBK"/>
          <w:color w:val="000000"/>
          <w:kern w:val="0"/>
          <w:sz w:val="32"/>
          <w:szCs w:val="32"/>
          <w:lang w:eastAsia="zh-CN"/>
        </w:rPr>
        <w:t>州、县、乡</w:t>
      </w:r>
      <w:r>
        <w:rPr>
          <w:rFonts w:hint="eastAsia" w:ascii="方正仿宋_GBK" w:hAnsi="方正仿宋_GBK" w:eastAsia="方正仿宋_GBK" w:cs="方正仿宋_GBK"/>
          <w:color w:val="000000"/>
          <w:kern w:val="0"/>
          <w:sz w:val="32"/>
          <w:szCs w:val="32"/>
        </w:rPr>
        <w:t>农业农村、财政部门要以农机购置补贴实施操作流程为主线，逐项工作、逐一环节梳理查找风险点，有针对性地制定防控措施，切实提升补贴政策实施规范性，有效保障补贴资金安全。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楷体_GB2312" w:hAnsi="楷体_GB2312" w:eastAsia="楷体_GB2312" w:cs="楷体_GB2312"/>
          <w:b/>
          <w:bCs/>
          <w:color w:val="000000"/>
          <w:sz w:val="32"/>
          <w:szCs w:val="32"/>
        </w:rPr>
        <w:t>（五）加强监管，严惩违规。</w:t>
      </w:r>
      <w:r>
        <w:rPr>
          <w:rFonts w:hint="eastAsia" w:ascii="方正仿宋_GBK" w:hAnsi="方正仿宋_GBK" w:eastAsia="方正仿宋_GBK" w:cs="方正仿宋_GBK"/>
          <w:color w:val="000000"/>
          <w:sz w:val="32"/>
          <w:szCs w:val="32"/>
          <w:lang w:eastAsia="zh-CN"/>
        </w:rPr>
        <w:t>州、县（市）</w:t>
      </w:r>
      <w:r>
        <w:rPr>
          <w:rFonts w:hint="eastAsia" w:ascii="方正仿宋_GBK" w:hAnsi="方正仿宋_GBK" w:eastAsia="方正仿宋_GBK" w:cs="方正仿宋_GBK"/>
          <w:color w:val="000000"/>
          <w:sz w:val="32"/>
          <w:szCs w:val="32"/>
        </w:rPr>
        <w:t>要全面贯彻本方案和《农业农村部办公厅、财政部办公厅关于进一步加强农机购置补贴政策监管强化纪律约束的通知》（农办机〔2019〕6号）《农业部办公厅、财政部办公厅关于印发〈农业机械购置补贴产品违规经营行为处理办法（试行）〉的通知》（农办财〔2017〕26号）要求，认真落实风险防控责任和异常情形主动报告制度，严格信用管理和农机产销企业承诺制，充分发挥专业机构的技术优势和大数据的信息优势，有效开展违规行为全流程分析排查，强化农财两部门联合查处和省际跨区联动处理，从严整治突出违规行为，有效维护政策实施良好秩序。</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w:t>
      </w:r>
      <w:r>
        <w:rPr>
          <w:rFonts w:hint="eastAsia" w:ascii="方正仿宋_GBK" w:hAnsi="方正仿宋_GBK" w:eastAsia="方正仿宋_GBK" w:cs="方正仿宋_GBK"/>
          <w:color w:val="000000"/>
          <w:sz w:val="32"/>
          <w:szCs w:val="32"/>
          <w:lang w:eastAsia="zh-CN"/>
        </w:rPr>
        <w:t>县</w:t>
      </w:r>
      <w:r>
        <w:rPr>
          <w:rFonts w:hint="eastAsia" w:ascii="方正仿宋_GBK" w:hAnsi="方正仿宋_GBK" w:eastAsia="方正仿宋_GBK" w:cs="方正仿宋_GBK"/>
          <w:color w:val="000000"/>
          <w:sz w:val="32"/>
          <w:szCs w:val="32"/>
        </w:rPr>
        <w:t>（市）农业农村、财政部门要根据本实施方案，结合实际制定印发本地2021-2023年实施方案，并抄报自治区农业农村</w:t>
      </w:r>
      <w:r>
        <w:rPr>
          <w:rFonts w:hint="eastAsia" w:ascii="方正仿宋_GBK" w:hAnsi="方正仿宋_GBK" w:eastAsia="方正仿宋_GBK" w:cs="方正仿宋_GBK"/>
          <w:color w:val="000000"/>
          <w:sz w:val="32"/>
          <w:szCs w:val="32"/>
          <w:lang w:eastAsia="zh-CN"/>
        </w:rPr>
        <w:t>局</w:t>
      </w:r>
      <w:r>
        <w:rPr>
          <w:rFonts w:hint="eastAsia" w:ascii="方正仿宋_GBK" w:hAnsi="方正仿宋_GBK" w:eastAsia="方正仿宋_GBK" w:cs="方正仿宋_GBK"/>
          <w:color w:val="000000"/>
          <w:sz w:val="32"/>
          <w:szCs w:val="32"/>
        </w:rPr>
        <w:t>、财政</w:t>
      </w:r>
      <w:r>
        <w:rPr>
          <w:rFonts w:hint="eastAsia" w:ascii="方正仿宋_GBK" w:hAnsi="方正仿宋_GBK" w:eastAsia="方正仿宋_GBK" w:cs="方正仿宋_GBK"/>
          <w:color w:val="000000"/>
          <w:sz w:val="32"/>
          <w:szCs w:val="32"/>
          <w:lang w:eastAsia="zh-CN"/>
        </w:rPr>
        <w:t>局</w:t>
      </w:r>
      <w:r>
        <w:rPr>
          <w:rFonts w:hint="eastAsia" w:ascii="方正仿宋_GBK" w:hAnsi="方正仿宋_GBK" w:eastAsia="方正仿宋_GBK" w:cs="方正仿宋_GBK"/>
          <w:color w:val="000000"/>
          <w:sz w:val="32"/>
          <w:szCs w:val="32"/>
        </w:rPr>
        <w:t>。每年12月1日前，要将全年中央财政农机购置补贴政策实施（含试点工作开展情况）总结报告报送</w:t>
      </w:r>
      <w:r>
        <w:rPr>
          <w:rFonts w:hint="eastAsia" w:ascii="方正仿宋_GBK" w:hAnsi="方正仿宋_GBK" w:eastAsia="方正仿宋_GBK" w:cs="方正仿宋_GBK"/>
          <w:color w:val="000000"/>
          <w:sz w:val="32"/>
          <w:szCs w:val="32"/>
          <w:lang w:eastAsia="zh-CN"/>
        </w:rPr>
        <w:t>自治州</w:t>
      </w:r>
      <w:r>
        <w:rPr>
          <w:rFonts w:hint="eastAsia" w:ascii="方正仿宋_GBK" w:hAnsi="方正仿宋_GBK" w:eastAsia="方正仿宋_GBK" w:cs="方正仿宋_GBK"/>
          <w:color w:val="000000"/>
          <w:sz w:val="32"/>
          <w:szCs w:val="32"/>
        </w:rPr>
        <w:t>农业农村</w:t>
      </w:r>
      <w:r>
        <w:rPr>
          <w:rFonts w:hint="eastAsia" w:ascii="方正仿宋_GBK" w:hAnsi="方正仿宋_GBK" w:eastAsia="方正仿宋_GBK" w:cs="方正仿宋_GBK"/>
          <w:color w:val="000000"/>
          <w:sz w:val="32"/>
          <w:szCs w:val="32"/>
          <w:lang w:eastAsia="zh-CN"/>
        </w:rPr>
        <w:t>局</w:t>
      </w:r>
      <w:r>
        <w:rPr>
          <w:rFonts w:hint="eastAsia" w:ascii="方正仿宋_GBK" w:hAnsi="方正仿宋_GBK" w:eastAsia="方正仿宋_GBK" w:cs="方正仿宋_GBK"/>
          <w:color w:val="000000"/>
          <w:sz w:val="32"/>
          <w:szCs w:val="32"/>
        </w:rPr>
        <w:t>、财政</w:t>
      </w:r>
      <w:r>
        <w:rPr>
          <w:rFonts w:hint="eastAsia" w:ascii="方正仿宋_GBK" w:hAnsi="方正仿宋_GBK" w:eastAsia="方正仿宋_GBK" w:cs="方正仿宋_GBK"/>
          <w:color w:val="000000"/>
          <w:sz w:val="32"/>
          <w:szCs w:val="32"/>
          <w:lang w:eastAsia="zh-CN"/>
        </w:rPr>
        <w:t>局</w:t>
      </w:r>
      <w:r>
        <w:rPr>
          <w:rFonts w:hint="eastAsia" w:ascii="方正仿宋_GBK" w:hAnsi="方正仿宋_GBK" w:eastAsia="方正仿宋_GBK" w:cs="方正仿宋_GBK"/>
          <w:color w:val="000000"/>
          <w:sz w:val="32"/>
          <w:szCs w:val="32"/>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color w:val="000000"/>
          <w:sz w:val="32"/>
          <w:szCs w:val="32"/>
          <w:lang w:bidi="ar"/>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color w:val="000000"/>
          <w:sz w:val="32"/>
          <w:szCs w:val="32"/>
          <w:lang w:bidi="ar"/>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color w:val="000000"/>
          <w:sz w:val="32"/>
          <w:szCs w:val="32"/>
          <w:lang w:bidi="ar"/>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color w:val="000000"/>
          <w:sz w:val="32"/>
          <w:szCs w:val="32"/>
          <w:lang w:bidi="ar"/>
        </w:rPr>
      </w:pPr>
      <w:r>
        <w:rPr>
          <w:rFonts w:hint="eastAsia" w:ascii="楷体_GB2312" w:hAnsi="楷体_GB2312" w:eastAsia="楷体_GB2312" w:cs="楷体_GB2312"/>
          <w:color w:val="000000"/>
          <w:sz w:val="32"/>
          <w:szCs w:val="32"/>
          <w:lang w:bidi="ar"/>
        </w:rPr>
        <w:t>附件2</w:t>
      </w:r>
    </w:p>
    <w:p>
      <w:pPr>
        <w:pStyle w:val="2"/>
        <w:keepNext w:val="0"/>
        <w:keepLines w:val="0"/>
        <w:pageBreakBefore w:val="0"/>
        <w:widowControl w:val="0"/>
        <w:kinsoku/>
        <w:wordWrap/>
        <w:overflowPunct/>
        <w:topLinePunct w:val="0"/>
        <w:autoSpaceDE/>
        <w:autoSpaceDN/>
        <w:bidi w:val="0"/>
        <w:adjustRightInd/>
        <w:spacing w:before="0" w:beforeAutospacing="0" w:after="0" w:afterAutospacing="0" w:line="560" w:lineRule="exact"/>
        <w:jc w:val="center"/>
        <w:textAlignment w:val="auto"/>
        <w:rPr>
          <w:rFonts w:ascii="黑体" w:hAnsi="黑体" w:eastAsia="黑体" w:cs="黑体"/>
          <w:b w:val="0"/>
          <w:bCs w:val="0"/>
          <w:color w:val="000000"/>
          <w:sz w:val="32"/>
          <w:szCs w:val="32"/>
          <w:lang w:bidi="ar"/>
        </w:rPr>
      </w:pPr>
      <w:bookmarkStart w:id="0" w:name="_Toc26438089"/>
      <w:bookmarkStart w:id="1" w:name="_Toc26437937"/>
      <w:bookmarkStart w:id="2" w:name="_Toc26450801"/>
    </w:p>
    <w:p>
      <w:pPr>
        <w:pStyle w:val="2"/>
        <w:keepNext w:val="0"/>
        <w:keepLines w:val="0"/>
        <w:pageBreakBefore w:val="0"/>
        <w:widowControl w:val="0"/>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bidi="ar"/>
        </w:rPr>
        <w:t>2021-2023年新疆维吾尔自治区农机购置补贴机具种类范围</w:t>
      </w:r>
      <w:bookmarkEnd w:id="0"/>
      <w:bookmarkEnd w:id="1"/>
      <w:bookmarkEnd w:id="2"/>
    </w:p>
    <w:p>
      <w:pPr>
        <w:pStyle w:val="3"/>
        <w:keepNext w:val="0"/>
        <w:keepLines w:val="0"/>
        <w:pageBreakBefore w:val="0"/>
        <w:kinsoku/>
        <w:wordWrap/>
        <w:overflowPunct/>
        <w:topLinePunct w:val="0"/>
        <w:autoSpaceDE/>
        <w:autoSpaceDN/>
        <w:bidi w:val="0"/>
        <w:adjustRightInd/>
        <w:spacing w:before="0" w:beforeLines="0" w:after="0" w:afterLines="0" w:line="560" w:lineRule="exact"/>
        <w:textAlignment w:val="auto"/>
        <w:rPr>
          <w:rFonts w:hint="eastAsia" w:ascii="楷体_GB2312" w:hAnsi="楷体_GB2312" w:eastAsia="楷体_GB2312" w:cs="楷体_GB2312"/>
          <w:b/>
          <w:bCs/>
          <w:color w:val="000000"/>
          <w:sz w:val="32"/>
          <w:szCs w:val="32"/>
          <w:lang w:bidi="ar"/>
        </w:rPr>
      </w:pPr>
      <w:r>
        <w:rPr>
          <w:rFonts w:hint="eastAsia" w:ascii="楷体_GB2312" w:hAnsi="楷体_GB2312" w:eastAsia="楷体_GB2312" w:cs="楷体_GB2312"/>
          <w:b/>
          <w:bCs/>
          <w:color w:val="000000"/>
          <w:sz w:val="32"/>
          <w:szCs w:val="32"/>
          <w:lang w:bidi="ar"/>
        </w:rPr>
        <w:t>（15大类42个小类15</w:t>
      </w:r>
      <w:r>
        <w:rPr>
          <w:rFonts w:hint="eastAsia" w:ascii="楷体_GB2312" w:hAnsi="楷体_GB2312" w:eastAsia="楷体_GB2312" w:cs="楷体_GB2312"/>
          <w:b/>
          <w:bCs/>
          <w:color w:val="000000"/>
          <w:sz w:val="32"/>
          <w:szCs w:val="32"/>
          <w:lang w:val="en" w:bidi="ar"/>
        </w:rPr>
        <w:t>5</w:t>
      </w:r>
      <w:r>
        <w:rPr>
          <w:rFonts w:hint="eastAsia" w:ascii="楷体_GB2312" w:hAnsi="楷体_GB2312" w:eastAsia="楷体_GB2312" w:cs="楷体_GB2312"/>
          <w:b/>
          <w:bCs/>
          <w:color w:val="000000"/>
          <w:sz w:val="32"/>
          <w:szCs w:val="32"/>
          <w:lang w:bidi="ar"/>
        </w:rPr>
        <w:t>个品目）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1.耕整地机械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1.1耕地机械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1.1.1铧式犁</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1.1.2圆盘犁</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1.1.3旋耕机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1.1.4深松机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1.1.5开沟机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1.1.6耕整机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1.1.7微耕机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1.2整地机械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1.2.1圆盘耙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1.2.2起垄机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1.2.3灭茬机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1.2.4筑埂机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1.2.5铺膜机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1.2.6联合整地机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1.2.7埋茬起浆机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2.种植施肥机械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2.1播种机械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2.1.1条播机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2.1.2穴播机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2.1.3小粒种子播种机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2.1.4根茎作物播种机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2.1.5免耕播种机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2.1.6铺膜播种机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2.1.7水稻直播机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2.1.8精量播种机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2.1.9整地施肥播种机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2.2育苗机械设备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2.2.1种子播前处理设备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2.2.2营养钵压制机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2.2.3秧盘播种成套设备（含床土处理）</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2.3栽植机械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2.3.1水稻插秧机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2.3.2秧苗移栽机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2.4施肥机械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2.4.1施肥机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2.4.2撒肥机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2.4.3追肥机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3.田间管理机械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3.1中耕机械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3.1.1中耕机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3.1.2培土机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3.1.3埋藤机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3.1.4田园管理机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3.2植保机械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3.2.1动力喷雾机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3.2.2喷杆喷雾机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3.2.3风送喷雾机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3.2.4植保无人驾驶航空器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3.3修剪机械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3.3.2果树修剪机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3.3.</w:t>
      </w:r>
      <w:r>
        <w:rPr>
          <w:rFonts w:hint="eastAsia" w:ascii="仿宋_GB2312" w:hAnsi="仿宋_GB2312" w:eastAsia="仿宋_GB2312" w:cs="仿宋_GB2312"/>
          <w:color w:val="000000"/>
          <w:sz w:val="32"/>
          <w:szCs w:val="32"/>
        </w:rPr>
        <w:t>3枝条切碎机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4.收获机械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4.1谷物收获机械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4.1.1割晒机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4.1.2自走轮式谷物联合收割机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4.1.3自走履带式谷物联合收割机（全喂入）</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4.1.4半喂入联合收割机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4.2玉米收获机械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4.2.1自走式玉米收获机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4.2.2自走式玉米籽粒联合收获机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4.2.3穗茎兼收玉米收获机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4.2.4玉米收获专用割台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4.3棉麻作物收获机械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4.3.1棉花收获机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4.4果实收获机械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4.4.1</w:t>
      </w:r>
      <w:r>
        <w:rPr>
          <w:rFonts w:ascii="仿宋_GB2312" w:hAnsi="仿宋_GB2312" w:eastAsia="仿宋_GB2312" w:cs="仿宋_GB2312"/>
          <w:color w:val="000000"/>
          <w:sz w:val="32"/>
          <w:szCs w:val="32"/>
        </w:rPr>
        <w:t>果实捡拾机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4.4.2番茄收获机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4.4.3</w:t>
      </w:r>
      <w:r>
        <w:rPr>
          <w:rFonts w:hint="eastAsia" w:ascii="仿宋_GB2312" w:hAnsi="仿宋_GB2312" w:eastAsia="仿宋_GB2312" w:cs="仿宋_GB2312"/>
          <w:color w:val="000000"/>
          <w:sz w:val="32"/>
          <w:szCs w:val="32"/>
        </w:rPr>
        <w:t>辣椒收获机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4.5蔬菜收获机械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4.5.1果类蔬菜收获机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4.7籽粒作物收获机械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4.7.1油菜籽收获机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4.7.2葵花籽收获机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4.8根茎作物收获机械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4.8.1薯类收获机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4.8.2甜菜收获机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4.8.5花生收获机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4.9饲料作物收获机械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4.9.1割草机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4.9.2搂草机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4.9.3打（压）捆机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4.9.4圆草捆包膜机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4.9.5青饲料收获机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4.10茎秆收集处理机械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4.10.1秸秆粉碎还田机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4.10.2高秆作物割晒机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收获后处理机械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 xml:space="preserve">  </w:t>
      </w:r>
      <w:r>
        <w:rPr>
          <w:rFonts w:hint="eastAsia" w:ascii="楷体_GB2312" w:hAnsi="楷体_GB2312" w:eastAsia="楷体_GB2312" w:cs="楷体_GB2312"/>
          <w:b/>
          <w:bCs/>
          <w:color w:val="000000"/>
          <w:sz w:val="32"/>
          <w:szCs w:val="32"/>
          <w:lang w:val="en-US" w:eastAsia="zh-CN"/>
        </w:rPr>
        <w:t xml:space="preserve">  </w:t>
      </w:r>
      <w:r>
        <w:rPr>
          <w:rFonts w:hint="eastAsia" w:ascii="楷体_GB2312" w:hAnsi="楷体_GB2312" w:eastAsia="楷体_GB2312" w:cs="楷体_GB2312"/>
          <w:b/>
          <w:bCs/>
          <w:color w:val="000000"/>
          <w:sz w:val="32"/>
          <w:szCs w:val="32"/>
        </w:rPr>
        <w:t>5.1脱粒机械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5.1.1稻麦脱粒机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5.1.2玉米脱粒机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5.1.3花生摘果机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5.2清选机械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5.2.1风筛清选机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5.2.2重力清选机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5.2.3窝眼清选机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5.2.4复式清选机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5.3干燥机械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5.3.1谷物烘干机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5.3.2果蔬烘干机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5.3.3油菜籽烘干机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5.4种子加工机械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5.4.1种子清选机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6.农产品初加工机械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6.1碾米机械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6.1.1碾米机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6.1.2组合米机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6.2磨粉（浆）机械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6.2.1磨粉机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楷体_GB2312" w:hAnsi="楷体_GB2312" w:eastAsia="楷体_GB2312" w:cs="楷体_GB2312"/>
          <w:b/>
          <w:bCs/>
          <w:color w:val="000000"/>
          <w:sz w:val="32"/>
          <w:szCs w:val="32"/>
        </w:rPr>
      </w:pPr>
      <w:r>
        <w:rPr>
          <w:rFonts w:hint="eastAsia" w:ascii="仿宋_GB2312" w:hAnsi="仿宋_GB2312" w:eastAsia="仿宋_GB2312" w:cs="仿宋_GB2312"/>
          <w:color w:val="000000"/>
          <w:sz w:val="32"/>
          <w:szCs w:val="32"/>
        </w:rPr>
        <w:t>6.2.2磨浆机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 xml:space="preserve">  </w:t>
      </w:r>
      <w:r>
        <w:rPr>
          <w:rFonts w:hint="eastAsia" w:ascii="楷体_GB2312" w:hAnsi="楷体_GB2312" w:eastAsia="楷体_GB2312" w:cs="楷体_GB2312"/>
          <w:b/>
          <w:bCs/>
          <w:color w:val="000000"/>
          <w:sz w:val="32"/>
          <w:szCs w:val="32"/>
          <w:lang w:val="en-US" w:eastAsia="zh-CN"/>
        </w:rPr>
        <w:t xml:space="preserve">  </w:t>
      </w:r>
      <w:r>
        <w:rPr>
          <w:rFonts w:hint="eastAsia" w:ascii="楷体_GB2312" w:hAnsi="楷体_GB2312" w:eastAsia="楷体_GB2312" w:cs="楷体_GB2312"/>
          <w:b/>
          <w:bCs/>
          <w:color w:val="000000"/>
          <w:sz w:val="32"/>
          <w:szCs w:val="32"/>
        </w:rPr>
        <w:t>6.3果蔬加工机械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6.3.1水果分级机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6.3.2水果清洗机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6.3.3水果打蜡机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6.3.4蔬菜清洗机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6.5剥壳（去皮）机械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6.5.1玉米剥皮机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6.5.2花生脱壳机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6.5.3干坚果脱壳机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6.5.4剥（刮）麻机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7.农用搬运机械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 xml:space="preserve"> </w:t>
      </w:r>
      <w:r>
        <w:rPr>
          <w:rFonts w:hint="eastAsia" w:ascii="楷体_GB2312" w:hAnsi="楷体_GB2312" w:eastAsia="楷体_GB2312" w:cs="楷体_GB2312"/>
          <w:b/>
          <w:bCs/>
          <w:color w:val="000000"/>
          <w:sz w:val="32"/>
          <w:szCs w:val="32"/>
        </w:rPr>
        <w:t>7.1装卸机械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7.1.1抓草机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8.排灌机械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8.1水泵</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8.1.1离心泵</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8.1.2潜水电泵</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 xml:space="preserve"> </w:t>
      </w:r>
      <w:r>
        <w:rPr>
          <w:rFonts w:hint="eastAsia" w:ascii="楷体_GB2312" w:hAnsi="楷体_GB2312" w:eastAsia="楷体_GB2312" w:cs="楷体_GB2312"/>
          <w:b/>
          <w:bCs/>
          <w:color w:val="000000"/>
          <w:sz w:val="32"/>
          <w:szCs w:val="32"/>
        </w:rPr>
        <w:t>8.2喷灌机械设备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8.2.1喷灌机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8.2.2微灌设备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8.2.3灌溉首部（含灌溉水增压设备、过滤设备、水质软化设备、灌溉施肥一体化设备以及营养液消毒设备等）</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9.畜牧机械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9.1饲料（草）加工机械设备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9.1.1铡草机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9.1.2青贮切碎机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9.1.3揉丝机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9.1.4压块机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9.1.5饲料（草）粉碎机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9.1.6饲料混合机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9.1.7颗粒饲料压制机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9.1.8饲料制备（搅拌）机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9.2饲养机械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9.2.1孵化机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9.2.2喂料机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9.2.3送料机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9.2.4清粪机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9.2.5粪污固液分离机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9.3畜产品采集加工机械设备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9.3.1挤奶机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9.3.2剪羊毛机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9.3.3贮奶（冷藏）罐</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10.水产机械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10.1水产养殖机械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10.1.1增氧机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10.1.2投饲机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网箱养殖设备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10.2水产捕捞机械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10.2.1绞纲机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10.2.2船用油污水分离装置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11.农业废弃物利用处理设备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11.1废弃物处理设备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11.1.1废弃物料烘干机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残膜回收机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沼液沼渣抽排设备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秸秆压块（粒、棒）机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病死畜禽无害化处理设备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有机废弃物好氧发酵翻堆机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有机废弃物干式厌氧发酵装置</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12.农田基本建设机械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12.1挖掘机械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12.1.1挖坑机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12.2</w:t>
      </w:r>
      <w:r>
        <w:rPr>
          <w:rFonts w:hint="eastAsia" w:ascii="仿宋_GB2312" w:hAnsi="仿宋_GB2312" w:eastAsia="仿宋_GB2312" w:cs="仿宋_GB2312"/>
          <w:color w:val="000000"/>
          <w:sz w:val="32"/>
          <w:szCs w:val="32"/>
        </w:rPr>
        <w:t>平地机械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.1平地机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b w:val="0"/>
          <w:bCs w:val="0"/>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b w:val="0"/>
          <w:bCs w:val="0"/>
          <w:color w:val="000000"/>
          <w:sz w:val="32"/>
          <w:szCs w:val="32"/>
        </w:rPr>
        <w:t>13.设施农业设备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13.1温室大棚设备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13.1.1电动卷帘机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13.1.2热风炉</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13.2食用菌生产设备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.1蒸汽灭菌设备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13.2.2食用菌料装瓶（袋）机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14.动力机械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14.1拖拉机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14.1.1轮式拖拉机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14.1.2手扶拖拉机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14.1.3履带式拖拉机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15.其他机械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15.1养蜂设备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15.1.1养蜂平台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楷体_GB2312" w:hAnsi="楷体_GB2312" w:eastAsia="楷体_GB2312" w:cs="楷体_GB2312"/>
          <w:b/>
          <w:bCs/>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楷体_GB2312" w:hAnsi="楷体_GB2312" w:eastAsia="楷体_GB2312" w:cs="楷体_GB2312"/>
          <w:b/>
          <w:bCs/>
          <w:color w:val="000000"/>
          <w:sz w:val="32"/>
          <w:szCs w:val="32"/>
        </w:rPr>
        <w:t>15.2其他机械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驱动耙</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籽棉清理机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水帘降温设备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热水加温系统</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简易保鲜储藏设备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水井钻机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旋耕播种机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大米色选机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杂粮色选机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秸秆膨化机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畜禽粪便发酵处理机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农业用北斗终端（含渔船用）</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沼气发电机组</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15.2.1</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有机肥加工设备</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根（块）茎作物收获机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果园作业平台</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w:t>
      </w: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果园轨道运输机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15.2.2</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秸秆收集机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24</w:t>
      </w:r>
      <w:r>
        <w:rPr>
          <w:rFonts w:hint="eastAsia" w:ascii="仿宋_GB2312" w:hAnsi="仿宋_GB2312" w:eastAsia="仿宋_GB2312" w:cs="仿宋_GB2312"/>
          <w:color w:val="000000"/>
          <w:sz w:val="32"/>
          <w:szCs w:val="32"/>
        </w:rPr>
        <w:t>瓜果取籽机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脱蓬（脯）机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15.2.2</w:t>
      </w:r>
      <w:r>
        <w:rPr>
          <w:rFonts w:hint="eastAsia" w:ascii="仿宋_GB2312" w:hAnsi="仿宋_GB2312" w:eastAsia="仿宋_GB2312" w:cs="仿宋_GB2312"/>
          <w:color w:val="000000"/>
          <w:sz w:val="32"/>
          <w:szCs w:val="32"/>
        </w:rPr>
        <w:t>6</w:t>
      </w:r>
      <w:r>
        <w:rPr>
          <w:rFonts w:ascii="仿宋_GB2312" w:hAnsi="仿宋_GB2312" w:eastAsia="仿宋_GB2312" w:cs="仿宋_GB2312"/>
          <w:color w:val="000000"/>
          <w:sz w:val="32"/>
          <w:szCs w:val="32"/>
        </w:rPr>
        <w:t>莲子剥壳去皮机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jc w:val="both"/>
        <w:textAlignment w:val="auto"/>
      </w:pPr>
      <w:r>
        <w:rPr>
          <w:rFonts w:ascii="仿宋_GB2312" w:hAnsi="仿宋_GB2312" w:eastAsia="仿宋_GB2312" w:cs="仿宋_GB2312"/>
          <w:color w:val="000000"/>
          <w:sz w:val="32"/>
          <w:szCs w:val="32"/>
        </w:rPr>
        <w:t>15.2.27水产养殖水质监控设备</w:t>
      </w:r>
    </w:p>
    <w:p/>
    <w:p>
      <w:pPr>
        <w:pStyle w:val="5"/>
        <w:widowControl w:val="0"/>
        <w:snapToGrid w:val="0"/>
        <w:spacing w:before="0" w:beforeAutospacing="0" w:after="0" w:afterAutospacing="0" w:line="540" w:lineRule="exact"/>
        <w:jc w:val="both"/>
        <w:rPr>
          <w:rFonts w:hint="eastAsia" w:ascii="黑体" w:hAnsi="黑体" w:eastAsia="黑体"/>
          <w:color w:val="000000"/>
          <w:sz w:val="32"/>
          <w:szCs w:val="32"/>
          <w:lang w:bidi="ar"/>
        </w:rPr>
      </w:pPr>
    </w:p>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56455"/>
    <w:rsid w:val="4D9C5669"/>
    <w:rsid w:val="76F5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spacing w:before="100" w:beforeLines="100" w:after="100" w:afterLines="100"/>
      <w:ind w:firstLine="0" w:firstLineChars="0"/>
      <w:jc w:val="center"/>
      <w:outlineLvl w:val="1"/>
    </w:pPr>
    <w:rPr>
      <w:szCs w:val="36"/>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rPr>
      <w:rFonts w:ascii="Calibri" w:hAnsi="Calibri"/>
      <w:kern w:val="2"/>
      <w:sz w:val="21"/>
      <w:szCs w:val="2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4"/>
    <w:next w:val="4"/>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Administrator.SKY-20120726DRF</dc:creator>
  <cp:lastModifiedBy>12345</cp:lastModifiedBy>
  <dcterms:modified xsi:type="dcterms:W3CDTF">2021-09-22T03:52:41Z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D51E1BA4BCF14CACAA2F0FFA34DAFF2A</vt:lpwstr>
  </property>
</Properties>
</file>