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Style w:val="8"/>
        </w:rPr>
      </w:pPr>
    </w:p>
    <w:p>
      <w:pPr>
        <w:pStyle w:val="2"/>
      </w:pPr>
    </w:p>
    <w:p/>
    <w:p>
      <w:pPr>
        <w:pStyle w:val="2"/>
      </w:pPr>
    </w:p>
    <w:p/>
    <w:p>
      <w:pPr>
        <w:pStyle w:val="2"/>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阿克陶县部门单位整体支出绩效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32"/>
          <w:szCs w:val="32"/>
        </w:rPr>
        <w:t>部门单位名称（公章）：</w:t>
      </w:r>
      <w:r>
        <w:rPr>
          <w:rFonts w:hint="eastAsia" w:ascii="仿宋_GB2312" w:hAnsi="仿宋_GB2312" w:eastAsia="仿宋_GB2312" w:cs="仿宋_GB2312"/>
          <w:kern w:val="0"/>
          <w:sz w:val="28"/>
          <w:szCs w:val="28"/>
        </w:rPr>
        <w:t>阿克陶县政务服务和公共资源交易中心</w:t>
      </w:r>
    </w:p>
    <w:p>
      <w:pPr>
        <w:spacing w:line="7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32"/>
          <w:szCs w:val="32"/>
        </w:rPr>
        <w:t xml:space="preserve">填报时间： </w:t>
      </w:r>
      <w:r>
        <w:rPr>
          <w:rFonts w:hint="eastAsia" w:ascii="仿宋_GB2312" w:hAnsi="仿宋_GB2312" w:eastAsia="仿宋_GB2312" w:cs="仿宋_GB2312"/>
          <w:kern w:val="0"/>
          <w:sz w:val="28"/>
          <w:szCs w:val="28"/>
        </w:rPr>
        <w:t>2022 年3  月  16日</w:t>
      </w:r>
    </w:p>
    <w:p>
      <w:pPr>
        <w:spacing w:line="700" w:lineRule="exact"/>
        <w:jc w:val="left"/>
        <w:rPr>
          <w:rFonts w:ascii="仿宋_GB2312" w:hAnsi="仿宋_GB2312" w:eastAsia="仿宋_GB2312" w:cs="仿宋_GB2312"/>
          <w:kern w:val="0"/>
          <w:sz w:val="28"/>
          <w:szCs w:val="28"/>
        </w:rPr>
      </w:pP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1.部门主要职能</w:t>
      </w:r>
    </w:p>
    <w:p>
      <w:pPr>
        <w:snapToGrid w:val="0"/>
        <w:spacing w:line="52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自治州党委编委《关于阿克陶县部分科级事业单位调整的批复》（克党编委﹝2020﹞66号）和县委编委会议精神，制定本规定。将阿克陶县公共资源交易中心整建制并入阿克陶县行政服务中心，并更名为阿克陶县政务服务和公共资源交易中心，为县人民政府直属的公益一类正科级事业单位。阿克陶县政务服务和公共资源交易中心设以下内设机构：</w:t>
      </w:r>
    </w:p>
    <w:p>
      <w:pPr>
        <w:snapToGrid w:val="0"/>
        <w:spacing w:line="52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1、综合办公室。</w:t>
      </w:r>
      <w:r>
        <w:rPr>
          <w:rFonts w:hint="eastAsia" w:ascii="仿宋_GB2312" w:hAnsi="仿宋_GB2312" w:eastAsia="仿宋_GB2312" w:cs="仿宋_GB2312"/>
          <w:sz w:val="28"/>
          <w:szCs w:val="28"/>
        </w:rPr>
        <w:t>承担文电、会务、档案等中心日常运转工作；承担综合性文稿起草、应急、安全、保密、信息、宣传、综治和重要活动组织协调等工作；承担中心党支部、精神文明建设等工作；承担县政务服务和公共资源交易规范化、标准化工作。负责县政务服务大厅日常管理，受理有关部门进入、退出大厅的相关事宜；负责对进驻大厅的部门及其工作人员提供综合服务；负责政务服务和公共资源交易中心日常管理，教育培训等工作；负责中心资产和财务管理、财务制度规范化建设；承担中心车辆、固定资产等后勤保障服务工作。负责政务服务大厅及公共资源交易活动日常的监督检查，维护政务服务和公共资源交易场所秩序；受理、移送、协助查处政务服务和公共资源交易质疑、投诉等；配合执法机关进场监督和执法等；负责中心机构编制、组织人事、职称评定及退休人员管理等工作；承担信访等工作。</w:t>
      </w:r>
    </w:p>
    <w:p>
      <w:pPr>
        <w:snapToGrid w:val="0"/>
        <w:spacing w:line="520" w:lineRule="exact"/>
        <w:ind w:firstLine="643" w:firstLineChars="200"/>
        <w:rPr>
          <w:rFonts w:ascii="仿宋_GB2312" w:hAnsi="仿宋_GB2312" w:eastAsia="仿宋_GB2312" w:cs="仿宋_GB2312"/>
          <w:sz w:val="28"/>
          <w:szCs w:val="28"/>
        </w:rPr>
      </w:pPr>
      <w:r>
        <w:rPr>
          <w:rFonts w:hint="eastAsia" w:ascii="仿宋_GB2312" w:hAnsi="仿宋_GB2312" w:eastAsia="仿宋_GB2312" w:cs="仿宋_GB2312"/>
          <w:b/>
          <w:bCs/>
          <w:sz w:val="32"/>
          <w:szCs w:val="32"/>
        </w:rPr>
        <w:t>2、政务服务综合室。</w:t>
      </w:r>
      <w:r>
        <w:rPr>
          <w:rFonts w:hint="eastAsia" w:ascii="仿宋_GB2312" w:hAnsi="仿宋_GB2312" w:eastAsia="仿宋_GB2312" w:cs="仿宋_GB2312"/>
          <w:sz w:val="28"/>
          <w:szCs w:val="28"/>
        </w:rPr>
        <w:t>承担自治区一体化在线政务服务平台县本级业务系统的对接、建设、管理；负责政务服务数据汇总共享，组织开展政务服务事项梳理、流程优化再造、业务对接等具体工作，推动政务服务“一网通办”；对政务服务提出政策和标准建议，推进全县政务服务规范化、标准化。承担县“12345”服务平台应用管理和公共资源交易平台管理工作，推进全县数据整合共享，监督政务服务线上投诉建议处理情况；承担一体化在线政务服务平台和公共资源交易平台运行环境保障及建设运维工作；负责中心部门信息化建设工作；承担县政务服务大厅和公共资源交易电子化设备维护及建设工作。</w:t>
      </w:r>
    </w:p>
    <w:p>
      <w:pPr>
        <w:snapToGrid w:val="0"/>
        <w:spacing w:line="520" w:lineRule="exact"/>
        <w:ind w:firstLine="643" w:firstLineChars="200"/>
        <w:rPr>
          <w:rFonts w:ascii="仿宋_GB2312" w:hAnsi="仿宋_GB2312" w:eastAsia="仿宋_GB2312" w:cs="仿宋_GB2312"/>
          <w:sz w:val="28"/>
          <w:szCs w:val="28"/>
        </w:rPr>
      </w:pPr>
      <w:r>
        <w:rPr>
          <w:rFonts w:hint="eastAsia" w:ascii="仿宋_GB2312" w:hAnsi="仿宋_GB2312" w:eastAsia="仿宋_GB2312" w:cs="仿宋_GB2312"/>
          <w:b/>
          <w:bCs/>
          <w:sz w:val="32"/>
          <w:szCs w:val="32"/>
        </w:rPr>
        <w:t>3、公共资源交易综合室。</w:t>
      </w:r>
      <w:r>
        <w:rPr>
          <w:rFonts w:hint="eastAsia" w:ascii="仿宋_GB2312" w:hAnsi="仿宋_GB2312" w:eastAsia="仿宋_GB2312" w:cs="仿宋_GB2312"/>
          <w:sz w:val="28"/>
          <w:szCs w:val="28"/>
        </w:rPr>
        <w:t>负责县本级建设工程项目和国有土地使用权、矿业权出让等自然资源交易活动的场地设施服务工作，为工程承、发包交易各方提供场地、咨询等综合服务工作；负责统筹推进进场交易项目的网上交易；承担服务过程中产生的资料存档等工作。负责县本级政府采购、产权交易的场地服务保障工作，并指导做好各项交易活动信息发布工作；负责统筹推进进场交易项目的网上交易；负责政府采购和产权交易服务过程中产生的资料存档等工作。</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阿克陶县政务服务和公共资源交易中心</w:t>
      </w:r>
      <w:r>
        <w:rPr>
          <w:rFonts w:ascii="仿宋_GB2312" w:hAnsi="仿宋_GB2312" w:eastAsia="仿宋_GB2312" w:cs="仿宋_GB2312"/>
          <w:sz w:val="28"/>
          <w:szCs w:val="28"/>
        </w:rPr>
        <w:t>20</w:t>
      </w:r>
      <w:r>
        <w:rPr>
          <w:rFonts w:hint="eastAsia" w:ascii="仿宋_GB2312" w:hAnsi="仿宋_GB2312" w:eastAsia="仿宋_GB2312" w:cs="仿宋_GB2312"/>
          <w:sz w:val="28"/>
          <w:szCs w:val="28"/>
        </w:rPr>
        <w:t>21</w:t>
      </w:r>
      <w:r>
        <w:rPr>
          <w:rFonts w:ascii="仿宋_GB2312" w:hAnsi="仿宋_GB2312" w:eastAsia="仿宋_GB2312" w:cs="仿宋_GB2312"/>
          <w:sz w:val="28"/>
          <w:szCs w:val="28"/>
        </w:rPr>
        <w:t>年末编制人数</w:t>
      </w:r>
      <w:r>
        <w:rPr>
          <w:rFonts w:hint="eastAsia" w:ascii="仿宋_GB2312" w:hAnsi="仿宋_GB2312" w:eastAsia="仿宋_GB2312" w:cs="仿宋_GB2312"/>
          <w:sz w:val="28"/>
          <w:szCs w:val="28"/>
        </w:rPr>
        <w:t>8</w:t>
      </w:r>
      <w:r>
        <w:rPr>
          <w:rFonts w:ascii="仿宋_GB2312" w:hAnsi="仿宋_GB2312" w:eastAsia="仿宋_GB2312" w:cs="仿宋_GB2312"/>
          <w:sz w:val="28"/>
          <w:szCs w:val="28"/>
        </w:rPr>
        <w:t>名，其中：事业编制</w:t>
      </w:r>
      <w:r>
        <w:rPr>
          <w:rFonts w:hint="eastAsia" w:ascii="仿宋_GB2312" w:hAnsi="仿宋_GB2312" w:eastAsia="仿宋_GB2312" w:cs="仿宋_GB2312"/>
          <w:sz w:val="28"/>
          <w:szCs w:val="28"/>
        </w:rPr>
        <w:t>8</w:t>
      </w:r>
      <w:r>
        <w:rPr>
          <w:rFonts w:ascii="仿宋_GB2312" w:hAnsi="仿宋_GB2312" w:eastAsia="仿宋_GB2312" w:cs="仿宋_GB2312"/>
          <w:sz w:val="28"/>
          <w:szCs w:val="28"/>
        </w:rPr>
        <w:t>名。</w:t>
      </w:r>
    </w:p>
    <w:p>
      <w:pPr>
        <w:pStyle w:val="12"/>
        <w:snapToGrid w:val="0"/>
        <w:spacing w:line="540" w:lineRule="exact"/>
        <w:ind w:firstLine="560"/>
        <w:rPr>
          <w:bCs/>
          <w:sz w:val="28"/>
          <w:szCs w:val="28"/>
        </w:rPr>
      </w:pPr>
      <w:r>
        <w:rPr>
          <w:rFonts w:hint="eastAsia" w:ascii="仿宋_GB2312" w:hAnsi="仿宋_GB2312" w:eastAsia="仿宋_GB2312" w:cs="仿宋_GB2312"/>
          <w:sz w:val="28"/>
          <w:szCs w:val="28"/>
        </w:rPr>
        <w:t>阿克陶县政务服务和公共资源交易中心</w:t>
      </w:r>
      <w:r>
        <w:rPr>
          <w:rFonts w:ascii="仿宋_GB2312" w:hAnsi="仿宋_GB2312" w:eastAsia="仿宋_GB2312" w:cs="仿宋_GB2312"/>
          <w:sz w:val="28"/>
          <w:szCs w:val="28"/>
        </w:rPr>
        <w:t>20</w:t>
      </w:r>
      <w:r>
        <w:rPr>
          <w:rFonts w:hint="eastAsia" w:ascii="仿宋_GB2312" w:hAnsi="仿宋_GB2312" w:eastAsia="仿宋_GB2312" w:cs="仿宋_GB2312"/>
          <w:sz w:val="28"/>
          <w:szCs w:val="28"/>
        </w:rPr>
        <w:t>21</w:t>
      </w:r>
      <w:r>
        <w:rPr>
          <w:rFonts w:ascii="仿宋_GB2312" w:hAnsi="仿宋_GB2312" w:eastAsia="仿宋_GB2312" w:cs="仿宋_GB2312"/>
          <w:sz w:val="28"/>
          <w:szCs w:val="28"/>
        </w:rPr>
        <w:t>年末实有人数</w:t>
      </w:r>
      <w:r>
        <w:rPr>
          <w:rFonts w:hint="eastAsia" w:ascii="仿宋_GB2312" w:hAnsi="仿宋_GB2312" w:eastAsia="仿宋_GB2312" w:cs="仿宋_GB2312"/>
          <w:sz w:val="28"/>
          <w:szCs w:val="28"/>
        </w:rPr>
        <w:t>11</w:t>
      </w:r>
      <w:r>
        <w:rPr>
          <w:rFonts w:ascii="仿宋_GB2312" w:hAnsi="仿宋_GB2312" w:eastAsia="仿宋_GB2312" w:cs="仿宋_GB2312"/>
          <w:sz w:val="28"/>
          <w:szCs w:val="28"/>
        </w:rPr>
        <w:t>名，其中：事业</w:t>
      </w:r>
      <w:r>
        <w:rPr>
          <w:rFonts w:hint="eastAsia" w:ascii="仿宋_GB2312" w:hAnsi="仿宋_GB2312" w:eastAsia="仿宋_GB2312" w:cs="仿宋_GB2312"/>
          <w:sz w:val="28"/>
          <w:szCs w:val="28"/>
        </w:rPr>
        <w:t>实有人数10</w:t>
      </w:r>
      <w:r>
        <w:rPr>
          <w:rFonts w:ascii="仿宋_GB2312" w:hAnsi="仿宋_GB2312" w:eastAsia="仿宋_GB2312" w:cs="仿宋_GB2312"/>
          <w:sz w:val="28"/>
          <w:szCs w:val="28"/>
        </w:rPr>
        <w:t>名</w:t>
      </w:r>
      <w:r>
        <w:rPr>
          <w:rFonts w:hint="eastAsia" w:ascii="仿宋_GB2312" w:hAnsi="仿宋_GB2312" w:eastAsia="仿宋_GB2312" w:cs="仿宋_GB2312"/>
          <w:sz w:val="28"/>
          <w:szCs w:val="28"/>
        </w:rPr>
        <w:t>，长期临聘人员1名。</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2.部门机构设置及人员构成</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阿克陶县政务服务和公共资源交易中心</w:t>
      </w:r>
      <w:r>
        <w:rPr>
          <w:rFonts w:ascii="仿宋_GB2312" w:hAnsi="仿宋_GB2312" w:eastAsia="仿宋_GB2312" w:cs="仿宋_GB2312"/>
          <w:sz w:val="28"/>
          <w:szCs w:val="28"/>
        </w:rPr>
        <w:t>20</w:t>
      </w:r>
      <w:r>
        <w:rPr>
          <w:rFonts w:hint="eastAsia" w:ascii="仿宋_GB2312" w:hAnsi="仿宋_GB2312" w:eastAsia="仿宋_GB2312" w:cs="仿宋_GB2312"/>
          <w:sz w:val="28"/>
          <w:szCs w:val="28"/>
        </w:rPr>
        <w:t>21</w:t>
      </w:r>
      <w:r>
        <w:rPr>
          <w:rFonts w:ascii="仿宋_GB2312" w:hAnsi="仿宋_GB2312" w:eastAsia="仿宋_GB2312" w:cs="仿宋_GB2312"/>
          <w:sz w:val="28"/>
          <w:szCs w:val="28"/>
        </w:rPr>
        <w:t>年末编制人数</w:t>
      </w:r>
      <w:r>
        <w:rPr>
          <w:rFonts w:hint="eastAsia" w:ascii="仿宋_GB2312" w:hAnsi="仿宋_GB2312" w:eastAsia="仿宋_GB2312" w:cs="仿宋_GB2312"/>
          <w:sz w:val="28"/>
          <w:szCs w:val="28"/>
        </w:rPr>
        <w:t>8</w:t>
      </w:r>
      <w:r>
        <w:rPr>
          <w:rFonts w:ascii="仿宋_GB2312" w:hAnsi="仿宋_GB2312" w:eastAsia="仿宋_GB2312" w:cs="仿宋_GB2312"/>
          <w:sz w:val="28"/>
          <w:szCs w:val="28"/>
        </w:rPr>
        <w:t>名，其中：事业编制</w:t>
      </w:r>
      <w:r>
        <w:rPr>
          <w:rFonts w:hint="eastAsia" w:ascii="仿宋_GB2312" w:hAnsi="仿宋_GB2312" w:eastAsia="仿宋_GB2312" w:cs="仿宋_GB2312"/>
          <w:sz w:val="28"/>
          <w:szCs w:val="28"/>
        </w:rPr>
        <w:t>8</w:t>
      </w:r>
      <w:r>
        <w:rPr>
          <w:rFonts w:ascii="仿宋_GB2312" w:hAnsi="仿宋_GB2312" w:eastAsia="仿宋_GB2312" w:cs="仿宋_GB2312"/>
          <w:sz w:val="28"/>
          <w:szCs w:val="28"/>
        </w:rPr>
        <w:t>名。</w:t>
      </w:r>
      <w:r>
        <w:rPr>
          <w:rFonts w:hint="eastAsia" w:ascii="仿宋_GB2312" w:hAnsi="仿宋_GB2312" w:eastAsia="仿宋_GB2312" w:cs="仿宋_GB2312"/>
          <w:sz w:val="28"/>
          <w:szCs w:val="28"/>
        </w:rPr>
        <w:t>阿克陶县政务服务和公共资源交易中心</w:t>
      </w:r>
      <w:r>
        <w:rPr>
          <w:rFonts w:ascii="仿宋_GB2312" w:hAnsi="仿宋_GB2312" w:eastAsia="仿宋_GB2312" w:cs="仿宋_GB2312"/>
          <w:sz w:val="28"/>
          <w:szCs w:val="28"/>
        </w:rPr>
        <w:t>20</w:t>
      </w:r>
      <w:r>
        <w:rPr>
          <w:rFonts w:hint="eastAsia" w:ascii="仿宋_GB2312" w:hAnsi="仿宋_GB2312" w:eastAsia="仿宋_GB2312" w:cs="仿宋_GB2312"/>
          <w:sz w:val="28"/>
          <w:szCs w:val="28"/>
        </w:rPr>
        <w:t>21</w:t>
      </w:r>
      <w:r>
        <w:rPr>
          <w:rFonts w:ascii="仿宋_GB2312" w:hAnsi="仿宋_GB2312" w:eastAsia="仿宋_GB2312" w:cs="仿宋_GB2312"/>
          <w:sz w:val="28"/>
          <w:szCs w:val="28"/>
        </w:rPr>
        <w:t>年末实有人数</w:t>
      </w:r>
      <w:r>
        <w:rPr>
          <w:rFonts w:hint="eastAsia" w:ascii="仿宋_GB2312" w:hAnsi="仿宋_GB2312" w:eastAsia="仿宋_GB2312" w:cs="仿宋_GB2312"/>
          <w:sz w:val="28"/>
          <w:szCs w:val="28"/>
        </w:rPr>
        <w:t>11</w:t>
      </w:r>
      <w:r>
        <w:rPr>
          <w:rFonts w:ascii="仿宋_GB2312" w:hAnsi="仿宋_GB2312" w:eastAsia="仿宋_GB2312" w:cs="仿宋_GB2312"/>
          <w:sz w:val="28"/>
          <w:szCs w:val="28"/>
        </w:rPr>
        <w:t>名，其中：事业</w:t>
      </w:r>
      <w:r>
        <w:rPr>
          <w:rFonts w:hint="eastAsia" w:ascii="仿宋_GB2312" w:hAnsi="仿宋_GB2312" w:eastAsia="仿宋_GB2312" w:cs="仿宋_GB2312"/>
          <w:sz w:val="28"/>
          <w:szCs w:val="28"/>
        </w:rPr>
        <w:t>实有人数10</w:t>
      </w:r>
      <w:r>
        <w:rPr>
          <w:rFonts w:ascii="仿宋_GB2312" w:hAnsi="仿宋_GB2312" w:eastAsia="仿宋_GB2312" w:cs="仿宋_GB2312"/>
          <w:sz w:val="28"/>
          <w:szCs w:val="28"/>
        </w:rPr>
        <w:t>名</w:t>
      </w:r>
      <w:r>
        <w:rPr>
          <w:rFonts w:hint="eastAsia" w:ascii="仿宋_GB2312" w:hAnsi="仿宋_GB2312" w:eastAsia="仿宋_GB2312" w:cs="仿宋_GB2312"/>
          <w:sz w:val="28"/>
          <w:szCs w:val="28"/>
        </w:rPr>
        <w:t>，长期临聘人员1名。</w:t>
      </w:r>
    </w:p>
    <w:p>
      <w:pPr>
        <w:spacing w:line="500" w:lineRule="exact"/>
        <w:ind w:firstLine="640"/>
        <w:rPr>
          <w:rStyle w:val="8"/>
          <w:color w:val="333333"/>
          <w:sz w:val="40"/>
          <w:szCs w:val="48"/>
          <w:lang w:bidi="ar"/>
        </w:rPr>
      </w:pPr>
      <w:r>
        <w:rPr>
          <w:rStyle w:val="8"/>
          <w:rFonts w:hint="eastAsia"/>
          <w:color w:val="333333"/>
          <w:sz w:val="40"/>
          <w:szCs w:val="48"/>
          <w:lang w:bidi="ar"/>
        </w:rPr>
        <w:t>3.</w:t>
      </w:r>
      <w:r>
        <w:rPr>
          <w:rStyle w:val="8"/>
          <w:rFonts w:hint="eastAsia" w:ascii="仿宋_GB2312" w:hAnsi="仿宋_GB2312" w:eastAsia="仿宋_GB2312" w:cs="仿宋_GB2312"/>
          <w:bCs w:val="0"/>
          <w:color w:val="333333"/>
          <w:sz w:val="32"/>
          <w:szCs w:val="32"/>
          <w:lang w:bidi="ar"/>
        </w:rPr>
        <w:t>年度重点工作</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一是强化干部学习教育，持续聚焦总目标。</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二是持续开展群众工作、做好群众的困难帮扶。</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三是完善平台建设，努力提升服务水平。</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四是持续抓好作风建设，遵守各项党规党纪</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（二）决策过程</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我单位决策机制根据行政事业单位内部控制体系建设相关要求，逐步完善《阿克陶县公共资源交易中心党支部会议》、《三重一大会议制度》，根据制度规定；凡涉及到中心改革、发展和稳定关系工作人员切身利益的重大问题，均属于重大事项决策的范围；重要人事任免：后备干部推荐、</w:t>
      </w:r>
      <w:r>
        <w:rPr>
          <w:rFonts w:hint="eastAsia" w:ascii="仿宋_GB2312" w:hAnsi="仿宋_GB2312" w:eastAsia="仿宋_GB2312" w:cs="仿宋_GB2312"/>
          <w:sz w:val="28"/>
          <w:szCs w:val="28"/>
          <w:lang w:eastAsia="zh-CN"/>
        </w:rPr>
        <w:t>选拔</w:t>
      </w:r>
      <w:bookmarkStart w:id="8" w:name="_GoBack"/>
      <w:bookmarkEnd w:id="8"/>
      <w:r>
        <w:rPr>
          <w:rFonts w:hint="eastAsia" w:ascii="仿宋_GB2312" w:hAnsi="仿宋_GB2312" w:eastAsia="仿宋_GB2312" w:cs="仿宋_GB2312"/>
          <w:sz w:val="28"/>
          <w:szCs w:val="28"/>
        </w:rPr>
        <w:t>；领导班子工作分工。重要项目安排：大宗办公物资及设备采购等；上级批准的重大或集体考察学习活动项目经费支出。都需进行单位事项决策。</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1.部门（单位）预算编制及分配依据</w:t>
      </w:r>
    </w:p>
    <w:p>
      <w:pPr>
        <w:ind w:firstLine="560"/>
        <w:rPr>
          <w:rStyle w:val="8"/>
          <w:rFonts w:ascii="仿宋_GB2312" w:hAnsi="仿宋_GB2312" w:eastAsia="仿宋_GB2312" w:cs="仿宋_GB2312"/>
          <w:b w:val="0"/>
          <w:bCs w:val="0"/>
          <w:sz w:val="28"/>
          <w:szCs w:val="28"/>
        </w:rPr>
      </w:pPr>
      <w:r>
        <w:rPr>
          <w:rFonts w:hint="eastAsia" w:ascii="仿宋_GB2312" w:hAnsi="仿宋_GB2312" w:eastAsia="仿宋_GB2312" w:cs="仿宋_GB2312"/>
          <w:sz w:val="28"/>
          <w:szCs w:val="28"/>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2.分配结果</w:t>
      </w:r>
    </w:p>
    <w:p>
      <w:pPr>
        <w:pStyle w:val="12"/>
        <w:snapToGrid w:val="0"/>
        <w:spacing w:line="540" w:lineRule="exact"/>
        <w:ind w:firstLine="560"/>
        <w:rPr>
          <w:bCs/>
          <w:sz w:val="28"/>
          <w:szCs w:val="28"/>
        </w:rPr>
      </w:pPr>
      <w:r>
        <w:rPr>
          <w:rFonts w:hint="eastAsia" w:ascii="仿宋_GB2312" w:hAnsi="仿宋_GB2312" w:eastAsia="仿宋_GB2312" w:cs="仿宋_GB2312"/>
          <w:sz w:val="28"/>
          <w:szCs w:val="28"/>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3.重点支出保障率</w:t>
      </w:r>
    </w:p>
    <w:p>
      <w:pPr>
        <w:pStyle w:val="17"/>
        <w:snapToGrid w:val="0"/>
        <w:spacing w:line="540" w:lineRule="exact"/>
        <w:ind w:firstLine="640"/>
        <w:rPr>
          <w:rFonts w:ascii="仿宋_GB2312" w:hAnsi="仿宋_GB2312" w:eastAsia="仿宋_GB2312" w:cs="仿宋_GB2312"/>
          <w:sz w:val="28"/>
          <w:szCs w:val="28"/>
        </w:rPr>
      </w:pPr>
      <w:r>
        <w:rPr>
          <w:rStyle w:val="8"/>
          <w:rFonts w:hint="eastAsia" w:ascii="仿宋_GB2312" w:hAnsi="仿宋_GB2312" w:eastAsia="仿宋_GB2312" w:cs="仿宋_GB2312"/>
          <w:bCs w:val="0"/>
          <w:color w:val="333333"/>
          <w:sz w:val="32"/>
          <w:szCs w:val="32"/>
          <w:lang w:bidi="ar"/>
        </w:rPr>
        <w:t>本年度无重点项目支出。</w:t>
      </w:r>
      <w:r>
        <w:rPr>
          <w:rFonts w:hint="eastAsia" w:ascii="仿宋_GB2312" w:hAnsi="仿宋_GB2312" w:eastAsia="仿宋_GB2312" w:cs="仿宋_GB2312"/>
          <w:sz w:val="28"/>
          <w:szCs w:val="28"/>
        </w:rPr>
        <w:t>我单位本年主要实施0个重点项目，履行了保障单位大厅及开标设备实施正常开展等主要职责。</w:t>
      </w:r>
    </w:p>
    <w:p>
      <w:pPr>
        <w:pStyle w:val="17"/>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本年度预算安排的重点项目支出0万元，项目总支出0万元，重点支出保障率为0%。</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Fonts w:ascii="仿宋_GB2312" w:hAnsi="仿宋_GB2312" w:eastAsia="仿宋_GB2312" w:cs="仿宋_GB2312"/>
          <w:sz w:val="28"/>
          <w:szCs w:val="28"/>
        </w:rPr>
      </w:pPr>
      <w:r>
        <w:rPr>
          <w:rStyle w:val="8"/>
          <w:rFonts w:hint="eastAsia" w:ascii="仿宋_GB2312" w:hAnsi="仿宋_GB2312" w:eastAsia="仿宋_GB2312" w:cs="仿宋_GB2312"/>
          <w:b w:val="0"/>
          <w:sz w:val="32"/>
          <w:szCs w:val="32"/>
          <w:lang w:bidi="ar"/>
        </w:rPr>
        <w:t>（1）</w:t>
      </w:r>
      <w:r>
        <w:rPr>
          <w:rFonts w:hint="eastAsia" w:ascii="仿宋_GB2312" w:hAnsi="仿宋_GB2312" w:eastAsia="仿宋_GB2312" w:cs="仿宋_GB2312"/>
          <w:sz w:val="28"/>
          <w:szCs w:val="28"/>
        </w:rPr>
        <w:t>年初预算执行情况</w:t>
      </w:r>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我单位年初预算数为243.76万元，实际预算执行数221.46万元，预算执行率为90.85%。</w:t>
      </w:r>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（2）全年预算执行情况</w:t>
      </w:r>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全年预算数为243.76万元，全年实际支出资金221.46万元，预算执行率为90.85%。</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我单位年初批复预算数243.76万元，年中调整数0万元，调整后全年预算数243.76万元，预算调整率0%。</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年初政府采购预算数为0万元，实际政府采购数为0万元，政府采购执行率为0%。我单位本年度需政府采购的预算数为0万元。</w:t>
      </w:r>
    </w:p>
    <w:p>
      <w:pPr>
        <w:pStyle w:val="12"/>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1.评价使用方法</w:t>
      </w:r>
      <w:bookmarkStart w:id="1" w:name="_Hlk49856735"/>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评价的对象及主要内容为:</w:t>
      </w:r>
      <w:r>
        <w:rPr>
          <w:rFonts w:hint="eastAsia" w:ascii="仿宋_GB2312" w:hAnsi="仿宋_GB2312" w:eastAsia="仿宋_GB2312" w:cs="仿宋_GB2312"/>
          <w:b/>
          <w:bCs/>
          <w:sz w:val="28"/>
          <w:szCs w:val="28"/>
        </w:rPr>
        <w:t>一</w:t>
      </w:r>
      <w:r>
        <w:rPr>
          <w:rFonts w:hint="eastAsia" w:ascii="仿宋_GB2312" w:hAnsi="仿宋_GB2312" w:eastAsia="仿宋_GB2312" w:cs="仿宋_GB2312"/>
          <w:sz w:val="28"/>
          <w:szCs w:val="28"/>
        </w:rPr>
        <w:t>是部门单位整体管理及使用情况，具体涉及预算管理、基本支出和专项支出的管理及使用情况；</w:t>
      </w:r>
      <w:r>
        <w:rPr>
          <w:rFonts w:hint="eastAsia" w:ascii="仿宋_GB2312" w:hAnsi="仿宋_GB2312" w:eastAsia="仿宋_GB2312" w:cs="仿宋_GB2312"/>
          <w:b/>
          <w:bCs/>
          <w:sz w:val="28"/>
          <w:szCs w:val="28"/>
        </w:rPr>
        <w:t>二</w:t>
      </w:r>
      <w:r>
        <w:rPr>
          <w:rFonts w:hint="eastAsia" w:ascii="仿宋_GB2312" w:hAnsi="仿宋_GB2312" w:eastAsia="仿宋_GB2312" w:cs="仿宋_GB2312"/>
          <w:sz w:val="28"/>
          <w:szCs w:val="28"/>
        </w:rPr>
        <w:t>是部门单位整体支出绩效情况，具体涉及部门单位整体支出绩效目标的实现程度，包括是否达到预定产出、效果和效益效率等；</w:t>
      </w:r>
      <w:r>
        <w:rPr>
          <w:rFonts w:hint="eastAsia" w:ascii="仿宋_GB2312" w:hAnsi="仿宋_GB2312" w:eastAsia="仿宋_GB2312" w:cs="仿宋_GB2312"/>
          <w:b/>
          <w:bCs/>
          <w:sz w:val="28"/>
          <w:szCs w:val="28"/>
        </w:rPr>
        <w:t>三</w:t>
      </w:r>
      <w:r>
        <w:rPr>
          <w:rFonts w:hint="eastAsia" w:ascii="仿宋_GB2312" w:hAnsi="仿宋_GB2312" w:eastAsia="仿宋_GB2312" w:cs="仿宋_GB2312"/>
          <w:sz w:val="28"/>
          <w:szCs w:val="28"/>
        </w:rPr>
        <w:t>是部门单位专项组织实施情况，具体涉及专项组织情况分析和相关管理情况；</w:t>
      </w:r>
      <w:r>
        <w:rPr>
          <w:rFonts w:hint="eastAsia" w:ascii="仿宋_GB2312" w:hAnsi="仿宋_GB2312" w:eastAsia="仿宋_GB2312" w:cs="仿宋_GB2312"/>
          <w:b/>
          <w:bCs/>
          <w:sz w:val="28"/>
          <w:szCs w:val="28"/>
        </w:rPr>
        <w:t>四</w:t>
      </w:r>
      <w:r>
        <w:rPr>
          <w:rFonts w:hint="eastAsia" w:ascii="仿宋_GB2312" w:hAnsi="仿宋_GB2312" w:eastAsia="仿宋_GB2312" w:cs="仿宋_GB2312"/>
          <w:sz w:val="28"/>
          <w:szCs w:val="28"/>
        </w:rPr>
        <w:t>是资产管理情况，具体涉及资产管理规范性和资产变动情况。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3.涉及的范围</w:t>
      </w:r>
    </w:p>
    <w:p>
      <w:pPr>
        <w:pStyle w:val="12"/>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r>
        <w:rPr>
          <w:rFonts w:hint="eastAsia" w:ascii="仿宋_GB2312" w:hAnsi="仿宋_GB2312" w:eastAsia="仿宋_GB2312" w:cs="仿宋_GB2312"/>
          <w:b/>
          <w:color w:val="333333"/>
          <w:sz w:val="32"/>
          <w:szCs w:val="32"/>
          <w:lang w:bidi="ar"/>
        </w:rPr>
        <w:t>部门单位整体支出管理及使用情况</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56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28"/>
          <w:szCs w:val="28"/>
          <w:lang w:bidi="ar"/>
        </w:rPr>
        <w:t>本单位为加强预算管理，规范财务行为，已制定《阿克陶县政务服务和公共资源交易中心部门单位预算绩效管理工作实施办法》，《阿克陶县政务服务和公共资源交易中心财务管理制度》等健全完整的各项管理制度，有效保障了我单位高效的履行工作职能，较好的促进事业发展</w:t>
      </w:r>
      <w:r>
        <w:rPr>
          <w:rStyle w:val="8"/>
          <w:rFonts w:hint="eastAsia" w:ascii="仿宋_GB2312" w:hAnsi="仿宋_GB2312" w:eastAsia="仿宋_GB2312" w:cs="仿宋_GB2312"/>
          <w:b w:val="0"/>
          <w:color w:val="333333"/>
          <w:sz w:val="32"/>
          <w:szCs w:val="32"/>
          <w:lang w:bidi="ar"/>
        </w:rPr>
        <w:t>。</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按照阿克陶县财政局预决算信息公开工作要求，我单位在阿克陶县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本次评价主要采取比较法和调查法。</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评价的对象及主要内容为:</w:t>
      </w:r>
      <w:r>
        <w:rPr>
          <w:rStyle w:val="8"/>
          <w:rFonts w:hint="eastAsia" w:ascii="仿宋_GB2312" w:hAnsi="仿宋_GB2312" w:eastAsia="仿宋_GB2312" w:cs="仿宋_GB2312"/>
          <w:bCs w:val="0"/>
          <w:color w:val="333333"/>
          <w:sz w:val="28"/>
          <w:szCs w:val="28"/>
          <w:lang w:bidi="ar"/>
        </w:rPr>
        <w:t>一</w:t>
      </w:r>
      <w:r>
        <w:rPr>
          <w:rStyle w:val="8"/>
          <w:rFonts w:hint="eastAsia" w:ascii="仿宋_GB2312" w:hAnsi="仿宋_GB2312" w:eastAsia="仿宋_GB2312" w:cs="仿宋_GB2312"/>
          <w:b w:val="0"/>
          <w:color w:val="333333"/>
          <w:sz w:val="28"/>
          <w:szCs w:val="28"/>
          <w:lang w:bidi="ar"/>
        </w:rPr>
        <w:t>是部门单位整体管理及使用情况，具体涉及预算管理、基本支出和专项支出的管理及使用情况；</w:t>
      </w:r>
      <w:r>
        <w:rPr>
          <w:rStyle w:val="8"/>
          <w:rFonts w:hint="eastAsia" w:ascii="仿宋_GB2312" w:hAnsi="仿宋_GB2312" w:eastAsia="仿宋_GB2312" w:cs="仿宋_GB2312"/>
          <w:bCs w:val="0"/>
          <w:color w:val="333333"/>
          <w:sz w:val="28"/>
          <w:szCs w:val="28"/>
          <w:lang w:bidi="ar"/>
        </w:rPr>
        <w:t>二</w:t>
      </w:r>
      <w:r>
        <w:rPr>
          <w:rStyle w:val="8"/>
          <w:rFonts w:hint="eastAsia" w:ascii="仿宋_GB2312" w:hAnsi="仿宋_GB2312" w:eastAsia="仿宋_GB2312" w:cs="仿宋_GB2312"/>
          <w:b w:val="0"/>
          <w:color w:val="333333"/>
          <w:sz w:val="28"/>
          <w:szCs w:val="28"/>
          <w:lang w:bidi="ar"/>
        </w:rPr>
        <w:t>是部门单位整体支出绩效情况，具体涉及部门单位整体支出绩效目标的实现程度，包括是否达到预定产出、效果和效益效率等；</w:t>
      </w:r>
      <w:r>
        <w:rPr>
          <w:rStyle w:val="8"/>
          <w:rFonts w:hint="eastAsia" w:ascii="仿宋_GB2312" w:hAnsi="仿宋_GB2312" w:eastAsia="仿宋_GB2312" w:cs="仿宋_GB2312"/>
          <w:bCs w:val="0"/>
          <w:color w:val="333333"/>
          <w:sz w:val="28"/>
          <w:szCs w:val="28"/>
          <w:lang w:bidi="ar"/>
        </w:rPr>
        <w:t>三</w:t>
      </w:r>
      <w:r>
        <w:rPr>
          <w:rStyle w:val="8"/>
          <w:rFonts w:hint="eastAsia" w:ascii="仿宋_GB2312" w:hAnsi="仿宋_GB2312" w:eastAsia="仿宋_GB2312" w:cs="仿宋_GB2312"/>
          <w:b w:val="0"/>
          <w:color w:val="333333"/>
          <w:sz w:val="28"/>
          <w:szCs w:val="28"/>
          <w:lang w:bidi="ar"/>
        </w:rPr>
        <w:t>是部门单位专项组织实施情况，具体涉及专项组织情况分析和相关管理情况；</w:t>
      </w:r>
      <w:r>
        <w:rPr>
          <w:rStyle w:val="8"/>
          <w:rFonts w:hint="eastAsia" w:ascii="仿宋_GB2312" w:hAnsi="仿宋_GB2312" w:eastAsia="仿宋_GB2312" w:cs="仿宋_GB2312"/>
          <w:bCs w:val="0"/>
          <w:color w:val="333333"/>
          <w:sz w:val="28"/>
          <w:szCs w:val="28"/>
          <w:lang w:bidi="ar"/>
        </w:rPr>
        <w:t>四</w:t>
      </w:r>
      <w:r>
        <w:rPr>
          <w:rStyle w:val="8"/>
          <w:rFonts w:hint="eastAsia" w:ascii="仿宋_GB2312" w:hAnsi="仿宋_GB2312" w:eastAsia="仿宋_GB2312" w:cs="仿宋_GB2312"/>
          <w:b w:val="0"/>
          <w:color w:val="333333"/>
          <w:sz w:val="28"/>
          <w:szCs w:val="28"/>
          <w:lang w:bidi="ar"/>
        </w:rPr>
        <w:t>是资产管理情况，具体涉及资产管理规范性和资产变动情况。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本单位为加强预算管理，规范财务行为，已制定《阿克陶县公共资源交易中心部门单位预算绩效管理工作实施办法》，《阿克陶县政务服务和公共资源交易中心单位财务管理制度》等健全完整的各项管理制度，有效保障了我单位高效的履行工作职能，较好的促进事业发展。</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按照阿克陶县财政局预决算信息公开工作要求，我单位在阿克陶县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Style w:val="8"/>
          <w:rFonts w:hint="eastAsia"/>
          <w:bCs w:val="0"/>
          <w:sz w:val="28"/>
          <w:szCs w:val="28"/>
        </w:rPr>
        <w:t>。</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2021年本单位基本支出全年预算总额243.76万元，其中：人员经费214.14万元，公用经费7.31万元。实际支出221.46万元，基本支出预算执行率90.85%。</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坚决贯彻落实中央、自治区、阿克陶县政务服务和公共资源交易中心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2021年本单位安排专项支出预算总额0万元，实际支出0万元，专项支出预算执行率0。</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2021年本单位共有0个资金项目，其中0个属经常性项目、0个属当年度新增项目，已完成项目0个、未完成项目0个。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本年我单位供实施0个项目，金额0万元，分别为0项目，0万元；0项目，0万元；0项目，0万元。</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（一）阿克陶县政务服务和公共资源交易中心项目专项组织情况分析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我单位成立专项支出绩效评价小组，成员如下：</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梁晓红任评价组组长，绩效评价工作职责为负责全盘工作。</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万旭芬任评价组副组长，绩效评价工作职责为为对项目实施情况进行实地调查。</w:t>
      </w:r>
    </w:p>
    <w:p>
      <w:pPr>
        <w:pStyle w:val="12"/>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bidi="ar"/>
        </w:rPr>
        <w:t>秦帅、邓俊、杜晓春、谢红伟、王建中、刘燕、石柳、谢梅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（二）阿克陶县政务服务和公共资源交易中心项目专项组织情况分析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我单位成立专项支出绩效评价小组，成员如下：</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梁晓红任评价组组长，绩效评价工作职责为负责全盘工作。</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万旭芬任评价组副组长，绩效评价工作职责为为对项目实施情况进行实地调查。</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秦帅、邓俊、杜晓春、谢红伟、王建中、刘燕、石柳、谢梅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（二）专项管理情况分析</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1.项目资金情况</w:t>
      </w:r>
    </w:p>
    <w:p>
      <w:pPr>
        <w:pStyle w:val="12"/>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bidi="ar"/>
        </w:rPr>
        <w:t>该项目预算资金0万元，实际到位0万元，实际支出0万元。到位足额及时，预算编制依据充分，预算编制准确，资金不存在截留、挪用，支付审批合规、不存在用途改变、范围超支和虚列项目支出等情况；本项目严格按照《阿克陶县政务服务和公共资源交易中心单位财务管理制度》执行项目资金，实行专账核算、逐级审批。认真落实项目资金的使用各项管理制度，确保专款专用，及时拨付到位</w:t>
      </w:r>
      <w:r>
        <w:rPr>
          <w:rStyle w:val="8"/>
          <w:rFonts w:hint="eastAsia" w:ascii="仿宋_GB2312" w:hAnsi="仿宋_GB2312" w:eastAsia="仿宋_GB2312" w:cs="仿宋_GB2312"/>
          <w:b w:val="0"/>
          <w:sz w:val="32"/>
          <w:szCs w:val="32"/>
          <w:lang w:bidi="ar"/>
        </w:rPr>
        <w:t>。</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2.项目实施情况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项目管理情况：根据《项目绩效管理办法》及单位相关项目管理制度的规定，对项目的实施进行监督管理。建立健全项目后续各项监督管理制度，确保项目正常运转，长期发挥效益。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项目监管情况：不定期对项目进度和质量等进行监督检查，并且组织开展多种形式的监督检查，以加强日常监管为主，自查、随机抽查、专项检查等方式进行。对检查中发现的问题，及时纠正。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3.项目绩效情况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成本控制情况：严格按照相关的专项资金管理办法，实行多重审批控制专项经费的支出。</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成本节约情况：项目根据实际情况做出合理预算，支出严格控制在预算范围内，本着节约成本，防止资源浪费的原则将项目成效最大化。</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4.项目效率性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项目实施进度：项目实施紧扣各个环节，逐步推进，及时与职能部门跟踪项目进展，加强项目督办，充分调动职能部门的积极性，加大项目投入工作的力度，加快项目实施进度。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项目完成质量：项目严格按照年度预期目标执行，项目完成质量达标。</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5.项目效益性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预期目标完成程度：按预定目标完成了年初所设定的各项指标。专项经费实际支出未超出预算规定，保障了专项工作的开展。</w:t>
      </w:r>
    </w:p>
    <w:p>
      <w:pPr>
        <w:pStyle w:val="12"/>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bidi="ar"/>
        </w:rPr>
        <w:t>项目实施对效益的影响：项目的实施有效提升了培训人员的爱国主义意识，持续保障了培训工作的顺利开展。</w:t>
      </w:r>
    </w:p>
    <w:p>
      <w:pPr>
        <w:pStyle w:val="17"/>
        <w:snapToGrid w:val="0"/>
        <w:spacing w:line="540" w:lineRule="exact"/>
        <w:ind w:firstLine="624"/>
        <w:rPr>
          <w:rStyle w:val="8"/>
          <w:rFonts w:ascii="仿宋_GB2312" w:hAnsi="仿宋_GB2312" w:eastAsia="仿宋_GB2312" w:cs="仿宋_GB2312"/>
          <w:spacing w:val="-4"/>
          <w:sz w:val="32"/>
          <w:szCs w:val="32"/>
        </w:rPr>
      </w:pPr>
      <w:bookmarkStart w:id="4" w:name="_Toc27846_WPSOffice_Level1"/>
      <w:r>
        <w:rPr>
          <w:rStyle w:val="8"/>
          <w:rFonts w:hint="eastAsia" w:ascii="仿宋_GB2312" w:hAnsi="仿宋_GB2312" w:eastAsia="仿宋_GB2312" w:cs="仿宋_GB2312"/>
          <w:spacing w:val="-4"/>
          <w:sz w:val="32"/>
          <w:szCs w:val="32"/>
        </w:rPr>
        <w:t>资产管理情况</w:t>
      </w:r>
      <w:bookmarkEnd w:id="4"/>
    </w:p>
    <w:p>
      <w:pPr>
        <w:pStyle w:val="12"/>
        <w:snapToGrid w:val="0"/>
        <w:spacing w:line="540" w:lineRule="exact"/>
        <w:ind w:firstLine="624"/>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spacing w:val="-4"/>
          <w:sz w:val="32"/>
          <w:szCs w:val="32"/>
        </w:rPr>
        <w:t>（一）资产管理规范性</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2021年资产合计数为867.34万元，比上年减少0万元，主要原因是银行账户项目质保金到期退还，货币资金减少，其中：货币资金0万元，比上年减少0万元；财政应返还额度0万元，比上年相比无变化；房屋0平方米0万元，比上年减少0万元；车辆0辆0万元，与上年相比无变化；在建工程0万元，与上年相比无变化；办公设备及家具738.25万元，与上年相比无变化。我单位本年无资产处置情况；资产配置合理，使用规范，安全完整。</w:t>
      </w:r>
    </w:p>
    <w:p>
      <w:pPr>
        <w:pStyle w:val="12"/>
        <w:snapToGrid w:val="0"/>
        <w:spacing w:line="540" w:lineRule="exact"/>
        <w:ind w:firstLine="624"/>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spacing w:val="-4"/>
          <w:sz w:val="32"/>
          <w:szCs w:val="32"/>
        </w:rPr>
        <w:t>1.资产管理情况。</w:t>
      </w:r>
    </w:p>
    <w:p>
      <w:pPr>
        <w:pStyle w:val="12"/>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24"/>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spacing w:val="-4"/>
          <w:sz w:val="32"/>
          <w:szCs w:val="32"/>
        </w:rPr>
        <w:t>2.固定资产利用情况</w:t>
      </w:r>
      <w:r>
        <w:rPr>
          <w:rStyle w:val="8"/>
          <w:rFonts w:hint="eastAsia" w:ascii="仿宋_GB2312" w:hAnsi="仿宋_GB2312" w:eastAsia="仿宋_GB2312" w:cs="仿宋_GB2312"/>
          <w:b w:val="0"/>
          <w:sz w:val="32"/>
          <w:szCs w:val="32"/>
          <w:lang w:bidi="ar"/>
        </w:rPr>
        <w:t>。</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我单位固定资产867.34万元,其中:0套房屋0万元，0辆车0万元，2个专用设备3.4万元，278个办公设备738.25万元。目前正在使用的固定资产总额867.34万元，固定资产利用率为100%。</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3.流动资产管理情况。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（二）固定资产利用率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截止本年度固定资产账面净值112.01万元，年末实际在用固定资产867.34万元，固定资产利用率为100%。</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bookmarkStart w:id="5" w:name="_Toc13582_WPSOffice_Level1"/>
      <w:r>
        <w:rPr>
          <w:rStyle w:val="8"/>
          <w:rFonts w:hint="eastAsia" w:ascii="仿宋_GB2312" w:hAnsi="仿宋_GB2312" w:eastAsia="仿宋_GB2312" w:cs="仿宋_GB2312"/>
          <w:b w:val="0"/>
          <w:color w:val="333333"/>
          <w:sz w:val="28"/>
          <w:szCs w:val="28"/>
          <w:lang w:bidi="ar"/>
        </w:rPr>
        <w:t>部门单位整体支出绩效情况</w:t>
      </w:r>
      <w:bookmarkEnd w:id="5"/>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部门单位整体支出自评表，共设置一级指标3个，二级指标9个，三级指标12个。</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1.产出数量</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保障人员人数指标，预期指标是等于11人，实际完成值是11人，指标完成率是100%，达到预期目标。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在职职工考核次数，预期指标1次，实际完成值是1次，指标完成率是100%，达到预期目标。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办公用品采购次数，预期指标预期指标3次，实际完成值是3次，指标完成率是100%，达到预期目标。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数量指标共计3个，完成3个，达到预期目标，数量指标完成。</w:t>
      </w:r>
    </w:p>
    <w:p>
      <w:pPr>
        <w:pStyle w:val="12"/>
        <w:snapToGrid w:val="0"/>
        <w:spacing w:line="540" w:lineRule="exact"/>
        <w:ind w:firstLine="624"/>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spacing w:val="-4"/>
          <w:sz w:val="32"/>
          <w:szCs w:val="32"/>
        </w:rPr>
        <w:t>2.产出质量</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开标合格率（%），达到预期目标，数量指标完成。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资金使用合格率（%），达到预期目标，数量指标完成。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质量指标共计2个，完成2个，达到质量提升及标准。质量指标完成。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3.产出进度</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资金拨付及时率（%）预期指标是等于100%，实际完成值是100%，达到预期目标。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时效指标共计1个，完成1个，达达到预期目标，数量指标完成。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4.产出成本</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在职人员工资放发标准（万元/人/年）指标，预期指标是19.47万元，实际完成值是17.86万元，2021年9月1人调出，11月1人辞职，导致指标未完成。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公用经费（万元）指标，预期指标是等于7.32万元，实际完成值是7.32万元，指标完成率是100%，达到成本控制及改善目标。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成本指标共计2个，完成2个，达到成本控制及改善目标，成本指标完成。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1.项目实施的经济效益分析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无。</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2.项目实施的社会效益分析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业务保障能力提升，预期指标是有效提升，实际完成值是100%，达到单位履职能力对社会带来的影响预期目标。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社会效益指标共计1个，完成1个，达到单位履职能力对社会带来的影响预期目标，社会效益指标完成。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3.项目实施的生态效益分析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无。</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4.项目实施的可持续影响分析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提升工作人员工作效率指标，预期指标是有效提升，实际完成值指标完成率是100%，实现部门绩效长效机制建设，提高工作效率目标。</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可持续影响指标共计1个，完成1个，达到预期目标，可持续影响指标完成。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（三）满意度指标完成情况分析</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按计划完成项目实施，已做满意度调查抽样问卷，具体如下：</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受益群众满意度指标（%），预期指标是等于95%，实际完成值是95%，指标完成率是100%，达到部门（单位）服务对象履职效果的满意度。</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受益职工满意度指标（%），预期指标是大于等于95%，实际完成值是95%，指标完成率是100%，达到部门（单位）服务对象对部门履职效果的满意度。</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满意度指标共计2个，完成2个，达到部门（单位）服务对象对部门履职效果的满意度，服务对象满意度指标完成。</w:t>
      </w:r>
    </w:p>
    <w:p>
      <w:pPr>
        <w:pStyle w:val="12"/>
        <w:snapToGrid w:val="0"/>
        <w:spacing w:line="540" w:lineRule="exact"/>
        <w:ind w:firstLine="624"/>
        <w:rPr>
          <w:rStyle w:val="8"/>
          <w:rFonts w:ascii="仿宋_GB2312" w:hAnsi="仿宋_GB2312" w:eastAsia="仿宋_GB2312" w:cs="仿宋_GB2312"/>
          <w:spacing w:val="-4"/>
          <w:sz w:val="32"/>
          <w:szCs w:val="32"/>
        </w:rPr>
      </w:pPr>
      <w:bookmarkStart w:id="6" w:name="_Toc22800_WPSOffice_Level1"/>
      <w:r>
        <w:rPr>
          <w:rStyle w:val="8"/>
          <w:rFonts w:hint="eastAsia" w:ascii="仿宋_GB2312" w:hAnsi="仿宋_GB2312" w:eastAsia="仿宋_GB2312" w:cs="仿宋_GB2312"/>
          <w:spacing w:val="-4"/>
          <w:sz w:val="32"/>
          <w:szCs w:val="32"/>
        </w:rPr>
        <w:t>六、存在的主要问题</w:t>
      </w:r>
      <w:bookmarkEnd w:id="6"/>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部分业务人员绩效管理意识有待增强，未能全面深入认识理解绩效管理工作的意义。绩效管理经验不足，预算绩效管理工作有待进一步落实。</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绩效指标的明确性、可衡量性、相关性还需进一步提升。预算精细化管理还需完善，预算编制管理水平仍有进一步提升的空间。</w:t>
      </w:r>
    </w:p>
    <w:p>
      <w:pPr>
        <w:pStyle w:val="12"/>
        <w:snapToGrid w:val="0"/>
        <w:spacing w:line="540" w:lineRule="exact"/>
        <w:ind w:firstLine="624"/>
        <w:rPr>
          <w:rStyle w:val="8"/>
          <w:rFonts w:ascii="仿宋_GB2312" w:hAnsi="仿宋_GB2312" w:eastAsia="仿宋_GB2312" w:cs="仿宋_GB2312"/>
          <w:spacing w:val="-4"/>
          <w:sz w:val="32"/>
          <w:szCs w:val="32"/>
        </w:rPr>
      </w:pPr>
      <w:bookmarkStart w:id="7" w:name="_Toc29546_WPSOffice_Level1"/>
      <w:r>
        <w:rPr>
          <w:rStyle w:val="8"/>
          <w:rFonts w:hint="eastAsia" w:ascii="仿宋_GB2312" w:hAnsi="仿宋_GB2312" w:eastAsia="仿宋_GB2312" w:cs="仿宋_GB2312"/>
          <w:spacing w:val="-4"/>
          <w:sz w:val="32"/>
          <w:szCs w:val="32"/>
        </w:rPr>
        <w:t>七、改进措施和建议</w:t>
      </w:r>
      <w:bookmarkEnd w:id="7"/>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（一）改进措施</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强管理措施，加强项目实施和监管和控制措施，收集完整验收资料，完善项目实施效果评价。进一步加强开展相关业务工作培训。专业性强，工作量大，建议财政有关业务部门组织培训，切实推进绩效评价工作开展。</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加大绩效工作宣传力度，强化绩效理念。</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完善绩效指标，提高整体绩效目标质量。提升预算精细化管理水平。</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继续完善预算绩效管理相关工作制度，建立全过程预算绩效管理链条，有效贯彻落实全面实施绩效管理的精神。</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（二）建议</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借助第三方专业机构力量，贯彻落实全面预算绩效管理工作，建立全过程预算绩效管理链条，将绩效各个环节紧密贯通。</w:t>
      </w:r>
    </w:p>
    <w:p>
      <w:pPr>
        <w:pStyle w:val="12"/>
        <w:snapToGrid w:val="0"/>
        <w:spacing w:line="540" w:lineRule="exact"/>
        <w:ind w:firstLine="640"/>
        <w:rPr>
          <w:rStyle w:val="8"/>
          <w:rFonts w:ascii="仿宋_GB2312" w:hAnsi="仿宋_GB2312" w:eastAsia="仿宋_GB2312" w:cs="仿宋_GB2312"/>
          <w:b w:val="0"/>
          <w:sz w:val="32"/>
          <w:szCs w:val="32"/>
          <w:lang w:bidi="ar"/>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30D05"/>
    <w:rsid w:val="000C4E29"/>
    <w:rsid w:val="000D3AFA"/>
    <w:rsid w:val="000E1B81"/>
    <w:rsid w:val="0012092B"/>
    <w:rsid w:val="00141421"/>
    <w:rsid w:val="00191BA3"/>
    <w:rsid w:val="001C1E1D"/>
    <w:rsid w:val="001E750D"/>
    <w:rsid w:val="00220E62"/>
    <w:rsid w:val="0022744B"/>
    <w:rsid w:val="00234372"/>
    <w:rsid w:val="00292A50"/>
    <w:rsid w:val="002939FF"/>
    <w:rsid w:val="002A0203"/>
    <w:rsid w:val="002F7CCD"/>
    <w:rsid w:val="00390368"/>
    <w:rsid w:val="003F0DB2"/>
    <w:rsid w:val="00424A01"/>
    <w:rsid w:val="00491D09"/>
    <w:rsid w:val="004E1483"/>
    <w:rsid w:val="0054132C"/>
    <w:rsid w:val="005B1250"/>
    <w:rsid w:val="006258B7"/>
    <w:rsid w:val="00633862"/>
    <w:rsid w:val="00664FE7"/>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76319"/>
    <w:rsid w:val="00AA5126"/>
    <w:rsid w:val="00AD16CD"/>
    <w:rsid w:val="00B5590F"/>
    <w:rsid w:val="00B60C3B"/>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A6550"/>
    <w:rsid w:val="00FD7D8B"/>
    <w:rsid w:val="00FF2ACD"/>
    <w:rsid w:val="012008EE"/>
    <w:rsid w:val="01751241"/>
    <w:rsid w:val="01CC583F"/>
    <w:rsid w:val="041E7F45"/>
    <w:rsid w:val="04FF0482"/>
    <w:rsid w:val="05062887"/>
    <w:rsid w:val="05F70F85"/>
    <w:rsid w:val="084208C4"/>
    <w:rsid w:val="098A3C0A"/>
    <w:rsid w:val="0A9A7091"/>
    <w:rsid w:val="0C0F461A"/>
    <w:rsid w:val="10FE60D7"/>
    <w:rsid w:val="143E16BD"/>
    <w:rsid w:val="175D58E3"/>
    <w:rsid w:val="18061B60"/>
    <w:rsid w:val="190C3DF8"/>
    <w:rsid w:val="19F83E30"/>
    <w:rsid w:val="1B403139"/>
    <w:rsid w:val="1C6D319F"/>
    <w:rsid w:val="1D4D74D6"/>
    <w:rsid w:val="1D6747C8"/>
    <w:rsid w:val="1DE32CFD"/>
    <w:rsid w:val="1E235DE8"/>
    <w:rsid w:val="1F1A602A"/>
    <w:rsid w:val="1F2854B6"/>
    <w:rsid w:val="21C768CD"/>
    <w:rsid w:val="22E14253"/>
    <w:rsid w:val="23F209A3"/>
    <w:rsid w:val="2403516E"/>
    <w:rsid w:val="256A2A9E"/>
    <w:rsid w:val="2805537E"/>
    <w:rsid w:val="289437EE"/>
    <w:rsid w:val="296117C9"/>
    <w:rsid w:val="298555FE"/>
    <w:rsid w:val="2A992AEA"/>
    <w:rsid w:val="2D0259E1"/>
    <w:rsid w:val="2E320C9E"/>
    <w:rsid w:val="2EBF757D"/>
    <w:rsid w:val="305621FB"/>
    <w:rsid w:val="30970675"/>
    <w:rsid w:val="31B374F6"/>
    <w:rsid w:val="31B60E82"/>
    <w:rsid w:val="31B83F5F"/>
    <w:rsid w:val="328E2AB6"/>
    <w:rsid w:val="329B12EA"/>
    <w:rsid w:val="33A83F87"/>
    <w:rsid w:val="355C2B3F"/>
    <w:rsid w:val="35F12468"/>
    <w:rsid w:val="36851B5C"/>
    <w:rsid w:val="37D360CA"/>
    <w:rsid w:val="38CB5066"/>
    <w:rsid w:val="39BD7782"/>
    <w:rsid w:val="3F301058"/>
    <w:rsid w:val="417A34F9"/>
    <w:rsid w:val="418810F4"/>
    <w:rsid w:val="41A37673"/>
    <w:rsid w:val="42C30950"/>
    <w:rsid w:val="43856105"/>
    <w:rsid w:val="45A65C7F"/>
    <w:rsid w:val="468C2A4A"/>
    <w:rsid w:val="46AD2493"/>
    <w:rsid w:val="46EC7F14"/>
    <w:rsid w:val="48AF4C7F"/>
    <w:rsid w:val="4A690737"/>
    <w:rsid w:val="4A81677A"/>
    <w:rsid w:val="4DA177B2"/>
    <w:rsid w:val="4DF36D4F"/>
    <w:rsid w:val="501B7C76"/>
    <w:rsid w:val="504D5CCF"/>
    <w:rsid w:val="51B47943"/>
    <w:rsid w:val="52C77970"/>
    <w:rsid w:val="533A7469"/>
    <w:rsid w:val="53526129"/>
    <w:rsid w:val="56316649"/>
    <w:rsid w:val="564412E7"/>
    <w:rsid w:val="565F61A9"/>
    <w:rsid w:val="57232FC4"/>
    <w:rsid w:val="572D2326"/>
    <w:rsid w:val="57365691"/>
    <w:rsid w:val="59EE1E48"/>
    <w:rsid w:val="5A490F5C"/>
    <w:rsid w:val="5BD21464"/>
    <w:rsid w:val="5BDE2B83"/>
    <w:rsid w:val="5BEA678E"/>
    <w:rsid w:val="5DD01909"/>
    <w:rsid w:val="61635F72"/>
    <w:rsid w:val="618606C5"/>
    <w:rsid w:val="63617711"/>
    <w:rsid w:val="63637726"/>
    <w:rsid w:val="63E114D3"/>
    <w:rsid w:val="69E31289"/>
    <w:rsid w:val="6AD46D46"/>
    <w:rsid w:val="6DE07909"/>
    <w:rsid w:val="6E58438A"/>
    <w:rsid w:val="6E9D5508"/>
    <w:rsid w:val="70920D4A"/>
    <w:rsid w:val="71EB22B3"/>
    <w:rsid w:val="72010FA6"/>
    <w:rsid w:val="748A4F72"/>
    <w:rsid w:val="75664078"/>
    <w:rsid w:val="761E4132"/>
    <w:rsid w:val="78061A79"/>
    <w:rsid w:val="7A0E4D58"/>
    <w:rsid w:val="7BC003CA"/>
    <w:rsid w:val="7CBF4BB4"/>
    <w:rsid w:val="7E5D346D"/>
    <w:rsid w:val="7EC0131C"/>
    <w:rsid w:val="7F413976"/>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character" w:styleId="9">
    <w:name w:val="annotation reference"/>
    <w:basedOn w:val="7"/>
    <w:semiHidden/>
    <w:unhideWhenUsed/>
    <w:qFormat/>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7"/>
    <w:link w:val="5"/>
    <w:qFormat/>
    <w:uiPriority w:val="99"/>
    <w:rPr>
      <w:sz w:val="18"/>
      <w:szCs w:val="18"/>
    </w:rPr>
  </w:style>
  <w:style w:type="character" w:customStyle="1" w:styleId="14">
    <w:name w:val="页眉 字符"/>
    <w:basedOn w:val="7"/>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1329</Words>
  <Characters>7578</Characters>
  <Lines>63</Lines>
  <Paragraphs>17</Paragraphs>
  <TotalTime>43</TotalTime>
  <ScaleCrop>false</ScaleCrop>
  <LinksUpToDate>false</LinksUpToDate>
  <CharactersWithSpaces>8890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2023-12-15T12:57:53Z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