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000000" w:themeColor="text1"/>
          <w:sz w:val="32"/>
          <w:szCs w:val="32"/>
          <w:lang w:bidi="ar"/>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阿克陶</w:t>
      </w:r>
      <w:r>
        <w:rPr>
          <w:rFonts w:hint="eastAsia" w:ascii="方正小标宋简体" w:hAnsi="方正小标宋简体" w:eastAsia="方正小标宋简体" w:cs="方正小标宋简体"/>
          <w:b/>
          <w:color w:val="000000" w:themeColor="text1"/>
          <w:kern w:val="0"/>
          <w:sz w:val="44"/>
          <w:szCs w:val="44"/>
          <w:lang w:eastAsia="zh-Hans"/>
          <w14:textFill>
            <w14:solidFill>
              <w14:schemeClr w14:val="tx1"/>
            </w14:solidFill>
          </w14:textFill>
        </w:rPr>
        <w:t>县</w:t>
      </w: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部门单位整体支出绩效</w:t>
      </w: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自评报告</w:t>
      </w: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2021  年度）</w:t>
      </w: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color w:val="000000" w:themeColor="text1"/>
          <w:kern w:val="0"/>
          <w:sz w:val="32"/>
          <w:szCs w:val="32"/>
          <w14:textFill>
            <w14:solidFill>
              <w14:schemeClr w14:val="tx1"/>
            </w14:solidFill>
          </w14:textFill>
        </w:rPr>
      </w:pP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部门单位名称（公章）：新疆农业广播学校阿克陶县分校</w:t>
      </w: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填报时间：2022年3月19日</w:t>
      </w: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p>
    <w:p>
      <w:pPr>
        <w:pStyle w:val="2"/>
      </w:pP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0" w:name="_Toc2394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基本概况</w:t>
      </w:r>
      <w:bookmarkEnd w:id="0"/>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（一）单位基本情况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1.部门主要职能</w:t>
      </w:r>
    </w:p>
    <w:p>
      <w:pPr>
        <w:widowControl/>
        <w:ind w:firstLine="640" w:firstLineChars="200"/>
        <w:jc w:val="left"/>
        <w:rPr>
          <w:rFonts w:ascii="仿宋_GB2312" w:hAnsi="宋体" w:eastAsia="仿宋_GB2312" w:cs="Times New Roman"/>
          <w:kern w:val="0"/>
          <w:sz w:val="32"/>
          <w:szCs w:val="32"/>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主要承担中等学历教育、中专后继续教育、大专自考助学与合作高等教育以及绿色证书教育培训、新型农民科技培训、农村劳动力转移培训、创业培训、职业技能鉴定、各种实用技术培训和新闻宣传、信息服务、技术推广 等任务</w:t>
      </w:r>
      <w:r>
        <w:rPr>
          <w:rFonts w:hint="eastAsia" w:ascii="仿宋" w:hAnsi="仿宋" w:eastAsia="仿宋" w:cs="仿宋"/>
          <w:sz w:val="28"/>
          <w:szCs w:val="28"/>
        </w:rPr>
        <w:t>。</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2.部门机构设置及人员构成</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新疆农业广播学校阿克陶县分校是阿克陶县林业局的下属单位，为副科级，二级预算单位。</w:t>
      </w:r>
    </w:p>
    <w:p>
      <w:pPr>
        <w:snapToGrid w:val="0"/>
        <w:spacing w:line="520" w:lineRule="exact"/>
        <w:ind w:firstLine="640"/>
        <w:rPr>
          <w:rFonts w:ascii="仿宋_GB2312" w:hAnsi="仿宋_GB2312" w:eastAsia="仿宋_GB2312" w:cs="仿宋_GB2312"/>
          <w:color w:val="000000"/>
          <w:spacing w:val="-2"/>
          <w:sz w:val="30"/>
          <w:szCs w:val="30"/>
        </w:rPr>
      </w:pPr>
      <w:r>
        <w:rPr>
          <w:rFonts w:hint="eastAsia" w:ascii="仿宋_GB2312" w:eastAsia="仿宋_GB2312"/>
          <w:sz w:val="32"/>
          <w:szCs w:val="32"/>
        </w:rPr>
        <w:t>机构设置情况：新疆农业广播学校阿克陶县分校只有1个机构组成的，</w:t>
      </w:r>
      <w:r>
        <w:rPr>
          <w:rFonts w:hint="eastAsia" w:ascii="仿宋_GB2312" w:hAnsi="黑体" w:eastAsia="仿宋_GB2312" w:cs="宋体"/>
          <w:bCs/>
          <w:kern w:val="0"/>
          <w:sz w:val="32"/>
          <w:szCs w:val="32"/>
        </w:rPr>
        <w:t>无下属预算单位，下设 0 个处室。</w:t>
      </w:r>
    </w:p>
    <w:p>
      <w:pPr>
        <w:numPr>
          <w:ilvl w:val="0"/>
          <w:numId w:val="2"/>
        </w:num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人员情况，包括当年变动情况及原因。</w:t>
      </w:r>
    </w:p>
    <w:p>
      <w:pPr>
        <w:ind w:firstLine="640" w:firstLineChars="200"/>
        <w:rPr>
          <w:rFonts w:ascii="黑体" w:hAnsi="黑体" w:eastAsia="黑体"/>
          <w:kern w:val="0"/>
          <w:sz w:val="32"/>
          <w:szCs w:val="32"/>
        </w:rPr>
      </w:pPr>
      <w:r>
        <w:rPr>
          <w:rFonts w:hint="eastAsia" w:ascii="仿宋_GB2312" w:eastAsia="仿宋_GB2312"/>
          <w:sz w:val="32"/>
          <w:szCs w:val="32"/>
        </w:rPr>
        <w:t>人员情况：新疆农业广播学校阿克陶县分校本年度编制人数4人，无变动；</w:t>
      </w:r>
      <w:r>
        <w:rPr>
          <w:rFonts w:hint="eastAsia" w:ascii="仿宋_GB2312" w:hAnsi="Times New Roman" w:eastAsia="仿宋_GB2312" w:cs="Times New Roman"/>
          <w:sz w:val="32"/>
          <w:szCs w:val="32"/>
        </w:rPr>
        <w:t>实有在职人数8人，退休7人。</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3.年度重点工作</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一是强化干部学习教育，持续聚焦总目标。</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二是持续开展群众工作、做好群众的困难帮扶。</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三是完善平台建设，努力提升服务水平。</w:t>
      </w:r>
    </w:p>
    <w:p>
      <w:pPr>
        <w:pStyle w:val="12"/>
        <w:snapToGrid w:val="0"/>
        <w:spacing w:line="540" w:lineRule="exact"/>
        <w:ind w:firstLine="640"/>
        <w:outlineLvl w:val="1"/>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四是持续抓好作风建设，遵守各项党规党纪。</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（二）决策过程</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决策机制根据行政事业单位内部控制体系建设相关要求，逐步完善《新疆农业广播学校阿克陶县分校党支部会议》、《三重一大会议制度》，根据制度规定；凡涉及到单位改革、发展和稳定关系工作人员切身利益的重大问题，均属于重大事项决策的范围；重要人事任免：后备干部推荐、</w:t>
      </w:r>
      <w:r>
        <w:rPr>
          <w:rStyle w:val="9"/>
          <w:rFonts w:hint="eastAsia" w:ascii="仿宋_GB2312" w:hAnsi="仿宋_GB2312" w:eastAsia="仿宋_GB2312" w:cs="仿宋_GB2312"/>
          <w:b w:val="0"/>
          <w:color w:val="000000" w:themeColor="text1"/>
          <w:sz w:val="32"/>
          <w:szCs w:val="32"/>
          <w:lang w:eastAsia="zh-CN" w:bidi="ar"/>
          <w14:textFill>
            <w14:solidFill>
              <w14:schemeClr w14:val="tx1"/>
            </w14:solidFill>
          </w14:textFill>
        </w:rPr>
        <w:t>选拔</w:t>
      </w:r>
      <w:bookmarkStart w:id="8" w:name="_GoBack"/>
      <w:bookmarkEnd w:id="8"/>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；领导班子工作分工。重要项目安排：大宗办公物资及设备采购等；上级批准的重大或集体考察学习活动项目经费支出。都需进行单位事项决策。</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（三）项目资金分配</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1.部门（单位）预算编制及分配依据</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根据财政部门预算编制的相关文件、通知，实行“二上二下”的基本流程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2.分配结果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eastAsia="zh-Hans"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我单位资金分配与绩效目标一致，符合绩效目标合理性。</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3.重点支出保障率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本年度没有项目。</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（四）部门单位整体支出规模</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（1）年初预算执行情况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我单位年初预算数为153.45万元，实际预算执行数150.05万元，预算执行率为97.78%。</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（2）全年预算执行情况</w:t>
      </w:r>
    </w:p>
    <w:p>
      <w:pPr>
        <w:pStyle w:val="12"/>
        <w:snapToGrid w:val="0"/>
        <w:spacing w:line="540" w:lineRule="exact"/>
        <w:ind w:firstLine="640"/>
        <w:rPr>
          <w:rStyle w:val="9"/>
          <w:rFonts w:ascii="仿宋_GB2312" w:hAnsi="仿宋_GB2312" w:eastAsia="仿宋_GB2312" w:cs="仿宋_GB2312"/>
          <w:b w:val="0"/>
          <w:color w:val="FF0000"/>
          <w:sz w:val="32"/>
          <w:szCs w:val="32"/>
          <w:lang w:bidi="ar"/>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全年预算数为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430.03</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万元，全年实际支出资金343.66万元，预算执行率为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50</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2.预算调整情况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我单位年初批复预算数</w:t>
      </w:r>
      <w:r>
        <w:rPr>
          <w:rFonts w:hint="eastAsia" w:ascii="仿宋_GB2312" w:hAnsi="宋体" w:eastAsia="仿宋_GB2312" w:cs="宋体"/>
          <w:kern w:val="0"/>
          <w:sz w:val="32"/>
          <w:szCs w:val="32"/>
        </w:rPr>
        <w:t>153.45</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万元，年中调整数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276.58</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万元，调整后全年预算数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430.03</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万元，预算调整率</w:t>
      </w:r>
      <w:r>
        <w:rPr>
          <w:rStyle w:val="9"/>
          <w:rFonts w:ascii="仿宋_GB2312" w:hAnsi="仿宋_GB2312" w:eastAsia="仿宋_GB2312" w:cs="仿宋_GB2312"/>
          <w:b w:val="0"/>
          <w:color w:val="000000" w:themeColor="text1"/>
          <w:sz w:val="32"/>
          <w:szCs w:val="32"/>
          <w:lang w:bidi="ar"/>
          <w14:textFill>
            <w14:solidFill>
              <w14:schemeClr w14:val="tx1"/>
            </w14:solidFill>
          </w14:textFill>
        </w:rPr>
        <w:t>180.24</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 xml:space="preserve">3.政府采购执行情况 </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我单位本年度需政府采购的预算数为0万元。</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（五）评价使用方法和主要内容、涉及范围</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1.评价使用方法</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bookmarkStart w:id="1" w:name="_Hlk49856735"/>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本次评价主要采取比较法和调查法。一是比较法。对项目支出情况及建设后的产出及效果与项目实施计划目标进行比较，分析预计目标的完成程度。二是</w:t>
      </w:r>
      <w:r>
        <w:rPr>
          <w:rStyle w:val="9"/>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公众评判法</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2.评价对象及主要内容</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评价的对象及主要内容为:</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部门单位整体管理及使用情况，具体涉及预算管理、基本支出和专项支出的管理及使用情况；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部门单位整体支出绩效情况，具体涉及部门单位整体支出绩效目标的实现程度，包括是否达到预定产出、效果和效益效率等；</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部门单位专项组织实施情况，具体涉及专项组织情况分析和相关管理情况；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资产管理情况，具体涉及资产管理规范性和资产变动情况。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3.涉及的范围</w:t>
      </w:r>
      <w:bookmarkEnd w:id="1"/>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2" w:name="_Toc3253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部门单位整体支出管理及使用情况</w:t>
      </w:r>
      <w:bookmarkEnd w:id="2"/>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（一）预算管理情况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1.管理制度健全性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单位为加强预算管理，规范财务行为，已制定《新疆农业广播学校阿克陶县分校部门单位预算绩效管理工作实施办法》，《新疆农业广播学校阿克陶县分校财务管理制度》等健全完整的各项管理制度，有效保障了我单位高效的履行工作职能，较好的促进事业发展。</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2.资金使用合规性和安全性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3.预决算信息公开性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（二）基本支出和使用情况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1.基本支出和使用情况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2021年本单位基本支出全年预算总额</w:t>
      </w:r>
      <w:r>
        <w:rPr>
          <w:rStyle w:val="9"/>
          <w:rFonts w:ascii="仿宋_GB2312" w:hAnsi="仿宋_GB2312" w:eastAsia="仿宋_GB2312" w:cs="仿宋_GB2312"/>
          <w:b w:val="0"/>
          <w:color w:val="000000" w:themeColor="text1"/>
          <w:sz w:val="32"/>
          <w:szCs w:val="32"/>
          <w:lang w:bidi="ar"/>
          <w14:textFill>
            <w14:solidFill>
              <w14:schemeClr w14:val="tx1"/>
            </w14:solidFill>
          </w14:textFill>
        </w:rPr>
        <w:t>354.77</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万元，其中：人员经费</w:t>
      </w:r>
      <w:r>
        <w:rPr>
          <w:rFonts w:ascii="仿宋_GB2312" w:hAnsi="宋体" w:eastAsia="仿宋_GB2312" w:cs="宋体"/>
          <w:color w:val="000000" w:themeColor="text1"/>
          <w:kern w:val="0"/>
          <w:sz w:val="32"/>
          <w:szCs w:val="32"/>
          <w14:textFill>
            <w14:solidFill>
              <w14:schemeClr w14:val="tx1"/>
            </w14:solidFill>
          </w14:textFill>
        </w:rPr>
        <w:t>147.65</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万元，公用经费</w:t>
      </w:r>
      <w:r>
        <w:rPr>
          <w:rFonts w:ascii="仿宋_GB2312" w:hAnsi="宋体" w:eastAsia="仿宋_GB2312" w:cs="宋体"/>
          <w:color w:val="000000" w:themeColor="text1"/>
          <w:kern w:val="0"/>
          <w:sz w:val="32"/>
          <w:szCs w:val="32"/>
          <w14:textFill>
            <w14:solidFill>
              <w14:schemeClr w14:val="tx1"/>
            </w14:solidFill>
          </w14:textFill>
        </w:rPr>
        <w:t>207.11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万元。实际支出341.76万元，基本支出预算执行率</w:t>
      </w:r>
      <w:r>
        <w:rPr>
          <w:rStyle w:val="9"/>
          <w:rFonts w:ascii="仿宋_GB2312" w:hAnsi="仿宋_GB2312" w:eastAsia="仿宋_GB2312" w:cs="仿宋_GB2312"/>
          <w:b w:val="0"/>
          <w:color w:val="000000" w:themeColor="text1"/>
          <w:sz w:val="32"/>
          <w:szCs w:val="32"/>
          <w:lang w:bidi="ar"/>
          <w14:textFill>
            <w14:solidFill>
              <w14:schemeClr w14:val="tx1"/>
            </w14:solidFill>
          </w14:textFill>
        </w:rPr>
        <w:t>96.33</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0"/>
        <w:rPr>
          <w:rStyle w:val="9"/>
          <w:rFonts w:ascii="仿宋_GB2312" w:hAnsi="仿宋_GB2312" w:eastAsia="仿宋_GB2312" w:cs="仿宋_GB2312"/>
          <w:b w:val="0"/>
          <w:color w:val="000000" w:themeColor="text1"/>
          <w:sz w:val="32"/>
          <w:szCs w:val="32"/>
          <w:highlight w:val="yellow"/>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2.三公经费控制情况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我单位坚决贯彻落实中央、自治区、阿克陶</w:t>
      </w:r>
      <w:r>
        <w:rPr>
          <w:rFonts w:hint="eastAsia" w:ascii="仿宋" w:hAnsi="仿宋" w:eastAsia="仿宋" w:cs="宋体"/>
          <w:bCs/>
          <w:color w:val="000000" w:themeColor="text1"/>
          <w:sz w:val="32"/>
          <w:szCs w:val="32"/>
          <w:lang w:eastAsia="zh-Hans" w:bidi="ar"/>
          <w14:textFill>
            <w14:solidFill>
              <w14:schemeClr w14:val="tx1"/>
            </w14:solidFill>
          </w14:textFill>
        </w:rPr>
        <w:t>县</w:t>
      </w:r>
      <w:r>
        <w:rPr>
          <w:rFonts w:hint="eastAsia" w:ascii="仿宋" w:hAnsi="仿宋" w:eastAsia="仿宋" w:cs="宋体"/>
          <w:bCs/>
          <w:color w:val="000000" w:themeColor="text1"/>
          <w:sz w:val="32"/>
          <w:szCs w:val="32"/>
          <w:lang w:bidi="ar"/>
          <w14:textFill>
            <w14:solidFill>
              <w14:schemeClr w14:val="tx1"/>
            </w14:solidFill>
          </w14:textFill>
        </w:rPr>
        <w:t>厉行勤俭办公的工作要求，提倡本单位全体干部职工，勤俭节约，切实降低行政运行成本，确保每年“三公经费”只减不增。2021年“三公经费”预算为0.76万元，实际支出0万元，“三公经费”控制率为0%，其中：因公出国（境）费预算为0万元，实际支出0万元；公务接待费预算为0万元，实际支出0万元；公务用车购置费预算为0万元，实际支出0万元；公务用车运行维护费预算为0.76万元，实际支出0万元，公务用车运行维护费控制率0%，符合财政部门本年预算要求和相关管理制度要求。</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（三）专项支出管理和使用情况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2021年本单位安排专项支出预算总额1.9万元，实际支出1.9万元，专项支出预算执行率100%。</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2021年本单位共有1个资金项目，其中1个属经常性项目、0个属当年度新增项目，已完成项目1个、未完成项目0个。</w:t>
      </w:r>
    </w:p>
    <w:p>
      <w:pPr>
        <w:snapToGrid w:val="0"/>
        <w:spacing w:line="540" w:lineRule="exact"/>
        <w:ind w:left="648"/>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3" w:name="_Toc1734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三、部门单位专项组织实施情况</w:t>
      </w:r>
      <w:bookmarkEnd w:id="3"/>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本年我单位供实施1个项目，金额1.9万元，分别为新型只有人农民培育资金，全日制大中专免学费项目，1.9万元；</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（二）</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新型只有人农民培育资金，全日制大中专免学费</w:t>
      </w: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项目专项组织情况分析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1.前期准备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努尔曼古丽·西力力任评价组组长，绩效评价工作职责为负责全盘工作。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玉散·麦麦提任评价组副组长，绩效评价工作职责为为对项目实施情况进行实地调查。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李刚、阿依姆妮萨·阿卜来提、阿布都米吉提、沙比尔江·阿巴克，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2.组织实施</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（二）专项管理情况分析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1.项目资金情况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该项目预算资金</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1.9</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实际到位1.9万元，实际支出1.9万元。到位足额及时，预算编制依据充分，预算编制准确，资金不存在截留、挪用，支付审批合规、不存在用途改变、范围超支和虚列项目支出等情况；本项目严格按照《新疆农业广播学校阿克陶县分校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2.项目实施情况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项目组织情况：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项目管理情况：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项目监管情况：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3.项目绩效情况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成本控制情况：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严格按照相关的专项资金管理办法，实行多重审批控制专项经费的支出。</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成本节约情况：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4.项目效率性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项目实施进度：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项目完成质量：</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项目严格按照年度预期目标执行，项目完成质量达标。</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5.项目效益性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预期目标完成程度：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项目实施对效益的影响：</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项目的实施有效提升了培训人员的爱国主义意识，持续保障了培训工作的顺利开展。</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4" w:name="_Toc278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资产管理情况</w:t>
      </w:r>
      <w:bookmarkEnd w:id="4"/>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（一）资产管理规范性</w:t>
      </w:r>
    </w:p>
    <w:p>
      <w:pPr>
        <w:pStyle w:val="12"/>
        <w:snapToGrid w:val="0"/>
        <w:spacing w:line="540" w:lineRule="exact"/>
        <w:ind w:firstLine="624"/>
        <w:rPr>
          <w:rFonts w:ascii="仿宋" w:hAnsi="仿宋" w:eastAsia="仿宋" w:cs="宋体"/>
          <w:bCs/>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我单位2021年资产合计数为25.33万元，比上年增加2.06万元，主要原因是银行存款增加；其中：货币资金25.33万元，比上年增加2.06</w:t>
      </w:r>
      <w:r>
        <w:rPr>
          <w:rFonts w:hint="eastAsia" w:ascii="仿宋" w:hAnsi="仿宋" w:eastAsia="仿宋" w:cs="宋体"/>
          <w:bCs/>
          <w:color w:val="000000" w:themeColor="text1"/>
          <w:sz w:val="32"/>
          <w:szCs w:val="32"/>
          <w:lang w:bidi="ar"/>
          <w14:textFill>
            <w14:solidFill>
              <w14:schemeClr w14:val="tx1"/>
            </w14:solidFill>
          </w14:textFill>
        </w:rPr>
        <w:t>万元；财政应返还额度0万元，比上年相比无变化；房屋0平方米0万元，比上年减少0万元；在建工程0万元，与上年持平。我单位本年无资产处置情况，资产配置合理，使用规范，安全完整。</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1.资产管理情况。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2.固定资产利用情况。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我单位固定资产39.3万元,其中:2个车辆30.49万元，1个越野车16.49万元，1个其他车型14万元。目前正在使用的固定资产总额39.3万元，固定资产利用率为100%。</w:t>
      </w:r>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3.流动资产管理情况。</w:t>
      </w:r>
    </w:p>
    <w:p>
      <w:pPr>
        <w:pStyle w:val="12"/>
        <w:snapToGrid w:val="0"/>
        <w:spacing w:line="540" w:lineRule="exact"/>
        <w:ind w:firstLine="624"/>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（二）固定资产利用率</w:t>
      </w:r>
    </w:p>
    <w:p>
      <w:pPr>
        <w:pStyle w:val="12"/>
        <w:tabs>
          <w:tab w:val="left" w:pos="0"/>
        </w:tabs>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截止本年度固定资产账面净值5.87万元，年末实际在用固定资产3.87万元，固定资产利用率为65.92%。</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5" w:name="_Toc13582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部门单位整体支出绩效情况</w:t>
      </w:r>
      <w:bookmarkEnd w:id="5"/>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部门单位整体支出自评表，共设置一级指标3个，二级指标9个，三级指标11个。</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（一）产出指标完成情况分析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1.产出数量</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保障人员人数指标，预期指标是等于15人，实际完成值是15人，指标完成率是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保障车辆数（辆）指标，预期指标是等于2辆，实际完成值是2辆，指标完成率是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购买办公用品批量（批）指标，预期指标是等于5次，实际完成值是5次，指标完成率是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数量指标共计3个，完成3个，达到预期目标，数量指标完成。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2.产出质量</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资金使用合格率（%），预期指标是等于</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%，实际完成值是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%。指标完成率是100%，达到质量提升及标准。</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质量指标共计1个，完成1个，达到质量提升及标准。质量指标完成。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3.产出进度</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拨付及时率指标，预期指标是等于100%，实际完成值是98%，指标完成率是98%，达到预期目标。（未达成预期目标，未完成的原因：部分资金相关手续没有及时补好，来不及支出，今后的改进措施：提前准备好相关手续）</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时效指标共计</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个，达到预期目标，数量指标完成。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4.产出成本</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员经费（万元）指标，预期指标是等于150.29万元，实际完成值是147.65万元，指标完成率是98.24%，达到成本控制及改善目标。（未达成预期目标，未完成的原因：一个人退休，相关经费减少，今后的改进措施：做好年初预算）</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公用经费（万元）指标，预期指标是等于3.16万元，实际完成值是2.4万元，指标完成率是100%，达到成本控制及改善目标。（未达成预期目标，未完成的原因：相关手续没有及时补好，来不及支出，今后的改进措施：提前准备好相关手续）。</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成本指标共计2个，完成</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个，达到成本控制及改善目标，成本指标完成。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（二）效益指标完成情况分析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1.项目实施的经济效益分析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2.项目实施的社会效益分析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提升职工工作积极性指标，预期指标是有效提升，实际完成值是有效提升，指标完成率是100%，达到单位履职能力对社会带来的影响预期目标。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社会效益指标共计1个，完成1个，达到单位履职能力对社会带来的影响预期目标，社会效益指标完成。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3.项目实施的生态效益分析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4.项目实施的可持续影响分析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社会服务能力提升指标，预期指标是显著增强，实际完成值是显著增强，指标完成率是100%，实现部门绩效长效机制建设，提高工作效率目标。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可持续影响指标共计1个，完成1个，达到预期目标，可持续影响指标完成。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（三）满意度指标完成情况分析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职工满意度指标，预期指标是大于等于95%，实际完成值是98%，指标完成率是100%，达到部门（单位）服务对象对部门履职效果的满意度。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使用单位满意度指标，预期指标是大于等于95%，实际完成值是96%，达到部门（单位）服务对象对部门履职效果的满意度。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满意度指标共计3个，完成3个，达到部门（单位）服务对象对部门履职效果的满意度，服务对象满意度指标完成。</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6" w:name="_Toc22800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存在的主要问题</w:t>
      </w:r>
      <w:bookmarkEnd w:id="6"/>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绩效指标的明确性、可衡量性、相关性还需进一步提升。预算精细化管理还需完善，预算编制管理水平仍有进一步提升的空间。</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7" w:name="_Toc295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改进措施和建议</w:t>
      </w:r>
      <w:bookmarkEnd w:id="7"/>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（一）改进措施</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加大绩效工作宣传力度，强化绩效理念。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完善绩效指标，提高整体绩效目标质量。提升预算精细化管理水平。</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继续完善预算绩效管理相关工作制度，建立全过程预算绩效管理链条，有效贯彻落实全面实施绩效管理的精神。</w:t>
      </w:r>
    </w:p>
    <w:p>
      <w:pPr>
        <w:pStyle w:val="12"/>
        <w:snapToGrid w:val="0"/>
        <w:spacing w:line="540" w:lineRule="exact"/>
        <w:ind w:firstLine="624"/>
        <w:outlineLvl w:val="1"/>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二）建议</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9"/>
          <w:rFonts w:ascii="仿宋_GB2312" w:hAnsi="仿宋_GB2312" w:eastAsia="仿宋_GB2312" w:cs="仿宋_GB2312"/>
          <w:b w:val="0"/>
          <w:color w:val="000000" w:themeColor="text1"/>
          <w:spacing w:val="-4"/>
          <w:sz w:val="32"/>
          <w:szCs w:val="32"/>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E0793"/>
    <w:multiLevelType w:val="singleLevel"/>
    <w:tmpl w:val="8F6E0793"/>
    <w:lvl w:ilvl="0" w:tentative="0">
      <w:start w:val="2"/>
      <w:numFmt w:val="decimal"/>
      <w:suff w:val="nothing"/>
      <w:lvlText w:val="%1．"/>
      <w:lvlJc w:val="left"/>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55351"/>
    <w:rsid w:val="00191BA3"/>
    <w:rsid w:val="001C1E1D"/>
    <w:rsid w:val="001D7F79"/>
    <w:rsid w:val="001E750D"/>
    <w:rsid w:val="0022744B"/>
    <w:rsid w:val="00234372"/>
    <w:rsid w:val="00292A50"/>
    <w:rsid w:val="002939FF"/>
    <w:rsid w:val="002F7CCD"/>
    <w:rsid w:val="003F0DB2"/>
    <w:rsid w:val="00412788"/>
    <w:rsid w:val="00424A01"/>
    <w:rsid w:val="00491D09"/>
    <w:rsid w:val="004E1483"/>
    <w:rsid w:val="0054132C"/>
    <w:rsid w:val="005519D7"/>
    <w:rsid w:val="00580BAA"/>
    <w:rsid w:val="00590FAD"/>
    <w:rsid w:val="005B1250"/>
    <w:rsid w:val="006258B7"/>
    <w:rsid w:val="00633862"/>
    <w:rsid w:val="006B4CDA"/>
    <w:rsid w:val="006C5BED"/>
    <w:rsid w:val="006C5D3A"/>
    <w:rsid w:val="006D4FCD"/>
    <w:rsid w:val="006E5B50"/>
    <w:rsid w:val="006F7865"/>
    <w:rsid w:val="00702D4A"/>
    <w:rsid w:val="007115C8"/>
    <w:rsid w:val="00722C79"/>
    <w:rsid w:val="00724F4D"/>
    <w:rsid w:val="007925C0"/>
    <w:rsid w:val="007D6A0D"/>
    <w:rsid w:val="007E7E99"/>
    <w:rsid w:val="00802CD4"/>
    <w:rsid w:val="00825D99"/>
    <w:rsid w:val="0089387B"/>
    <w:rsid w:val="008E7E52"/>
    <w:rsid w:val="009304D8"/>
    <w:rsid w:val="0093778D"/>
    <w:rsid w:val="0097614B"/>
    <w:rsid w:val="0099431C"/>
    <w:rsid w:val="009E6FAC"/>
    <w:rsid w:val="009F5A38"/>
    <w:rsid w:val="00AA5126"/>
    <w:rsid w:val="00AD16CD"/>
    <w:rsid w:val="00AE2923"/>
    <w:rsid w:val="00B5590F"/>
    <w:rsid w:val="00B86B60"/>
    <w:rsid w:val="00BA13C5"/>
    <w:rsid w:val="00BD7AB3"/>
    <w:rsid w:val="00BF62C2"/>
    <w:rsid w:val="00C532B7"/>
    <w:rsid w:val="00C77007"/>
    <w:rsid w:val="00CD2F35"/>
    <w:rsid w:val="00CD5A03"/>
    <w:rsid w:val="00D2109F"/>
    <w:rsid w:val="00D82401"/>
    <w:rsid w:val="00D9126A"/>
    <w:rsid w:val="00D93262"/>
    <w:rsid w:val="00DB1085"/>
    <w:rsid w:val="00E71EE9"/>
    <w:rsid w:val="00EB1FFE"/>
    <w:rsid w:val="00F326C7"/>
    <w:rsid w:val="00F84215"/>
    <w:rsid w:val="00FF2ACD"/>
    <w:rsid w:val="012008EE"/>
    <w:rsid w:val="01CC583F"/>
    <w:rsid w:val="02697E2F"/>
    <w:rsid w:val="03123DCA"/>
    <w:rsid w:val="03791753"/>
    <w:rsid w:val="04FF0482"/>
    <w:rsid w:val="05062887"/>
    <w:rsid w:val="059C5BCD"/>
    <w:rsid w:val="05F70F85"/>
    <w:rsid w:val="067A4160"/>
    <w:rsid w:val="06995B24"/>
    <w:rsid w:val="072C08A3"/>
    <w:rsid w:val="08053EFD"/>
    <w:rsid w:val="084208C4"/>
    <w:rsid w:val="08FC0E5C"/>
    <w:rsid w:val="098A3C0A"/>
    <w:rsid w:val="0A9A7091"/>
    <w:rsid w:val="0C57234E"/>
    <w:rsid w:val="0D9773A6"/>
    <w:rsid w:val="0EE87AA5"/>
    <w:rsid w:val="0F7E6098"/>
    <w:rsid w:val="10161FDD"/>
    <w:rsid w:val="10B052EB"/>
    <w:rsid w:val="10FE60D7"/>
    <w:rsid w:val="145A2EDB"/>
    <w:rsid w:val="1514752E"/>
    <w:rsid w:val="175D58E3"/>
    <w:rsid w:val="18061B60"/>
    <w:rsid w:val="18622CA6"/>
    <w:rsid w:val="190C3DF8"/>
    <w:rsid w:val="19F83E30"/>
    <w:rsid w:val="1B2C2654"/>
    <w:rsid w:val="1B403139"/>
    <w:rsid w:val="1C6D319F"/>
    <w:rsid w:val="1D4D74D6"/>
    <w:rsid w:val="1DE32CFD"/>
    <w:rsid w:val="1F1A602A"/>
    <w:rsid w:val="1F2854B6"/>
    <w:rsid w:val="1F942DE2"/>
    <w:rsid w:val="20FA153B"/>
    <w:rsid w:val="21C768CD"/>
    <w:rsid w:val="22776641"/>
    <w:rsid w:val="22E14253"/>
    <w:rsid w:val="23F209A3"/>
    <w:rsid w:val="2403516E"/>
    <w:rsid w:val="254C103E"/>
    <w:rsid w:val="256A2A9E"/>
    <w:rsid w:val="25B36A26"/>
    <w:rsid w:val="25B54415"/>
    <w:rsid w:val="2805537E"/>
    <w:rsid w:val="289437EE"/>
    <w:rsid w:val="28A55EB1"/>
    <w:rsid w:val="2A241B69"/>
    <w:rsid w:val="2AB3006F"/>
    <w:rsid w:val="2C41159C"/>
    <w:rsid w:val="2DA336ED"/>
    <w:rsid w:val="2EBF757D"/>
    <w:rsid w:val="311118C1"/>
    <w:rsid w:val="31B83F5F"/>
    <w:rsid w:val="31EB11BF"/>
    <w:rsid w:val="32685C42"/>
    <w:rsid w:val="3278012B"/>
    <w:rsid w:val="328E2AB6"/>
    <w:rsid w:val="329B12EA"/>
    <w:rsid w:val="33A83F87"/>
    <w:rsid w:val="349F4C0E"/>
    <w:rsid w:val="355C2B3F"/>
    <w:rsid w:val="35F12468"/>
    <w:rsid w:val="36851B5C"/>
    <w:rsid w:val="36877708"/>
    <w:rsid w:val="37D360CA"/>
    <w:rsid w:val="388A2B69"/>
    <w:rsid w:val="388C7258"/>
    <w:rsid w:val="38CB5066"/>
    <w:rsid w:val="3A632E5C"/>
    <w:rsid w:val="3A8F74D3"/>
    <w:rsid w:val="3D6A7D83"/>
    <w:rsid w:val="3F301058"/>
    <w:rsid w:val="3FB51C09"/>
    <w:rsid w:val="417A34F9"/>
    <w:rsid w:val="418810F4"/>
    <w:rsid w:val="419F0FA1"/>
    <w:rsid w:val="41A37673"/>
    <w:rsid w:val="422F6EA6"/>
    <w:rsid w:val="42A12703"/>
    <w:rsid w:val="42C30950"/>
    <w:rsid w:val="444B446B"/>
    <w:rsid w:val="445157F9"/>
    <w:rsid w:val="452F78E8"/>
    <w:rsid w:val="45A65C7F"/>
    <w:rsid w:val="468C2A4A"/>
    <w:rsid w:val="46AD2493"/>
    <w:rsid w:val="46EC7F14"/>
    <w:rsid w:val="4851401A"/>
    <w:rsid w:val="48AF4C7F"/>
    <w:rsid w:val="48BD520B"/>
    <w:rsid w:val="48E32C88"/>
    <w:rsid w:val="4A301A0D"/>
    <w:rsid w:val="4A81677A"/>
    <w:rsid w:val="4A8D396F"/>
    <w:rsid w:val="4B7705C0"/>
    <w:rsid w:val="4BBF74EC"/>
    <w:rsid w:val="4D185106"/>
    <w:rsid w:val="4DA177B2"/>
    <w:rsid w:val="4DF36D4F"/>
    <w:rsid w:val="4FBC621D"/>
    <w:rsid w:val="4FE13ED5"/>
    <w:rsid w:val="501B7C76"/>
    <w:rsid w:val="504D5CCF"/>
    <w:rsid w:val="5095081C"/>
    <w:rsid w:val="517F39A6"/>
    <w:rsid w:val="52DE294E"/>
    <w:rsid w:val="533A7469"/>
    <w:rsid w:val="53526129"/>
    <w:rsid w:val="54DB173D"/>
    <w:rsid w:val="54E05FCC"/>
    <w:rsid w:val="55061CE8"/>
    <w:rsid w:val="565F61A9"/>
    <w:rsid w:val="57232FC4"/>
    <w:rsid w:val="572D2326"/>
    <w:rsid w:val="57365691"/>
    <w:rsid w:val="59EE1E48"/>
    <w:rsid w:val="5A490F5C"/>
    <w:rsid w:val="5BD21464"/>
    <w:rsid w:val="5BDE2B83"/>
    <w:rsid w:val="5E1E4546"/>
    <w:rsid w:val="5FBF1411"/>
    <w:rsid w:val="609A7B3A"/>
    <w:rsid w:val="609D1752"/>
    <w:rsid w:val="61635F72"/>
    <w:rsid w:val="618606C5"/>
    <w:rsid w:val="61952D71"/>
    <w:rsid w:val="6311467A"/>
    <w:rsid w:val="63324B55"/>
    <w:rsid w:val="63E114D3"/>
    <w:rsid w:val="63EB6B60"/>
    <w:rsid w:val="676C00D0"/>
    <w:rsid w:val="684C10EC"/>
    <w:rsid w:val="689D5C06"/>
    <w:rsid w:val="68FB55DA"/>
    <w:rsid w:val="6A0B0D54"/>
    <w:rsid w:val="6ABA55F7"/>
    <w:rsid w:val="6AD46D46"/>
    <w:rsid w:val="6C3D148F"/>
    <w:rsid w:val="6DE07909"/>
    <w:rsid w:val="6E565636"/>
    <w:rsid w:val="6E58438A"/>
    <w:rsid w:val="6E9D5508"/>
    <w:rsid w:val="6FA3087E"/>
    <w:rsid w:val="70932B72"/>
    <w:rsid w:val="71EA67C2"/>
    <w:rsid w:val="71EB22B3"/>
    <w:rsid w:val="72010FA6"/>
    <w:rsid w:val="72AC1CC9"/>
    <w:rsid w:val="72FC49FE"/>
    <w:rsid w:val="748A4F72"/>
    <w:rsid w:val="75664078"/>
    <w:rsid w:val="761E4132"/>
    <w:rsid w:val="77F130D1"/>
    <w:rsid w:val="78061A79"/>
    <w:rsid w:val="78340796"/>
    <w:rsid w:val="7A5C3FD5"/>
    <w:rsid w:val="7B155E96"/>
    <w:rsid w:val="7BC003CA"/>
    <w:rsid w:val="7CBE2D25"/>
    <w:rsid w:val="7CBF4BB4"/>
    <w:rsid w:val="7CCF6CE0"/>
    <w:rsid w:val="7D80622C"/>
    <w:rsid w:val="7DBF384A"/>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w:basedOn w:val="1"/>
    <w:qFormat/>
    <w:uiPriority w:val="0"/>
    <w:pPr>
      <w:spacing w:before="240" w:after="240" w:line="360" w:lineRule="auto"/>
      <w:jc w:val="center"/>
    </w:pPr>
    <w:rPr>
      <w:b/>
      <w:sz w:val="44"/>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表段落1"/>
    <w:basedOn w:val="1"/>
    <w:unhideWhenUsed/>
    <w:qFormat/>
    <w:uiPriority w:val="99"/>
    <w:pPr>
      <w:ind w:firstLine="420" w:firstLineChars="200"/>
    </w:pPr>
  </w:style>
  <w:style w:type="character" w:customStyle="1" w:styleId="13">
    <w:name w:val="页脚 字符"/>
    <w:basedOn w:val="8"/>
    <w:link w:val="6"/>
    <w:qFormat/>
    <w:uiPriority w:val="99"/>
    <w:rPr>
      <w:sz w:val="18"/>
      <w:szCs w:val="18"/>
    </w:rPr>
  </w:style>
  <w:style w:type="character" w:customStyle="1" w:styleId="14">
    <w:name w:val="页眉 字符"/>
    <w:basedOn w:val="8"/>
    <w:link w:val="7"/>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1011</Words>
  <Characters>5767</Characters>
  <Lines>48</Lines>
  <Paragraphs>13</Paragraphs>
  <TotalTime>23</TotalTime>
  <ScaleCrop>false</ScaleCrop>
  <LinksUpToDate>false</LinksUpToDate>
  <CharactersWithSpaces>6765</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2023-12-15T13:02:12Z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DC9E5FBDB8204BAE97F774D9C3B82085</vt:lpwstr>
  </property>
</Properties>
</file>