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000000" w:themeColor="text1"/>
          <w:sz w:val="32"/>
          <w:szCs w:val="32"/>
          <w:lang w:bidi="ar"/>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阿克陶</w:t>
      </w:r>
      <w:r>
        <w:rPr>
          <w:rFonts w:hint="eastAsia" w:ascii="方正小标宋简体" w:hAnsi="方正小标宋简体" w:eastAsia="方正小标宋简体" w:cs="方正小标宋简体"/>
          <w:b/>
          <w:color w:val="000000" w:themeColor="text1"/>
          <w:kern w:val="0"/>
          <w:sz w:val="44"/>
          <w:szCs w:val="44"/>
          <w:lang w:eastAsia="zh-Hans"/>
          <w14:textFill>
            <w14:solidFill>
              <w14:schemeClr w14:val="tx1"/>
            </w14:solidFill>
          </w14:textFill>
        </w:rPr>
        <w:t>县</w:t>
      </w: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部门单位整体支出绩效</w:t>
      </w: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自评报告</w:t>
      </w: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2021  年度）</w:t>
      </w: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color w:val="000000" w:themeColor="text1"/>
          <w:kern w:val="0"/>
          <w:sz w:val="32"/>
          <w:szCs w:val="32"/>
          <w14:textFill>
            <w14:solidFill>
              <w14:schemeClr w14:val="tx1"/>
            </w14:solidFill>
          </w14:textFill>
        </w:rPr>
      </w:pP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部门单位名称（公章）：阿克陶县农村合作经济经营管理服务中心</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填报时间：2022年3月19日</w:t>
      </w: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0" w:name="_Toc2394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基本概况</w:t>
      </w:r>
      <w:bookmarkEnd w:id="0"/>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（一）单位基本情况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1.部门主要职能</w:t>
      </w:r>
    </w:p>
    <w:p>
      <w:pPr>
        <w:pStyle w:val="3"/>
        <w:ind w:firstLine="560"/>
        <w:rPr>
          <w:rStyle w:val="9"/>
          <w:rFonts w:ascii="仿宋_GB2312" w:hAnsi="仿宋_GB2312" w:eastAsia="仿宋_GB2312" w:cs="仿宋_GB2312"/>
          <w:b w:val="0"/>
          <w:color w:val="000000" w:themeColor="text1"/>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Cs w:val="32"/>
          <w:lang w:bidi="ar"/>
          <w14:textFill>
            <w14:solidFill>
              <w14:schemeClr w14:val="tx1"/>
            </w14:solidFill>
          </w14:textFill>
        </w:rPr>
        <w:t>阿克陶县农村合作经济经营管理服务中心主要负责为农村合作经济健康发展，提供管理保障，土地承包管理，农村集体资产管理，农村合作经济组织管理，农村合作基金会管理，农村经济体系管理，农村政策宣传，土地清理，土地确权颁证，清产核资等。</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2.部门机构设置及人员构成</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阿克陶县农村合作经济经营管理服务中心是农业农村局的下属单位，为副科级，二级预算单位。</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kern w:val="0"/>
          <w:sz w:val="32"/>
          <w:szCs w:val="32"/>
        </w:rPr>
        <w:t>阿克陶县农村合作经济经营管理服务中心</w:t>
      </w:r>
      <w:r>
        <w:rPr>
          <w:rFonts w:hint="eastAsia" w:ascii="仿宋_GB2312" w:hAnsi="黑体" w:eastAsia="仿宋_GB2312" w:cs="宋体"/>
          <w:bCs/>
          <w:kern w:val="0"/>
          <w:sz w:val="32"/>
          <w:szCs w:val="32"/>
        </w:rPr>
        <w:t>无下属预算单位，下设 3  个处室，分别是：财务室，统计及土地确权管理办公室</w:t>
      </w:r>
      <w:r>
        <w:rPr>
          <w:rFonts w:hint="eastAsia" w:ascii="仿宋_GB2312" w:hAnsi="宋体" w:eastAsia="仿宋_GB2312" w:cs="宋体"/>
          <w:kern w:val="0"/>
          <w:sz w:val="32"/>
          <w:szCs w:val="32"/>
        </w:rPr>
        <w:t>。</w:t>
      </w:r>
    </w:p>
    <w:p>
      <w:pPr>
        <w:pStyle w:val="12"/>
        <w:snapToGrid w:val="0"/>
        <w:spacing w:line="540" w:lineRule="exact"/>
        <w:ind w:firstLine="640"/>
        <w:outlineLvl w:val="2"/>
        <w:rPr>
          <w:rFonts w:ascii="仿宋_GB2312" w:hAnsi="宋体" w:eastAsia="仿宋_GB2312" w:cs="宋体"/>
          <w:kern w:val="0"/>
          <w:sz w:val="32"/>
          <w:szCs w:val="32"/>
        </w:rPr>
      </w:pPr>
      <w:r>
        <w:rPr>
          <w:rFonts w:hint="eastAsia" w:ascii="仿宋_GB2312" w:hAnsi="宋体" w:eastAsia="仿宋_GB2312"/>
          <w:kern w:val="0"/>
          <w:sz w:val="32"/>
          <w:szCs w:val="32"/>
        </w:rPr>
        <w:t>阿克陶县农村合作经济经营管理服务中心</w:t>
      </w:r>
      <w:r>
        <w:rPr>
          <w:rFonts w:hint="eastAsia" w:ascii="仿宋_GB2312" w:hAnsi="宋体" w:eastAsia="仿宋_GB2312" w:cs="宋体"/>
          <w:kern w:val="0"/>
          <w:sz w:val="32"/>
          <w:szCs w:val="32"/>
        </w:rPr>
        <w:t>编制数 3人 ，实有人数12人，其中：在职7人，减少1人； 退休5人，增加0人；离休0人，增加0人。</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3.年度重点工作</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一是强化干部学习教育，持续聚焦总目标。</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二是持续开展群众工作、做好群众的困难帮扶。</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三是完善平台建设，努力提升服务水平。</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四是持续抓好作风建设，遵守各项党规党纪。</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（二）决策过程</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决策机制根据行政事业单位内部控制体系建设相关要求，逐步完善《阿克陶县农村合作经济经营管理服务中心党支部会议》、《三重一大会议制度》，根据制度规定；凡涉及到单位改革、发展和稳定关系工作人员切身利益的重大问题，均属于重大事项决策的范围；重要人事任免：后备干部推荐、</w:t>
      </w:r>
      <w:r>
        <w:rPr>
          <w:rStyle w:val="9"/>
          <w:rFonts w:hint="eastAsia" w:ascii="仿宋_GB2312" w:hAnsi="仿宋_GB2312" w:eastAsia="仿宋_GB2312" w:cs="仿宋_GB2312"/>
          <w:b w:val="0"/>
          <w:color w:val="000000" w:themeColor="text1"/>
          <w:sz w:val="32"/>
          <w:szCs w:val="32"/>
          <w:lang w:eastAsia="zh-CN" w:bidi="ar"/>
          <w14:textFill>
            <w14:solidFill>
              <w14:schemeClr w14:val="tx1"/>
            </w14:solidFill>
          </w14:textFill>
        </w:rPr>
        <w:t>选拔</w:t>
      </w:r>
      <w:bookmarkStart w:id="8" w:name="_GoBack"/>
      <w:bookmarkEnd w:id="8"/>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；领导班子工作分工。重要项目安排：大宗办公物资及设备采购等；上级批准的重大或集体考察学习活动项目经费支出。都需进行单位事项决策。</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（三）项目资金分配</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1.部门（单位）预算编制及分配依据</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根据财政部门预算编制的相关文件、通知，实行“二上二下”的基本流程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2.分配结果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eastAsia="zh-Hans"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我单位资金分配与绩效目标一致，符合绩效目标合理性。</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3.重点支出保障率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本年度1个重点项目支出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我单位本年主要实施1个重点项目，履行了办公楼维修主要职责。</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本年度预算安排的重点项目支出4万元，项目总支出</w:t>
      </w:r>
      <w:r>
        <w:rPr>
          <w:rStyle w:val="9"/>
          <w:rFonts w:ascii="仿宋_GB2312" w:hAnsi="仿宋_GB2312" w:eastAsia="仿宋_GB2312" w:cs="仿宋_GB2312"/>
          <w:b w:val="0"/>
          <w:color w:val="000000" w:themeColor="text1"/>
          <w:sz w:val="32"/>
          <w:szCs w:val="32"/>
          <w:lang w:bidi="ar"/>
          <w14:textFill>
            <w14:solidFill>
              <w14:schemeClr w14:val="tx1"/>
            </w14:solidFill>
          </w14:textFill>
        </w:rPr>
        <w:t>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万元，重点支出保障率为1</w:t>
      </w:r>
      <w:r>
        <w:rPr>
          <w:rStyle w:val="9"/>
          <w:rFonts w:ascii="仿宋_GB2312" w:hAnsi="仿宋_GB2312" w:eastAsia="仿宋_GB2312" w:cs="仿宋_GB2312"/>
          <w:b w:val="0"/>
          <w:color w:val="000000" w:themeColor="text1"/>
          <w:sz w:val="32"/>
          <w:szCs w:val="32"/>
          <w:lang w:bidi="ar"/>
          <w14:textFill>
            <w14:solidFill>
              <w14:schemeClr w14:val="tx1"/>
            </w14:solidFill>
          </w14:textFill>
        </w:rPr>
        <w:t>0</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0%。</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（四）部门单位整体支出规模</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（1）年初预算执行情况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我单位年初预算数为158.78万元，实际预算执行数140.69万元，预算执行率为88.61%。</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（2）全年预算执行情况</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全年预算数为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255.25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万元，全年实际支出资金190.31万元，预算执行率为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75.55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2.预算调整情况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我单位年初批复预算数158.78万元，年中调整数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96.47</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万元，调整后全年预算数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255.25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万元，预算调整率</w:t>
      </w:r>
      <w:r>
        <w:rPr>
          <w:rStyle w:val="9"/>
          <w:rFonts w:ascii="仿宋_GB2312" w:hAnsi="仿宋_GB2312" w:eastAsia="仿宋_GB2312" w:cs="仿宋_GB2312"/>
          <w:b w:val="0"/>
          <w:color w:val="000000" w:themeColor="text1"/>
          <w:sz w:val="32"/>
          <w:szCs w:val="32"/>
          <w:lang w:bidi="ar"/>
          <w14:textFill>
            <w14:solidFill>
              <w14:schemeClr w14:val="tx1"/>
            </w14:solidFill>
          </w14:textFill>
        </w:rPr>
        <w:t>60.75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 xml:space="preserve">3.政府采购执行情况 </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我单位本年度需政府采购的预算数为0万元。</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（五）评价使用方法和主要内容、涉及范围</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1.评价使用方法</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bookmarkStart w:id="1" w:name="_Hlk49856735"/>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本次评价主要采取比较法和调查法。一是比较法。对项目支出情况及建设后的产出及效果与项目实施计划目标进行比较，分析预计目标的完成程度。二是</w:t>
      </w:r>
      <w:r>
        <w:rPr>
          <w:rStyle w:val="9"/>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公众评判法</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2.评价对象及主要内容</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评价的对象及主要内容为: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部门单位整体管理及使用情况，具体涉及预算管理、基本支出和专项支出的管理及使用情况；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部门单位专项组织实施情况，具体涉及专项组织情况分析和相关管理情况；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资产管理情况，具体涉及资产管理规范性和资产变动情况。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3.涉及的范围</w:t>
      </w:r>
      <w:bookmarkEnd w:id="1"/>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2" w:name="_Toc3253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部门单位整体支出管理及使用情况</w:t>
      </w:r>
      <w:bookmarkEnd w:id="2"/>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（一）预算管理情况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1.管理制度健全性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阿克陶县农村合作经济经营管理服务中心部门单位预算绩效管理工作实施办法》，《阿克陶县农村合作经济经营管理服务中心财务管理制度》等健全完整的各项管理制度，有效保障了我单位高效的履行工作职能，较好的促进事业发展。</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2.资金使用合规性和安全性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3.预决算信息公开性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（二）基本支出和使用情况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1.基本支出和使用情况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2021年本单位基本支出全年预算总额</w:t>
      </w:r>
      <w:r>
        <w:rPr>
          <w:rStyle w:val="9"/>
          <w:rFonts w:ascii="仿宋_GB2312" w:hAnsi="仿宋_GB2312" w:eastAsia="仿宋_GB2312" w:cs="仿宋_GB2312"/>
          <w:b w:val="0"/>
          <w:color w:val="000000" w:themeColor="text1"/>
          <w:sz w:val="32"/>
          <w:szCs w:val="32"/>
          <w:lang w:bidi="ar"/>
          <w14:textFill>
            <w14:solidFill>
              <w14:schemeClr w14:val="tx1"/>
            </w14:solidFill>
          </w14:textFill>
        </w:rPr>
        <w:t>144.83</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万元，其中：人员经费</w:t>
      </w:r>
      <w:r>
        <w:rPr>
          <w:rFonts w:ascii="仿宋_GB2312" w:hAnsi="宋体" w:eastAsia="仿宋_GB2312" w:cs="宋体"/>
          <w:color w:val="000000" w:themeColor="text1"/>
          <w:kern w:val="0"/>
          <w:sz w:val="32"/>
          <w:szCs w:val="32"/>
          <w14:textFill>
            <w14:solidFill>
              <w14:schemeClr w14:val="tx1"/>
            </w14:solidFill>
          </w14:textFill>
        </w:rPr>
        <w:t>143.73</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万元，公用经费</w:t>
      </w:r>
      <w:r>
        <w:rPr>
          <w:rFonts w:ascii="仿宋_GB2312" w:hAnsi="宋体" w:eastAsia="仿宋_GB2312" w:cs="宋体"/>
          <w:color w:val="000000" w:themeColor="text1"/>
          <w:kern w:val="0"/>
          <w:sz w:val="32"/>
          <w:szCs w:val="32"/>
          <w14:textFill>
            <w14:solidFill>
              <w14:schemeClr w14:val="tx1"/>
            </w14:solidFill>
          </w14:textFill>
        </w:rPr>
        <w:t>1.1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万元。实际支出140.69万元，基本支出预算执行率98.24%。</w:t>
      </w:r>
    </w:p>
    <w:p>
      <w:pPr>
        <w:pStyle w:val="12"/>
        <w:snapToGrid w:val="0"/>
        <w:spacing w:line="540" w:lineRule="exact"/>
        <w:ind w:firstLine="640"/>
        <w:rPr>
          <w:rStyle w:val="9"/>
          <w:rFonts w:ascii="仿宋_GB2312" w:hAnsi="仿宋_GB2312" w:eastAsia="仿宋_GB2312" w:cs="仿宋_GB2312"/>
          <w:b w:val="0"/>
          <w:color w:val="000000" w:themeColor="text1"/>
          <w:sz w:val="32"/>
          <w:szCs w:val="32"/>
          <w:highlight w:val="yellow"/>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2.三公经费控制情况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我单位坚决贯彻落实中央、自治区、阿克陶</w:t>
      </w:r>
      <w:r>
        <w:rPr>
          <w:rFonts w:hint="eastAsia" w:ascii="仿宋" w:hAnsi="仿宋" w:eastAsia="仿宋" w:cs="宋体"/>
          <w:bCs/>
          <w:color w:val="000000" w:themeColor="text1"/>
          <w:sz w:val="32"/>
          <w:szCs w:val="32"/>
          <w:lang w:eastAsia="zh-Hans" w:bidi="ar"/>
          <w14:textFill>
            <w14:solidFill>
              <w14:schemeClr w14:val="tx1"/>
            </w14:solidFill>
          </w14:textFill>
        </w:rPr>
        <w:t>县</w:t>
      </w:r>
      <w:r>
        <w:rPr>
          <w:rFonts w:hint="eastAsia" w:ascii="仿宋" w:hAnsi="仿宋" w:eastAsia="仿宋" w:cs="宋体"/>
          <w:bCs/>
          <w:color w:val="000000" w:themeColor="text1"/>
          <w:sz w:val="32"/>
          <w:szCs w:val="32"/>
          <w:lang w:bidi="ar"/>
          <w14:textFill>
            <w14:solidFill>
              <w14:schemeClr w14:val="tx1"/>
            </w14:solidFill>
          </w14:textFill>
        </w:rPr>
        <w:t>厉行勤俭办公的工作要求，提倡本单位全体干部职工，勤俭节约，切实降低行政运行成本，确保每年“三公经费”只减不增。2021年“三公经费”预算为0.5万元，实际支出0.5万元，“三公经费”控制率为100%，其中：因公出国（境）费预算为0万元，实际支出0万元；公务接待费预算为0万元，实际支出0万元；公务用车购置费预算为0万元，实际支出0万元；公务用车运行维护费预算为0.5万元，实际支出0.5万元，公务用车运行维护费控制率100%，符合财政部门本年预算要求和相关管理制度要求。</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（三）专项支出管理和使用情况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2021年本单位安排专项支出预算总额53.62万元，实际支出49.62万元，专项支出预算执行率92.54%。</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2021年本单位共有3个资金项目，其中3个属经常性项目、0个属当年度新增项目，已完成项目2个、未完成项目1个。</w:t>
      </w:r>
    </w:p>
    <w:p>
      <w:pPr>
        <w:snapToGrid w:val="0"/>
        <w:spacing w:line="540" w:lineRule="exact"/>
        <w:ind w:left="648"/>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3" w:name="_Toc1734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三、部门单位专项组织实施情况</w:t>
      </w:r>
      <w:bookmarkEnd w:id="3"/>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3个以内的项目分项说明：本年我单位供实施3个项目，金额53.62万元，分别为土地纠纷仲裁庭办公经费项目4万元；固定观察工作经费5.32万元；社会化服务资金44.3万元。</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（一）土地纠纷仲裁庭办公经费项目专项组织情况分析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何纪斌任评价组组长，绩效评价工作职责为负责全盘工作。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高阳任评价组副组长，绩效评价工作职责为为对项目实施情况进行实地调查。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热央姑·买买提，如孜古丽·热合曼，吐逊江·托合提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（二）</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固定观察工作经费</w:t>
      </w: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项目专项组织情况分析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何纪斌任评价组组长，绩效评价工作职责为负责全盘工作。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高阳任评价组副组长，绩效评价工作职责为为对项目实施情况进行实地调查。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热央姑·买买提，如孜古丽·热合曼，吐逊江·托合提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outlineLvl w:val="1"/>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（三）</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社会化服务资金</w:t>
      </w: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项目专项组织情况分析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何纪斌任评价组组长，绩效评价工作职责为负责全盘工作。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高阳任评价组副组长，绩效评价工作职责为为对项目实施情况进行实地调查。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热央姑·买买提，如孜古丽·热合曼，吐逊江·托合提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40"/>
        <w:outlineLvl w:val="1"/>
        <w:rPr>
          <w:rStyle w:val="9"/>
          <w:rFonts w:ascii="仿宋_GB2312" w:hAnsi="仿宋_GB2312" w:eastAsia="仿宋_GB2312" w:cs="仿宋_GB2312"/>
          <w:b w:val="0"/>
          <w:color w:val="000000" w:themeColor="text1"/>
          <w:sz w:val="32"/>
          <w:szCs w:val="32"/>
          <w:lang w:bidi="ar"/>
          <w14:textFill>
            <w14:solidFill>
              <w14:schemeClr w14:val="tx1"/>
            </w14:solidFill>
          </w14:textFill>
        </w:rPr>
      </w:pPr>
    </w:p>
    <w:p>
      <w:pPr>
        <w:pStyle w:val="12"/>
        <w:snapToGrid w:val="0"/>
        <w:spacing w:line="540" w:lineRule="exact"/>
        <w:ind w:firstLine="627"/>
        <w:outlineLvl w:val="1"/>
        <w:rPr>
          <w:rStyle w:val="9"/>
          <w:rFonts w:hint="eastAsia"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（二）专项管理情况分析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1.项目资金情况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该项目预算资金</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53.62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实际到位53.62万元，实际支出49.62万元。到位足额及时，预算编制依据充分，预算编制准确，资金不存在截留、挪用，支付审批合规、不存在用途改变、范围超支和虚列项目支出等情况；本项目严格按照《阿克陶县农村合作经济经营管理服务中心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项目组织情况：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项目管理情况：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项目监管情况：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3.项目绩效情况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成本控制情况：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严格按照相关的专项资金管理办法，实行多重审批控制专项经费的支出。</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成本节约情况：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4.项目效率性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项目实施进度：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项目完成质量：</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项目严格按照年度预期目标执行，项目完成质量达标。</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5.项目效益性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预期目标完成程度：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项目实施对效益的影响：</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4" w:name="_Toc278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资产管理情况</w:t>
      </w:r>
      <w:bookmarkEnd w:id="4"/>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（一）资产管理规范性</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2021年资产合计数为76.95万元，比上年增加4.33万元，主要原因是；货币资金在建工程增加，其中：货币资金76.95万元，比上年增加4.33万元；财政应返还额度0万元，比上年相比无变化；房屋0平方米0万元，比上年减少0万元；车辆1辆14.37万元，与上年相比无变化；在建工程25万元，与上年增加25万元。我单位本年无资产处置情况（根据单位实际情况修改），资产配置合理，使用规范，安全完整。</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1.资产管理情况。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2.固定资产利用情况。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我单位固定资产33.64万元,其中:0套房屋0万元，1辆车14.37万元，1个其他车型14.37万元。目前正在使用的固定资产总额33.64万元，固定资产利用率为100%。</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3.流动资产管理情况。</w:t>
      </w:r>
    </w:p>
    <w:p>
      <w:pPr>
        <w:pStyle w:val="12"/>
        <w:snapToGrid w:val="0"/>
        <w:spacing w:line="540" w:lineRule="exact"/>
        <w:ind w:firstLine="624"/>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w:t>
      </w:r>
      <w:r>
        <w:rPr>
          <w:rStyle w:val="9"/>
          <w:rFonts w:hint="eastAsia" w:ascii="仿宋" w:hAnsi="仿宋" w:eastAsia="仿宋" w:cstheme="minorBidi"/>
          <w:b w:val="0"/>
          <w:bCs w:val="0"/>
          <w:color w:val="000000" w:themeColor="text1"/>
          <w:spacing w:val="-4"/>
          <w:sz w:val="32"/>
          <w:szCs w:val="32"/>
          <w14:textFill>
            <w14:solidFill>
              <w14:schemeClr w14:val="tx1"/>
            </w14:solidFill>
          </w14:textFill>
        </w:rPr>
        <w:t>填写</w:t>
      </w:r>
      <w:r>
        <w:rPr>
          <w:rStyle w:val="9"/>
          <w:rFonts w:hint="eastAsia" w:ascii="仿宋" w:hAnsi="仿宋" w:eastAsia="仿宋"/>
          <w:b w:val="0"/>
          <w:bCs w:val="0"/>
          <w:color w:val="000000" w:themeColor="text1"/>
          <w:spacing w:val="-4"/>
          <w:sz w:val="32"/>
          <w:szCs w:val="32"/>
          <w14:textFill>
            <w14:solidFill>
              <w14:schemeClr w14:val="tx1"/>
            </w14:solidFill>
          </w14:textFill>
        </w:rPr>
        <w:t>《借款单》，经单位负责人审签，由财务负责人签字后报主管财务领导审批，非公务活动一律不得借款，并要求在规定得时间内及时结账。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（二）固定资产利用率</w:t>
      </w:r>
    </w:p>
    <w:p>
      <w:pPr>
        <w:pStyle w:val="12"/>
        <w:tabs>
          <w:tab w:val="left" w:pos="0"/>
        </w:tabs>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截止本年度</w:t>
      </w:r>
      <w:r>
        <w:rPr>
          <w:rStyle w:val="9"/>
          <w:rFonts w:hint="eastAsia" w:ascii="仿宋" w:hAnsi="仿宋" w:eastAsia="仿宋" w:cstheme="minorBidi"/>
          <w:b w:val="0"/>
          <w:bCs w:val="0"/>
          <w:color w:val="000000" w:themeColor="text1"/>
          <w:spacing w:val="-4"/>
          <w:sz w:val="32"/>
          <w:szCs w:val="32"/>
          <w14:textFill>
            <w14:solidFill>
              <w14:schemeClr w14:val="tx1"/>
            </w14:solidFill>
          </w14:textFill>
        </w:rPr>
        <w:t>固定资产账面净值4.2万元，年末实际在用固定资产2.85万元，固定资产利用率为67.85%。</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5" w:name="_Toc13582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部门单位整体支出绩效情况</w:t>
      </w:r>
      <w:bookmarkEnd w:id="5"/>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部门单位整体支出自评表，共设置一级指标3个，二级指标7个，三级指标15个。</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（一）产出指标完成情况分析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1.产出数量</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保障人员工资人数（人）指标，预期指标是等于</w:t>
      </w:r>
      <w:r>
        <w:rPr>
          <w:rFonts w:hint="eastAsia" w:ascii="仿宋" w:hAnsi="仿宋" w:eastAsia="仿宋" w:cs="宋体"/>
          <w:bCs/>
          <w:color w:val="000000" w:themeColor="text1"/>
          <w:sz w:val="32"/>
          <w:szCs w:val="32"/>
          <w:lang w:bidi="ar"/>
          <w14:textFill>
            <w14:solidFill>
              <w14:schemeClr w14:val="tx1"/>
            </w14:solidFill>
          </w14:textFill>
        </w:rPr>
        <w:t>12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人，实际完成值是</w:t>
      </w:r>
      <w:r>
        <w:rPr>
          <w:rFonts w:hint="eastAsia" w:ascii="仿宋" w:hAnsi="仿宋" w:eastAsia="仿宋" w:cs="宋体"/>
          <w:bCs/>
          <w:color w:val="000000" w:themeColor="text1"/>
          <w:sz w:val="32"/>
          <w:szCs w:val="32"/>
          <w:lang w:bidi="ar"/>
          <w14:textFill>
            <w14:solidFill>
              <w14:schemeClr w14:val="tx1"/>
            </w14:solidFill>
          </w14:textFill>
        </w:rPr>
        <w:t>12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人，指标完成率是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保障车辆数（辆）指标，预期指标等于1次，实际完成值是1次，指标完成率是100%，达到预期目标。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购买燃油和维修的车辆数指标，预期指标是等于1辆，实际完成值是1辆，指标完成率是100%，达到预期目标。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购买办公用品批量指标，预期指标等于5批，实际完成值是5批，指标完成率是100%，达到预期目标。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解决土地纠纷案件数（次）指标，预期指标是大于等于1次，实际完成值是0次，指标完成率是100%。（未达成预期目标，未完成的原因：疫情原因财政资金紧张，今后的改进措施：做好年初预算，保证按时做支出）</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数量指标共计5个，完成4个，达到预期目标，数量指标完成。</w:t>
      </w:r>
    </w:p>
    <w:p>
      <w:pPr>
        <w:pStyle w:val="12"/>
        <w:snapToGrid w:val="0"/>
        <w:spacing w:line="540" w:lineRule="exact"/>
        <w:ind w:firstLine="627"/>
        <w:outlineLvl w:val="2"/>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2.产出质量</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资金使用合格率（%），预期指标是等于</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%。指标完成率是100%，达到质量提升及标准。</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质量指标共计1个，完成1个，达到质量提升及标准。质量指标完成。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3.产出进度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拨付及时率指标，预期指标是等于100%，实际完成值是100%，指标完成率是89%，达到预期目标。（未达成预期目标，未完成的原因：疫情原因财政资金紧张，年初预算项目经费没能支出，今后的改进措施：做好年初预算，保证按时做支出）</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4.产出成本</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人员经费（万元）指标，预期指标是小于等于等于151.4万元，实际完成值是139.84万元，指标完成率是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公用经费（万元）指标，预期指标是小于等于3.38万元，实际完成值是0.85万元，指标完成率是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经费（万元）指标，预期指标是小于等于4万元，实际完成值是0万元，指标完成率是100%，达到成本控制及改善目标。（未达成预期目标，未完成的原因：疫情原因财政资金紧张，今后的改进措施：做好年初预算，保证按时做支出）</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成本指标共计3个，完成2个，达到成本控制及改善目标，成本指标完成。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（二）效益指标完成情况分析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1.项目实施的经济效益分析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2.项目实施的社会效益分析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社会效益指标，预期指标是有效提升，实际完成值是有效提升，指标完成率是100%，达到单位履职能力对社会带来的影响预期目标。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可持续影响指标，预期指标是有效提升，实际完成值是有效提升，指标完成率是100%，达到单位履职能力对社会带来的影响预期目标。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社会效益指标共计2个，完成2个，达到单位履职能力对社会带来的影响预期目标，社会效益指标完成。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3.项目实施的生态效益分析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4.项目实施的可持续影响分析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可持续影响指标，预期指标是有效提升，实际完成值是有效提升，指标完成率是100%，实现部门绩效长效机制建设，提高工作效率目标。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可持续影响指标共计1个，完成1个，达到预期目标，可持续影响指标完成。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（三）满意度指标完成情况分析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职工满意度指标，预期指标是大于等于95%，实际完成值是98%，指标完成率是98%，达到部门（单位）服务对象对部门履职效果的满意度。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使用单位满意度指标，预期指标是大于等于95%，实际完成值是96%，达到部门（单位）服务对象对部门履职效果的满意度。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受益群众满意度指标,预期指标是大于等于95%，实际完成值是98%，达到部门（单位）服务对象对部门履职效果的满意。</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满意度指标共计3个，完成3个，达到部门（单位）服务对象对部门履职效果的满意度，服务对象满意度指标完成。</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6" w:name="_Toc22800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存在的主要问题</w:t>
      </w:r>
      <w:bookmarkEnd w:id="6"/>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7" w:name="_Toc295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改进措施和建议</w:t>
      </w:r>
      <w:bookmarkEnd w:id="7"/>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（一）改进措施</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加大绩效工作宣传力度，强化绩效理念。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完善绩效指标，提高整体绩效目标质量。提升预算精细化管理水平。</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继续完善预算绩效管理相关工作制度，建立全过程预算绩效管理链条，有效贯彻落实全面实施绩效管理的精神。</w:t>
      </w:r>
    </w:p>
    <w:p>
      <w:pPr>
        <w:pStyle w:val="12"/>
        <w:snapToGrid w:val="0"/>
        <w:spacing w:line="540" w:lineRule="exact"/>
        <w:ind w:firstLine="624"/>
        <w:outlineLvl w:val="1"/>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二）建议</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9"/>
          <w:rFonts w:ascii="仿宋_GB2312" w:hAnsi="仿宋_GB2312" w:eastAsia="仿宋_GB2312" w:cs="仿宋_GB2312"/>
          <w:b w:val="0"/>
          <w:color w:val="000000" w:themeColor="text1"/>
          <w:spacing w:val="-4"/>
          <w:sz w:val="32"/>
          <w:szCs w:val="32"/>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8274C"/>
    <w:rsid w:val="00191BA3"/>
    <w:rsid w:val="001C1E1D"/>
    <w:rsid w:val="001D7F79"/>
    <w:rsid w:val="001E750D"/>
    <w:rsid w:val="0022744B"/>
    <w:rsid w:val="00234372"/>
    <w:rsid w:val="00292A50"/>
    <w:rsid w:val="002939FF"/>
    <w:rsid w:val="002F7CCD"/>
    <w:rsid w:val="003F0DB2"/>
    <w:rsid w:val="00424A01"/>
    <w:rsid w:val="00476CB1"/>
    <w:rsid w:val="00491D09"/>
    <w:rsid w:val="004E1483"/>
    <w:rsid w:val="0054132C"/>
    <w:rsid w:val="005519D7"/>
    <w:rsid w:val="00580BAA"/>
    <w:rsid w:val="00590FAD"/>
    <w:rsid w:val="005B1250"/>
    <w:rsid w:val="006258B7"/>
    <w:rsid w:val="00633862"/>
    <w:rsid w:val="0069538C"/>
    <w:rsid w:val="006B4CDA"/>
    <w:rsid w:val="006C5BED"/>
    <w:rsid w:val="006C5D3A"/>
    <w:rsid w:val="006D4FCD"/>
    <w:rsid w:val="006E5B50"/>
    <w:rsid w:val="006F7865"/>
    <w:rsid w:val="00702D4A"/>
    <w:rsid w:val="007115C8"/>
    <w:rsid w:val="00722C79"/>
    <w:rsid w:val="00724F4D"/>
    <w:rsid w:val="007925C0"/>
    <w:rsid w:val="007D6A0D"/>
    <w:rsid w:val="007E7E99"/>
    <w:rsid w:val="00802CD4"/>
    <w:rsid w:val="00824069"/>
    <w:rsid w:val="00825D99"/>
    <w:rsid w:val="0089387B"/>
    <w:rsid w:val="008E7E52"/>
    <w:rsid w:val="009304D8"/>
    <w:rsid w:val="0093778D"/>
    <w:rsid w:val="0097614B"/>
    <w:rsid w:val="0099431C"/>
    <w:rsid w:val="009F5A38"/>
    <w:rsid w:val="00AA5126"/>
    <w:rsid w:val="00AD16CD"/>
    <w:rsid w:val="00B33C01"/>
    <w:rsid w:val="00B5590F"/>
    <w:rsid w:val="00B86B60"/>
    <w:rsid w:val="00BA13C5"/>
    <w:rsid w:val="00BD7AB3"/>
    <w:rsid w:val="00BF62C2"/>
    <w:rsid w:val="00C532B7"/>
    <w:rsid w:val="00C77007"/>
    <w:rsid w:val="00CD2F35"/>
    <w:rsid w:val="00CD5A03"/>
    <w:rsid w:val="00D82401"/>
    <w:rsid w:val="00D9126A"/>
    <w:rsid w:val="00D93262"/>
    <w:rsid w:val="00DB1085"/>
    <w:rsid w:val="00E209F2"/>
    <w:rsid w:val="00E71EE9"/>
    <w:rsid w:val="00EB1FFE"/>
    <w:rsid w:val="00F326C7"/>
    <w:rsid w:val="00F84215"/>
    <w:rsid w:val="00FF2ACD"/>
    <w:rsid w:val="012008EE"/>
    <w:rsid w:val="01CC583F"/>
    <w:rsid w:val="03B24C65"/>
    <w:rsid w:val="03D270B5"/>
    <w:rsid w:val="047606D2"/>
    <w:rsid w:val="04FF0482"/>
    <w:rsid w:val="05062887"/>
    <w:rsid w:val="05F70F85"/>
    <w:rsid w:val="06E00590"/>
    <w:rsid w:val="084208C4"/>
    <w:rsid w:val="08541D0C"/>
    <w:rsid w:val="090B7F69"/>
    <w:rsid w:val="098A3C0A"/>
    <w:rsid w:val="0A9A7091"/>
    <w:rsid w:val="0AC7268F"/>
    <w:rsid w:val="0B523205"/>
    <w:rsid w:val="10833C11"/>
    <w:rsid w:val="10FE60D7"/>
    <w:rsid w:val="11270A41"/>
    <w:rsid w:val="13DF5603"/>
    <w:rsid w:val="13F6294C"/>
    <w:rsid w:val="14F21366"/>
    <w:rsid w:val="150B2427"/>
    <w:rsid w:val="152902CB"/>
    <w:rsid w:val="15627B6B"/>
    <w:rsid w:val="15E769F0"/>
    <w:rsid w:val="175D58E3"/>
    <w:rsid w:val="18061B60"/>
    <w:rsid w:val="190C3DF8"/>
    <w:rsid w:val="19F83E30"/>
    <w:rsid w:val="1B403139"/>
    <w:rsid w:val="1C6D319F"/>
    <w:rsid w:val="1D4D74D6"/>
    <w:rsid w:val="1DE32CFD"/>
    <w:rsid w:val="1E854FF8"/>
    <w:rsid w:val="1F1A602A"/>
    <w:rsid w:val="1F2854B6"/>
    <w:rsid w:val="21C768CD"/>
    <w:rsid w:val="22462CF1"/>
    <w:rsid w:val="22776641"/>
    <w:rsid w:val="22E14253"/>
    <w:rsid w:val="22E83691"/>
    <w:rsid w:val="231E77CA"/>
    <w:rsid w:val="23F209A3"/>
    <w:rsid w:val="2403516E"/>
    <w:rsid w:val="249935AC"/>
    <w:rsid w:val="24C06D8A"/>
    <w:rsid w:val="254C103E"/>
    <w:rsid w:val="256A2A9E"/>
    <w:rsid w:val="2805537E"/>
    <w:rsid w:val="28147D3C"/>
    <w:rsid w:val="289437EE"/>
    <w:rsid w:val="28A55EB1"/>
    <w:rsid w:val="2B807273"/>
    <w:rsid w:val="2EBF757D"/>
    <w:rsid w:val="31B83F5F"/>
    <w:rsid w:val="3278012B"/>
    <w:rsid w:val="328E2AB6"/>
    <w:rsid w:val="329B12EA"/>
    <w:rsid w:val="33010C9A"/>
    <w:rsid w:val="33A83F87"/>
    <w:rsid w:val="343B01DB"/>
    <w:rsid w:val="345F4AF7"/>
    <w:rsid w:val="355C2B3F"/>
    <w:rsid w:val="35F12468"/>
    <w:rsid w:val="364A2958"/>
    <w:rsid w:val="36851B5C"/>
    <w:rsid w:val="37D360CA"/>
    <w:rsid w:val="38CB5066"/>
    <w:rsid w:val="3A632E5C"/>
    <w:rsid w:val="3D6A7D83"/>
    <w:rsid w:val="3F301058"/>
    <w:rsid w:val="40844CB8"/>
    <w:rsid w:val="417A34F9"/>
    <w:rsid w:val="418810F4"/>
    <w:rsid w:val="41A37673"/>
    <w:rsid w:val="42C30950"/>
    <w:rsid w:val="438374A9"/>
    <w:rsid w:val="44B10046"/>
    <w:rsid w:val="44FC7513"/>
    <w:rsid w:val="4508410A"/>
    <w:rsid w:val="45A65C7F"/>
    <w:rsid w:val="468C2A4A"/>
    <w:rsid w:val="46AD2493"/>
    <w:rsid w:val="46EC7F14"/>
    <w:rsid w:val="47835CCA"/>
    <w:rsid w:val="4851401A"/>
    <w:rsid w:val="48AF4C7F"/>
    <w:rsid w:val="4A81677A"/>
    <w:rsid w:val="4B7705C0"/>
    <w:rsid w:val="4C612351"/>
    <w:rsid w:val="4D8E7176"/>
    <w:rsid w:val="4DA177B2"/>
    <w:rsid w:val="4DF36D4F"/>
    <w:rsid w:val="501B7C76"/>
    <w:rsid w:val="504D5CCF"/>
    <w:rsid w:val="5095081C"/>
    <w:rsid w:val="52604EA8"/>
    <w:rsid w:val="53195734"/>
    <w:rsid w:val="533A7469"/>
    <w:rsid w:val="53526129"/>
    <w:rsid w:val="54DB173D"/>
    <w:rsid w:val="5579070C"/>
    <w:rsid w:val="565F61A9"/>
    <w:rsid w:val="57232FC4"/>
    <w:rsid w:val="572D2326"/>
    <w:rsid w:val="57365691"/>
    <w:rsid w:val="59EE1E48"/>
    <w:rsid w:val="5A490F5C"/>
    <w:rsid w:val="5BD21464"/>
    <w:rsid w:val="5BDE2B83"/>
    <w:rsid w:val="5F5875E4"/>
    <w:rsid w:val="5FA12D39"/>
    <w:rsid w:val="602B25AD"/>
    <w:rsid w:val="60D64C64"/>
    <w:rsid w:val="61635F72"/>
    <w:rsid w:val="618606C5"/>
    <w:rsid w:val="63E114D3"/>
    <w:rsid w:val="64A31301"/>
    <w:rsid w:val="654523B9"/>
    <w:rsid w:val="69F83E9D"/>
    <w:rsid w:val="6A0B0D54"/>
    <w:rsid w:val="6AD46D46"/>
    <w:rsid w:val="6B6C069F"/>
    <w:rsid w:val="6DBE099D"/>
    <w:rsid w:val="6DE07909"/>
    <w:rsid w:val="6E58438A"/>
    <w:rsid w:val="6E9D5508"/>
    <w:rsid w:val="6FA3087E"/>
    <w:rsid w:val="6FBE16E5"/>
    <w:rsid w:val="71EB22B3"/>
    <w:rsid w:val="72010FA6"/>
    <w:rsid w:val="721D492F"/>
    <w:rsid w:val="740B2A1F"/>
    <w:rsid w:val="748A4F72"/>
    <w:rsid w:val="75664078"/>
    <w:rsid w:val="75793D66"/>
    <w:rsid w:val="761E4132"/>
    <w:rsid w:val="76263B40"/>
    <w:rsid w:val="78061A79"/>
    <w:rsid w:val="7BC003CA"/>
    <w:rsid w:val="7CBF4BB4"/>
    <w:rsid w:val="7CC6271F"/>
    <w:rsid w:val="7E5D346D"/>
    <w:rsid w:val="7E886E3D"/>
    <w:rsid w:val="7F10538E"/>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8"/>
    <w:link w:val="6"/>
    <w:qFormat/>
    <w:uiPriority w:val="99"/>
    <w:rPr>
      <w:sz w:val="18"/>
      <w:szCs w:val="18"/>
    </w:rPr>
  </w:style>
  <w:style w:type="character" w:customStyle="1" w:styleId="14">
    <w:name w:val="页眉 字符"/>
    <w:basedOn w:val="8"/>
    <w:link w:val="7"/>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17</Pages>
  <Words>1192</Words>
  <Characters>6795</Characters>
  <Lines>56</Lines>
  <Paragraphs>15</Paragraphs>
  <TotalTime>19</TotalTime>
  <ScaleCrop>false</ScaleCrop>
  <LinksUpToDate>false</LinksUpToDate>
  <CharactersWithSpaces>7972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2023-12-15T13:02:41Z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D282F4ABF71A4397BDE1DDDE8814EA8E</vt:lpwstr>
  </property>
</Properties>
</file>