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阿克陶县加马铁热克乡部门单位整体支出绩效自评报告</w:t>
      </w:r>
    </w:p>
    <w:p>
      <w:pPr>
        <w:spacing w:line="540" w:lineRule="exact"/>
        <w:jc w:val="center"/>
        <w:outlineLvl w:val="0"/>
        <w:rPr>
          <w:rFonts w:ascii="方正小标宋简体" w:hAnsi="方正小标宋简体" w:eastAsia="方正小标宋简体" w:cs="方正小标宋简体"/>
          <w:b/>
          <w:kern w:val="0"/>
          <w:sz w:val="44"/>
          <w:szCs w:val="44"/>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after="312" w:afterLines="100"/>
        <w:rPr>
          <w:rFonts w:ascii="黑体" w:hAnsi="黑体" w:eastAsia="黑体" w:cs="黑体"/>
          <w:b/>
          <w:bCs/>
          <w:sz w:val="36"/>
          <w:szCs w:val="36"/>
        </w:rPr>
      </w:pPr>
      <w:r>
        <w:rPr>
          <w:rFonts w:hint="eastAsia" w:ascii="黑体" w:hAnsi="黑体" w:eastAsia="黑体" w:cs="黑体"/>
          <w:b/>
          <w:bCs/>
          <w:sz w:val="36"/>
          <w:szCs w:val="36"/>
        </w:rPr>
        <w:t>部门单位名称（公章）：阿克陶县加马铁热克乡</w:t>
      </w:r>
    </w:p>
    <w:p>
      <w:pPr>
        <w:spacing w:after="312" w:afterLines="100"/>
        <w:rPr>
          <w:rFonts w:ascii="黑体" w:hAnsi="黑体" w:eastAsia="黑体" w:cs="黑体"/>
          <w:b/>
          <w:bCs/>
          <w:sz w:val="36"/>
          <w:szCs w:val="36"/>
        </w:rPr>
      </w:pPr>
      <w:r>
        <w:rPr>
          <w:rFonts w:hint="eastAsia" w:ascii="黑体" w:hAnsi="黑体" w:eastAsia="黑体" w:cs="黑体"/>
          <w:b/>
          <w:bCs/>
          <w:sz w:val="36"/>
          <w:szCs w:val="36"/>
        </w:rPr>
        <w:t>填报时间：2021年3月20日</w:t>
      </w:r>
    </w:p>
    <w:p>
      <w:pPr>
        <w:pStyle w:val="2"/>
      </w:pP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1.部门主要职能</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（1）贯彻执行党的路线、方针、政策，讨论决定本乡基本经济建设和社会发展中等重大问题，领导乡党政机关和站所和群众组织，加强乡党委自身建设和以党支部为核心的村级组织建设；</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（2）加强全乡社会主义民主法治建设和精神文明建设；</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（3）加强民族团结和维护社会稳定；</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（4）领导和管理全乡的经济工作和城乡建设；</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（5）领导和管理本乡民政、公安、司法、教育、科技、文化、卫生、体育、计划生育、扶贫开发、电力、防病改水，减轻农民负担以及</w:t>
      </w:r>
      <w:r>
        <w:rPr>
          <w:rFonts w:hint="eastAsia" w:ascii="仿宋" w:hAnsi="仿宋" w:eastAsia="仿宋" w:cs="Times New Roman"/>
          <w:sz w:val="32"/>
          <w:szCs w:val="28"/>
          <w:lang w:eastAsia="zh-CN"/>
        </w:rPr>
        <w:t>民</w:t>
      </w:r>
      <w:r>
        <w:rPr>
          <w:rFonts w:hint="eastAsia" w:ascii="仿宋" w:hAnsi="仿宋" w:eastAsia="仿宋" w:cs="Times New Roman"/>
          <w:sz w:val="32"/>
          <w:szCs w:val="28"/>
        </w:rPr>
        <w:t>族宗教事务等工作。</w:t>
      </w:r>
      <w:bookmarkStart w:id="8" w:name="_GoBack"/>
      <w:bookmarkEnd w:id="8"/>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2.部门机构设置及人员构成</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阿克陶加马铁热克乡202</w:t>
      </w:r>
      <w:r>
        <w:rPr>
          <w:rFonts w:ascii="仿宋" w:hAnsi="仿宋" w:eastAsia="仿宋" w:cs="Times New Roman"/>
          <w:sz w:val="32"/>
          <w:szCs w:val="28"/>
        </w:rPr>
        <w:t>1</w:t>
      </w:r>
      <w:r>
        <w:rPr>
          <w:rFonts w:hint="eastAsia" w:ascii="仿宋" w:hAnsi="仿宋" w:eastAsia="仿宋" w:cs="Times New Roman"/>
          <w:sz w:val="32"/>
          <w:szCs w:val="28"/>
        </w:rPr>
        <w:t>年部门决算报表编制范围的单位共计9个，其中：行政单位2个，全额拨款事业单位6个。分别是：1、加马铁热克乡乡党委；2、加马铁热克乡政府；3、加马铁热克乡财政所；4、加马铁热克乡计生站；5、加马铁热克乡农业畜牧业发展服务中心；6、加马铁热克乡文化站；7、加马铁热克乡社会保障服务中心；8、加马铁热克乡食品药品监督所。9、村镇规划建设发展服务中心。</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阿克陶县加马铁热克乡单位编制数共135人，其中：行政编制82人，事业编制53人；截止2020年12月底部门实有人数166人，其中：行政编制117人、事业编制19人、自聘人员1人。离退休人员51人。</w:t>
      </w:r>
    </w:p>
    <w:p>
      <w:pPr>
        <w:pStyle w:val="12"/>
        <w:snapToGrid w:val="0"/>
        <w:spacing w:line="540" w:lineRule="exact"/>
        <w:ind w:firstLine="643"/>
        <w:outlineLvl w:val="2"/>
      </w:pPr>
      <w:r>
        <w:rPr>
          <w:rStyle w:val="9"/>
          <w:rFonts w:hint="eastAsia" w:ascii="仿宋_GB2312" w:hAnsi="仿宋_GB2312" w:eastAsia="仿宋_GB2312" w:cs="仿宋_GB2312"/>
          <w:bCs w:val="0"/>
          <w:color w:val="333333"/>
          <w:sz w:val="32"/>
          <w:szCs w:val="32"/>
          <w:lang w:bidi="ar"/>
        </w:rPr>
        <w:t>3.年度重点工作</w:t>
      </w:r>
    </w:p>
    <w:p>
      <w:pPr>
        <w:spacing w:line="560" w:lineRule="exact"/>
        <w:ind w:firstLine="640" w:firstLineChars="200"/>
        <w:rPr>
          <w:rStyle w:val="9"/>
          <w:rFonts w:ascii="仿宋" w:hAnsi="仿宋" w:eastAsia="仿宋" w:cs="Times New Roman"/>
          <w:b w:val="0"/>
          <w:bCs w:val="0"/>
          <w:sz w:val="32"/>
          <w:szCs w:val="28"/>
        </w:rPr>
      </w:pPr>
      <w:r>
        <w:rPr>
          <w:rFonts w:hint="eastAsia" w:ascii="仿宋" w:hAnsi="仿宋" w:eastAsia="仿宋" w:cs="Times New Roman"/>
          <w:sz w:val="32"/>
          <w:szCs w:val="28"/>
        </w:rPr>
        <w:t>全面贯彻落实党和国家的各项方针政策，在县委、县人民政府的领导下，执行本级人民代表大会的决议和上级国家行政机关的决定和命令，发布决定和命令；执行本行政区域的经济和社会发展计划、预算，管理本行政区域内的经济、教育、科学、文化、卫生、体育事业和财政、民政、公安、司法行政、计划生育等行政工作；保护劳动群众集体所有财产，保护公民私人合法财产，维护社会稳定，保障公民的人身权利、民主权利和其他合法权利；保障少数民族的权利和尊重少数民族的风俗习惯；办理上级人民政府交办的其他事项。我单位决策机制根据行政事业单位内部控制体系建设相关要求，逐步完善及确保我单位2021年度各项目的科学管理，我单位根据相关规定成立了绩效监控工作领导小组，项目实施过程中，严格落实采购管理制度，用以保障乡干部伙食补助项目和纪检办案经费的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（二）决策过程</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基本支出根据2021年度进行预算编制，并根据财政部门预算批复、预期绩效目标进行相应分配；由财政部门按照进度每月分期拨付，人员支出按照工资计划发放工资；资金支出时按照我单位内控体系中设定的流程进行申报审批。</w:t>
      </w:r>
    </w:p>
    <w:p>
      <w:pPr>
        <w:spacing w:line="560" w:lineRule="exact"/>
        <w:ind w:firstLine="640" w:firstLineChars="200"/>
        <w:rPr>
          <w:rStyle w:val="9"/>
          <w:rFonts w:ascii="仿宋" w:hAnsi="仿宋" w:eastAsia="仿宋" w:cs="Times New Roman"/>
          <w:b w:val="0"/>
          <w:bCs w:val="0"/>
          <w:sz w:val="32"/>
          <w:szCs w:val="28"/>
        </w:rPr>
      </w:pPr>
      <w:r>
        <w:rPr>
          <w:rFonts w:hint="eastAsia" w:ascii="仿宋" w:hAnsi="仿宋" w:eastAsia="仿宋" w:cs="Times New Roman"/>
          <w:sz w:val="32"/>
          <w:szCs w:val="28"/>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1.部门（单位）预算编制及分配依据</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1.基本支出根据阿克陶县加马铁热克乡2020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pPr>
        <w:spacing w:line="560" w:lineRule="exact"/>
        <w:ind w:firstLine="640" w:firstLineChars="200"/>
        <w:rPr>
          <w:rFonts w:ascii="仿宋" w:hAnsi="仿宋" w:eastAsia="仿宋" w:cs="Times New Roman"/>
          <w:sz w:val="32"/>
          <w:szCs w:val="28"/>
        </w:rPr>
      </w:pPr>
      <w:r>
        <w:rPr>
          <w:rFonts w:hint="eastAsia" w:ascii="仿宋" w:hAnsi="仿宋" w:eastAsia="仿宋" w:cs="Times New Roman"/>
          <w:sz w:val="32"/>
          <w:szCs w:val="28"/>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2.分配结果</w:t>
      </w:r>
    </w:p>
    <w:p>
      <w:pPr>
        <w:widowControl/>
        <w:spacing w:line="520" w:lineRule="atLeast"/>
        <w:ind w:firstLine="640" w:firstLineChars="200"/>
        <w:jc w:val="left"/>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基本支出根据阿克陶县喀热开其克乡2021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3.重点支出保障率</w:t>
      </w:r>
    </w:p>
    <w:p>
      <w:pPr>
        <w:pStyle w:val="17"/>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我单位本年主要实施取暖费、伙食费、纪检经费等重点项目，履行了经济建设等主要职责。</w:t>
      </w:r>
    </w:p>
    <w:p>
      <w:pPr>
        <w:pStyle w:val="17"/>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本年度预算安排的重点项目支出62.5万元，项目总支出</w:t>
      </w:r>
      <w:r>
        <w:rPr>
          <w:rStyle w:val="9"/>
          <w:rFonts w:ascii="仿宋_GB2312" w:hAnsi="仿宋_GB2312" w:eastAsia="仿宋_GB2312" w:cs="仿宋_GB2312"/>
          <w:b w:val="0"/>
          <w:sz w:val="32"/>
          <w:szCs w:val="32"/>
          <w:lang w:bidi="ar"/>
        </w:rPr>
        <w:t>24.74</w:t>
      </w:r>
      <w:r>
        <w:rPr>
          <w:rStyle w:val="9"/>
          <w:rFonts w:hint="eastAsia" w:ascii="仿宋_GB2312" w:hAnsi="仿宋_GB2312" w:eastAsia="仿宋_GB2312" w:cs="仿宋_GB2312"/>
          <w:b w:val="0"/>
          <w:sz w:val="32"/>
          <w:szCs w:val="32"/>
          <w:lang w:bidi="ar"/>
        </w:rPr>
        <w:t>万元，重点支出保障率为41.98%。</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我单位年初预算数为</w:t>
      </w:r>
      <w:r>
        <w:rPr>
          <w:rStyle w:val="9"/>
          <w:rFonts w:ascii="仿宋_GB2312" w:hAnsi="仿宋_GB2312" w:eastAsia="仿宋_GB2312" w:cs="仿宋_GB2312"/>
          <w:b w:val="0"/>
          <w:sz w:val="32"/>
          <w:szCs w:val="32"/>
          <w:lang w:bidi="ar"/>
        </w:rPr>
        <w:t>2846.18</w:t>
      </w:r>
      <w:r>
        <w:rPr>
          <w:rStyle w:val="9"/>
          <w:rFonts w:hint="eastAsia" w:ascii="仿宋_GB2312" w:hAnsi="仿宋_GB2312" w:eastAsia="仿宋_GB2312" w:cs="仿宋_GB2312"/>
          <w:b w:val="0"/>
          <w:sz w:val="32"/>
          <w:szCs w:val="32"/>
          <w:lang w:bidi="ar"/>
        </w:rPr>
        <w:t>万元，实际预算执行数</w:t>
      </w:r>
      <w:r>
        <w:rPr>
          <w:rStyle w:val="9"/>
          <w:rFonts w:ascii="仿宋_GB2312" w:hAnsi="仿宋_GB2312" w:eastAsia="仿宋_GB2312" w:cs="仿宋_GB2312"/>
          <w:b w:val="0"/>
          <w:sz w:val="32"/>
          <w:szCs w:val="32"/>
          <w:lang w:bidi="ar"/>
        </w:rPr>
        <w:t>2809.9</w:t>
      </w:r>
      <w:r>
        <w:rPr>
          <w:rStyle w:val="9"/>
          <w:rFonts w:hint="eastAsia" w:ascii="仿宋_GB2312" w:hAnsi="仿宋_GB2312" w:eastAsia="仿宋_GB2312" w:cs="仿宋_GB2312"/>
          <w:b w:val="0"/>
          <w:sz w:val="32"/>
          <w:szCs w:val="32"/>
          <w:lang w:bidi="ar"/>
        </w:rPr>
        <w:t>万元，预算执行率为</w:t>
      </w:r>
      <w:r>
        <w:rPr>
          <w:rStyle w:val="9"/>
          <w:rFonts w:ascii="仿宋_GB2312" w:hAnsi="仿宋_GB2312" w:eastAsia="仿宋_GB2312" w:cs="仿宋_GB2312"/>
          <w:b w:val="0"/>
          <w:sz w:val="32"/>
          <w:szCs w:val="32"/>
          <w:lang w:bidi="ar"/>
        </w:rPr>
        <w:t>98.72</w:t>
      </w:r>
      <w:r>
        <w:rPr>
          <w:rStyle w:val="9"/>
          <w:rFonts w:hint="eastAsia" w:ascii="仿宋_GB2312" w:hAnsi="仿宋_GB2312" w:eastAsia="仿宋_GB2312" w:cs="仿宋_GB2312"/>
          <w:b w:val="0"/>
          <w:sz w:val="32"/>
          <w:szCs w:val="32"/>
          <w:lang w:bidi="ar"/>
        </w:rPr>
        <w:t>%。。</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全年预算数为</w:t>
      </w:r>
      <w:r>
        <w:rPr>
          <w:rStyle w:val="9"/>
          <w:rFonts w:ascii="仿宋_GB2312" w:hAnsi="仿宋_GB2312" w:eastAsia="仿宋_GB2312" w:cs="仿宋_GB2312"/>
          <w:b w:val="0"/>
          <w:sz w:val="32"/>
          <w:szCs w:val="32"/>
          <w:lang w:bidi="ar"/>
        </w:rPr>
        <w:t>6062.08</w:t>
      </w:r>
      <w:r>
        <w:rPr>
          <w:rStyle w:val="9"/>
          <w:rFonts w:hint="eastAsia" w:ascii="仿宋_GB2312" w:hAnsi="仿宋_GB2312" w:eastAsia="仿宋_GB2312" w:cs="仿宋_GB2312"/>
          <w:b w:val="0"/>
          <w:sz w:val="32"/>
          <w:szCs w:val="32"/>
          <w:lang w:bidi="ar"/>
        </w:rPr>
        <w:t>万元，全年实际支出资金</w:t>
      </w:r>
      <w:r>
        <w:rPr>
          <w:rStyle w:val="9"/>
          <w:rFonts w:ascii="仿宋_GB2312" w:hAnsi="仿宋_GB2312" w:eastAsia="仿宋_GB2312" w:cs="仿宋_GB2312"/>
          <w:b w:val="0"/>
          <w:sz w:val="32"/>
          <w:szCs w:val="32"/>
          <w:lang w:bidi="ar"/>
        </w:rPr>
        <w:t>5901.1</w:t>
      </w:r>
      <w:r>
        <w:rPr>
          <w:rStyle w:val="9"/>
          <w:rFonts w:hint="eastAsia" w:ascii="仿宋_GB2312" w:hAnsi="仿宋_GB2312" w:eastAsia="仿宋_GB2312" w:cs="仿宋_GB2312"/>
          <w:b w:val="0"/>
          <w:sz w:val="32"/>
          <w:szCs w:val="32"/>
          <w:lang w:bidi="ar"/>
        </w:rPr>
        <w:t>万元，预算执行率为</w:t>
      </w:r>
      <w:r>
        <w:rPr>
          <w:rStyle w:val="9"/>
          <w:rFonts w:ascii="仿宋_GB2312" w:hAnsi="仿宋_GB2312" w:eastAsia="仿宋_GB2312" w:cs="仿宋_GB2312"/>
          <w:b w:val="0"/>
          <w:sz w:val="32"/>
          <w:szCs w:val="32"/>
          <w:lang w:bidi="ar"/>
        </w:rPr>
        <w:t>97.34</w:t>
      </w:r>
      <w:r>
        <w:rPr>
          <w:rStyle w:val="9"/>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我单位年初批复预算数</w:t>
      </w:r>
      <w:r>
        <w:rPr>
          <w:rStyle w:val="9"/>
          <w:rFonts w:ascii="仿宋_GB2312" w:hAnsi="仿宋_GB2312" w:eastAsia="仿宋_GB2312" w:cs="仿宋_GB2312"/>
          <w:b w:val="0"/>
          <w:sz w:val="32"/>
          <w:szCs w:val="32"/>
          <w:lang w:bidi="ar"/>
        </w:rPr>
        <w:t>2846.18</w:t>
      </w:r>
      <w:r>
        <w:rPr>
          <w:rStyle w:val="9"/>
          <w:rFonts w:hint="eastAsia" w:ascii="仿宋_GB2312" w:hAnsi="仿宋_GB2312" w:eastAsia="仿宋_GB2312" w:cs="仿宋_GB2312"/>
          <w:b w:val="0"/>
          <w:sz w:val="32"/>
          <w:szCs w:val="32"/>
          <w:lang w:bidi="ar"/>
        </w:rPr>
        <w:t>万元，年中调整数</w:t>
      </w:r>
      <w:r>
        <w:rPr>
          <w:rStyle w:val="9"/>
          <w:rFonts w:ascii="仿宋_GB2312" w:hAnsi="仿宋_GB2312" w:eastAsia="仿宋_GB2312" w:cs="仿宋_GB2312"/>
          <w:b w:val="0"/>
          <w:sz w:val="32"/>
          <w:szCs w:val="32"/>
          <w:lang w:bidi="ar"/>
        </w:rPr>
        <w:t>3215.9</w:t>
      </w:r>
      <w:r>
        <w:rPr>
          <w:rStyle w:val="9"/>
          <w:rFonts w:hint="eastAsia" w:ascii="仿宋_GB2312" w:hAnsi="仿宋_GB2312" w:eastAsia="仿宋_GB2312" w:cs="仿宋_GB2312"/>
          <w:b w:val="0"/>
          <w:sz w:val="32"/>
          <w:szCs w:val="32"/>
          <w:lang w:bidi="ar"/>
        </w:rPr>
        <w:t>万元，调整后全年预算数</w:t>
      </w:r>
      <w:r>
        <w:rPr>
          <w:rStyle w:val="9"/>
          <w:rFonts w:ascii="仿宋_GB2312" w:hAnsi="仿宋_GB2312" w:eastAsia="仿宋_GB2312" w:cs="仿宋_GB2312"/>
          <w:b w:val="0"/>
          <w:sz w:val="32"/>
          <w:szCs w:val="32"/>
          <w:lang w:bidi="ar"/>
        </w:rPr>
        <w:t>6062.08</w:t>
      </w:r>
      <w:r>
        <w:rPr>
          <w:rStyle w:val="9"/>
          <w:rFonts w:hint="eastAsia" w:ascii="仿宋_GB2312" w:hAnsi="仿宋_GB2312" w:eastAsia="仿宋_GB2312" w:cs="仿宋_GB2312"/>
          <w:b w:val="0"/>
          <w:sz w:val="32"/>
          <w:szCs w:val="32"/>
          <w:lang w:bidi="ar"/>
        </w:rPr>
        <w:t>万元，预算调整率</w:t>
      </w:r>
      <w:r>
        <w:rPr>
          <w:rStyle w:val="9"/>
          <w:rFonts w:ascii="仿宋_GB2312" w:hAnsi="仿宋_GB2312" w:eastAsia="仿宋_GB2312" w:cs="仿宋_GB2312"/>
          <w:b w:val="0"/>
          <w:sz w:val="32"/>
          <w:szCs w:val="32"/>
          <w:lang w:bidi="ar"/>
        </w:rPr>
        <w:t>112.9</w:t>
      </w:r>
      <w:r>
        <w:rPr>
          <w:rStyle w:val="9"/>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rPr>
          <w:rStyle w:val="9"/>
          <w:rFonts w:ascii="仿宋_GB2312" w:hAnsi="仿宋_GB2312" w:eastAsia="仿宋_GB2312" w:cs="仿宋_GB2312"/>
          <w:bCs w:val="0"/>
          <w:sz w:val="32"/>
          <w:szCs w:val="32"/>
          <w:lang w:bidi="ar"/>
        </w:rPr>
      </w:pPr>
      <w:r>
        <w:rPr>
          <w:rStyle w:val="9"/>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9"/>
          <w:rFonts w:ascii="仿宋_GB2312" w:hAnsi="仿宋_GB2312" w:eastAsia="仿宋_GB2312" w:cs="仿宋_GB2312"/>
          <w:b w:val="0"/>
          <w:sz w:val="32"/>
          <w:szCs w:val="32"/>
          <w:lang w:bidi="ar"/>
        </w:rPr>
      </w:pPr>
      <w:bookmarkStart w:id="1" w:name="_Hlk49856735"/>
      <w:r>
        <w:rPr>
          <w:rStyle w:val="9"/>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9"/>
          <w:rFonts w:hint="eastAsia" w:ascii="仿宋_GB2312" w:hAnsi="仿宋_GB2312" w:eastAsia="仿宋_GB2312" w:cs="仿宋_GB2312"/>
          <w:b w:val="0"/>
          <w:sz w:val="32"/>
          <w:szCs w:val="32"/>
          <w:lang w:eastAsia="zh-Hans" w:bidi="ar"/>
        </w:rPr>
        <w:t>公众评判法</w:t>
      </w:r>
      <w:r>
        <w:rPr>
          <w:rStyle w:val="9"/>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color w:val="333333"/>
          <w:sz w:val="32"/>
          <w:szCs w:val="32"/>
          <w:lang w:bidi="ar"/>
        </w:rPr>
        <w:t>评价的对象及主要内容为:</w:t>
      </w:r>
      <w:r>
        <w:rPr>
          <w:rStyle w:val="9"/>
          <w:rFonts w:hint="eastAsia" w:ascii="仿宋_GB2312" w:hAnsi="仿宋_GB2312" w:eastAsia="仿宋_GB2312" w:cs="仿宋_GB2312"/>
          <w:bCs w:val="0"/>
          <w:color w:val="333333"/>
          <w:sz w:val="32"/>
          <w:szCs w:val="32"/>
          <w:lang w:bidi="ar"/>
        </w:rPr>
        <w:t>一是</w:t>
      </w:r>
      <w:r>
        <w:rPr>
          <w:rStyle w:val="9"/>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9"/>
          <w:rFonts w:hint="eastAsia" w:ascii="仿宋_GB2312" w:hAnsi="仿宋_GB2312" w:eastAsia="仿宋_GB2312" w:cs="仿宋_GB2312"/>
          <w:bCs w:val="0"/>
          <w:color w:val="333333"/>
          <w:sz w:val="32"/>
          <w:szCs w:val="32"/>
          <w:lang w:bidi="ar"/>
        </w:rPr>
        <w:t>二是</w:t>
      </w:r>
      <w:r>
        <w:rPr>
          <w:rStyle w:val="9"/>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333333"/>
          <w:sz w:val="32"/>
          <w:szCs w:val="32"/>
          <w:lang w:bidi="ar"/>
        </w:rPr>
        <w:t>三是</w:t>
      </w:r>
      <w:r>
        <w:rPr>
          <w:rStyle w:val="9"/>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9"/>
          <w:rFonts w:hint="eastAsia" w:ascii="仿宋_GB2312" w:hAnsi="仿宋_GB2312" w:eastAsia="仿宋_GB2312" w:cs="仿宋_GB2312"/>
          <w:bCs w:val="0"/>
          <w:color w:val="333333"/>
          <w:sz w:val="32"/>
          <w:szCs w:val="32"/>
          <w:lang w:bidi="ar"/>
        </w:rPr>
        <w:t>四是</w:t>
      </w:r>
      <w:r>
        <w:rPr>
          <w:rStyle w:val="9"/>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本单位为加强预算管理，规范财务行为，已制定《加马铁热克乡部门单位预算绩效管理工作实施办法》，《加马铁热克乡单位财务管理制度》等健全完整的各项管理制度，有效保障了我单位高效的履行工作职能，较好的促进事业发展。</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9"/>
          <w:rFonts w:ascii="仿宋_GB2312" w:hAnsi="仿宋_GB2312" w:eastAsia="仿宋_GB2312" w:cs="仿宋_GB2312"/>
          <w:b w:val="0"/>
          <w:color w:val="333333"/>
          <w:sz w:val="32"/>
          <w:szCs w:val="32"/>
          <w:lang w:bidi="ar"/>
        </w:rPr>
      </w:pPr>
      <w:r>
        <w:rPr>
          <w:rStyle w:val="9"/>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9"/>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县财政局预决算信息公开工作要求，我单位在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2021年本单位基本支出全年预算总额337</w:t>
      </w:r>
      <w:r>
        <w:rPr>
          <w:rStyle w:val="9"/>
          <w:rFonts w:ascii="仿宋_GB2312" w:hAnsi="仿宋_GB2312" w:eastAsia="仿宋_GB2312" w:cs="仿宋_GB2312"/>
          <w:b w:val="0"/>
          <w:sz w:val="32"/>
          <w:szCs w:val="32"/>
          <w:lang w:bidi="ar"/>
        </w:rPr>
        <w:t>8.46</w:t>
      </w:r>
      <w:r>
        <w:rPr>
          <w:rStyle w:val="9"/>
          <w:rFonts w:hint="eastAsia" w:ascii="仿宋_GB2312" w:hAnsi="仿宋_GB2312" w:eastAsia="仿宋_GB2312" w:cs="仿宋_GB2312"/>
          <w:b w:val="0"/>
          <w:sz w:val="32"/>
          <w:szCs w:val="32"/>
          <w:lang w:bidi="ar"/>
        </w:rPr>
        <w:t>万元，其中：人员经费3193.15万元，公用经费</w:t>
      </w:r>
      <w:r>
        <w:rPr>
          <w:rStyle w:val="9"/>
          <w:rFonts w:ascii="仿宋_GB2312" w:hAnsi="仿宋_GB2312" w:eastAsia="仿宋_GB2312" w:cs="仿宋_GB2312"/>
          <w:b w:val="0"/>
          <w:sz w:val="32"/>
          <w:szCs w:val="32"/>
          <w:lang w:bidi="ar"/>
        </w:rPr>
        <w:t>185.31</w:t>
      </w:r>
      <w:r>
        <w:rPr>
          <w:rStyle w:val="9"/>
          <w:rFonts w:hint="eastAsia" w:ascii="仿宋_GB2312" w:hAnsi="仿宋_GB2312" w:eastAsia="仿宋_GB2312" w:cs="仿宋_GB2312"/>
          <w:b w:val="0"/>
          <w:sz w:val="32"/>
          <w:szCs w:val="32"/>
          <w:lang w:bidi="ar"/>
        </w:rPr>
        <w:t>万元。实际支出</w:t>
      </w:r>
      <w:r>
        <w:rPr>
          <w:rStyle w:val="9"/>
          <w:rFonts w:ascii="仿宋_GB2312" w:hAnsi="仿宋_GB2312" w:eastAsia="仿宋_GB2312" w:cs="仿宋_GB2312"/>
          <w:b w:val="0"/>
          <w:sz w:val="32"/>
          <w:szCs w:val="32"/>
          <w:lang w:bidi="ar"/>
        </w:rPr>
        <w:t>3359.48</w:t>
      </w:r>
      <w:r>
        <w:rPr>
          <w:rStyle w:val="9"/>
          <w:rFonts w:hint="eastAsia" w:ascii="仿宋_GB2312" w:hAnsi="仿宋_GB2312" w:eastAsia="仿宋_GB2312" w:cs="仿宋_GB2312"/>
          <w:b w:val="0"/>
          <w:sz w:val="32"/>
          <w:szCs w:val="32"/>
          <w:lang w:bidi="ar"/>
        </w:rPr>
        <w:t>万元，基本支出预算执行率</w:t>
      </w:r>
      <w:r>
        <w:rPr>
          <w:rStyle w:val="9"/>
          <w:rFonts w:ascii="仿宋_GB2312" w:hAnsi="仿宋_GB2312" w:eastAsia="仿宋_GB2312" w:cs="仿宋_GB2312"/>
          <w:b w:val="0"/>
          <w:sz w:val="32"/>
          <w:szCs w:val="32"/>
          <w:lang w:bidi="ar"/>
        </w:rPr>
        <w:t>99.43</w:t>
      </w:r>
      <w:r>
        <w:rPr>
          <w:rStyle w:val="9"/>
          <w:rFonts w:hint="eastAsia" w:ascii="仿宋_GB2312" w:hAnsi="仿宋_GB2312" w:eastAsia="仿宋_GB2312" w:cs="仿宋_GB2312"/>
          <w:b w:val="0"/>
          <w:sz w:val="32"/>
          <w:szCs w:val="32"/>
          <w:lang w:bidi="ar"/>
        </w:rPr>
        <w:t>%。</w:t>
      </w:r>
    </w:p>
    <w:p>
      <w:pPr>
        <w:pStyle w:val="12"/>
        <w:snapToGrid w:val="0"/>
        <w:spacing w:line="540" w:lineRule="exact"/>
        <w:ind w:firstLine="640"/>
        <w:rPr>
          <w:rStyle w:val="9"/>
          <w:rFonts w:ascii="仿宋_GB2312" w:hAnsi="仿宋_GB2312" w:eastAsia="仿宋_GB2312" w:cs="仿宋_GB2312"/>
          <w:b w:val="0"/>
          <w:sz w:val="32"/>
          <w:szCs w:val="32"/>
          <w:highlight w:val="yellow"/>
          <w:lang w:bidi="ar"/>
        </w:rPr>
      </w:pPr>
      <w:r>
        <w:rPr>
          <w:rStyle w:val="9"/>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1.12万元，实际支出0.3万元，“三公经费”控制率为26.79%，其中：因公出国（境）费预算为0万元，实际支出0万元；公务接待费预算为0万元，实际支出0万元；公务用车购置费预算为0万元，实际支出0万元；公务用车运行维护费预算为1.12万元，实际支出0.3万元，公务用车运行维护费控制率26.79%，符合财政部门本年预算要求和相关管理制度要求。</w:t>
      </w:r>
    </w:p>
    <w:p>
      <w:pPr>
        <w:pStyle w:val="12"/>
        <w:snapToGrid w:val="0"/>
        <w:spacing w:line="540" w:lineRule="exact"/>
        <w:ind w:firstLine="643"/>
        <w:outlineLvl w:val="1"/>
        <w:rPr>
          <w:rStyle w:val="9"/>
          <w:rFonts w:ascii="仿宋_GB2312" w:hAnsi="仿宋_GB2312" w:eastAsia="仿宋_GB2312" w:cs="仿宋_GB2312"/>
          <w:bCs w:val="0"/>
          <w:color w:val="333333"/>
          <w:sz w:val="32"/>
          <w:szCs w:val="32"/>
          <w:lang w:bidi="ar"/>
        </w:rPr>
      </w:pPr>
      <w:r>
        <w:rPr>
          <w:rStyle w:val="9"/>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2021年本单位安排专项支出预算总额</w:t>
      </w:r>
      <w:r>
        <w:rPr>
          <w:rStyle w:val="9"/>
          <w:rFonts w:ascii="仿宋_GB2312" w:hAnsi="仿宋_GB2312" w:eastAsia="仿宋_GB2312" w:cs="仿宋_GB2312"/>
          <w:b w:val="0"/>
          <w:sz w:val="32"/>
          <w:szCs w:val="32"/>
          <w:lang w:bidi="ar"/>
        </w:rPr>
        <w:t>2683.61</w:t>
      </w:r>
      <w:r>
        <w:rPr>
          <w:rStyle w:val="9"/>
          <w:rFonts w:hint="eastAsia" w:ascii="仿宋_GB2312" w:hAnsi="仿宋_GB2312" w:eastAsia="仿宋_GB2312" w:cs="仿宋_GB2312"/>
          <w:b w:val="0"/>
          <w:sz w:val="32"/>
          <w:szCs w:val="32"/>
          <w:lang w:bidi="ar"/>
        </w:rPr>
        <w:t>万元，实际支出</w:t>
      </w:r>
      <w:r>
        <w:rPr>
          <w:rStyle w:val="9"/>
          <w:rFonts w:ascii="仿宋_GB2312" w:hAnsi="仿宋_GB2312" w:eastAsia="仿宋_GB2312" w:cs="仿宋_GB2312"/>
          <w:b w:val="0"/>
          <w:sz w:val="32"/>
          <w:szCs w:val="32"/>
          <w:lang w:bidi="ar"/>
        </w:rPr>
        <w:t>2541.62</w:t>
      </w:r>
      <w:r>
        <w:rPr>
          <w:rStyle w:val="9"/>
          <w:rFonts w:hint="eastAsia" w:ascii="仿宋_GB2312" w:hAnsi="仿宋_GB2312" w:eastAsia="仿宋_GB2312" w:cs="仿宋_GB2312"/>
          <w:b w:val="0"/>
          <w:sz w:val="32"/>
          <w:szCs w:val="32"/>
          <w:lang w:bidi="ar"/>
        </w:rPr>
        <w:t>万元，专项支出预算执行率</w:t>
      </w:r>
      <w:r>
        <w:rPr>
          <w:rStyle w:val="9"/>
          <w:rFonts w:ascii="仿宋_GB2312" w:hAnsi="仿宋_GB2312" w:eastAsia="仿宋_GB2312" w:cs="仿宋_GB2312"/>
          <w:b w:val="0"/>
          <w:sz w:val="32"/>
          <w:szCs w:val="32"/>
          <w:lang w:bidi="ar"/>
        </w:rPr>
        <w:t>94.7</w:t>
      </w:r>
      <w:r>
        <w:rPr>
          <w:rStyle w:val="9"/>
          <w:rFonts w:hint="eastAsia" w:ascii="仿宋_GB2312" w:hAnsi="仿宋_GB2312" w:eastAsia="仿宋_GB2312" w:cs="仿宋_GB2312"/>
          <w:b w:val="0"/>
          <w:sz w:val="32"/>
          <w:szCs w:val="32"/>
          <w:lang w:bidi="ar"/>
        </w:rPr>
        <w:t>%。</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2021年本单位共有2</w:t>
      </w:r>
      <w:r>
        <w:rPr>
          <w:rStyle w:val="9"/>
          <w:rFonts w:ascii="仿宋_GB2312" w:hAnsi="仿宋_GB2312" w:eastAsia="仿宋_GB2312" w:cs="仿宋_GB2312"/>
          <w:b w:val="0"/>
          <w:sz w:val="32"/>
          <w:szCs w:val="32"/>
          <w:lang w:bidi="ar"/>
        </w:rPr>
        <w:t>3</w:t>
      </w:r>
      <w:r>
        <w:rPr>
          <w:rStyle w:val="9"/>
          <w:rFonts w:hint="eastAsia" w:ascii="仿宋_GB2312" w:hAnsi="仿宋_GB2312" w:eastAsia="仿宋_GB2312" w:cs="仿宋_GB2312"/>
          <w:b w:val="0"/>
          <w:sz w:val="32"/>
          <w:szCs w:val="32"/>
          <w:lang w:bidi="ar"/>
        </w:rPr>
        <w:t>个资金项目，其中2</w:t>
      </w:r>
      <w:r>
        <w:rPr>
          <w:rStyle w:val="9"/>
          <w:rFonts w:ascii="仿宋_GB2312" w:hAnsi="仿宋_GB2312" w:eastAsia="仿宋_GB2312" w:cs="仿宋_GB2312"/>
          <w:b w:val="0"/>
          <w:sz w:val="32"/>
          <w:szCs w:val="32"/>
          <w:lang w:bidi="ar"/>
        </w:rPr>
        <w:t>3</w:t>
      </w:r>
      <w:r>
        <w:rPr>
          <w:rStyle w:val="9"/>
          <w:rFonts w:hint="eastAsia" w:ascii="仿宋_GB2312" w:hAnsi="仿宋_GB2312" w:eastAsia="仿宋_GB2312" w:cs="仿宋_GB2312"/>
          <w:b w:val="0"/>
          <w:sz w:val="32"/>
          <w:szCs w:val="32"/>
          <w:lang w:bidi="ar"/>
        </w:rPr>
        <w:t>个属经常性项目、0个属当年度新增项目，已完成项目0个、未完成项目0个。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7"/>
        <w:snapToGrid w:val="0"/>
        <w:spacing w:line="540" w:lineRule="exact"/>
        <w:ind w:firstLine="640"/>
        <w:rPr>
          <w:rStyle w:val="9"/>
          <w:rFonts w:ascii="仿宋_GB2312" w:hAnsi="仿宋_GB2312" w:eastAsia="仿宋_GB2312" w:cs="仿宋_GB2312"/>
          <w:bCs w:val="0"/>
          <w:spacing w:val="-4"/>
          <w:sz w:val="32"/>
          <w:szCs w:val="32"/>
        </w:rPr>
      </w:pPr>
      <w:r>
        <w:rPr>
          <w:rStyle w:val="9"/>
          <w:rFonts w:hint="eastAsia" w:ascii="仿宋_GB2312" w:hAnsi="仿宋_GB2312" w:eastAsia="仿宋_GB2312" w:cs="仿宋_GB2312"/>
          <w:b w:val="0"/>
          <w:sz w:val="32"/>
          <w:szCs w:val="32"/>
          <w:lang w:bidi="ar"/>
        </w:rPr>
        <w:t>本年我单位实施专项项目</w:t>
      </w:r>
      <w:r>
        <w:rPr>
          <w:rStyle w:val="9"/>
          <w:rFonts w:ascii="仿宋_GB2312" w:hAnsi="仿宋_GB2312" w:eastAsia="仿宋_GB2312" w:cs="仿宋_GB2312"/>
          <w:b w:val="0"/>
          <w:sz w:val="32"/>
          <w:szCs w:val="32"/>
          <w:lang w:bidi="ar"/>
        </w:rPr>
        <w:t>23</w:t>
      </w:r>
      <w:r>
        <w:rPr>
          <w:rStyle w:val="9"/>
          <w:rFonts w:hint="eastAsia" w:ascii="仿宋_GB2312" w:hAnsi="仿宋_GB2312" w:eastAsia="仿宋_GB2312" w:cs="仿宋_GB2312"/>
          <w:b w:val="0"/>
          <w:sz w:val="32"/>
          <w:szCs w:val="32"/>
          <w:lang w:bidi="ar"/>
        </w:rPr>
        <w:t>个，涉及金额</w:t>
      </w:r>
      <w:r>
        <w:rPr>
          <w:rStyle w:val="9"/>
          <w:rFonts w:ascii="仿宋_GB2312" w:hAnsi="仿宋_GB2312" w:eastAsia="仿宋_GB2312" w:cs="仿宋_GB2312"/>
          <w:b w:val="0"/>
          <w:sz w:val="32"/>
          <w:szCs w:val="32"/>
          <w:lang w:bidi="ar"/>
        </w:rPr>
        <w:t>2541.62</w:t>
      </w:r>
      <w:r>
        <w:rPr>
          <w:rStyle w:val="9"/>
          <w:rFonts w:hint="eastAsia" w:ascii="仿宋_GB2312" w:hAnsi="仿宋_GB2312" w:eastAsia="仿宋_GB2312" w:cs="仿宋_GB2312"/>
          <w:b w:val="0"/>
          <w:sz w:val="32"/>
          <w:szCs w:val="32"/>
          <w:lang w:bidi="ar"/>
        </w:rPr>
        <w:t>万元，其中：中央专项项目0个涉及金额0万元，自治区专项项目</w:t>
      </w:r>
      <w:r>
        <w:rPr>
          <w:rStyle w:val="9"/>
          <w:rFonts w:ascii="仿宋_GB2312" w:hAnsi="仿宋_GB2312" w:eastAsia="仿宋_GB2312" w:cs="仿宋_GB2312"/>
          <w:b w:val="0"/>
          <w:sz w:val="32"/>
          <w:szCs w:val="32"/>
          <w:lang w:bidi="ar"/>
        </w:rPr>
        <w:t>23</w:t>
      </w:r>
      <w:r>
        <w:rPr>
          <w:rStyle w:val="9"/>
          <w:rFonts w:hint="eastAsia" w:ascii="仿宋_GB2312" w:hAnsi="仿宋_GB2312" w:eastAsia="仿宋_GB2312" w:cs="仿宋_GB2312"/>
          <w:b w:val="0"/>
          <w:sz w:val="32"/>
          <w:szCs w:val="32"/>
          <w:lang w:bidi="ar"/>
        </w:rPr>
        <w:t>个涉及金额</w:t>
      </w:r>
      <w:r>
        <w:rPr>
          <w:rStyle w:val="9"/>
          <w:rFonts w:ascii="仿宋_GB2312" w:hAnsi="仿宋_GB2312" w:eastAsia="仿宋_GB2312" w:cs="仿宋_GB2312"/>
          <w:b w:val="0"/>
          <w:sz w:val="32"/>
          <w:szCs w:val="32"/>
          <w:lang w:bidi="ar"/>
        </w:rPr>
        <w:t>2541.62</w:t>
      </w:r>
      <w:r>
        <w:rPr>
          <w:rStyle w:val="9"/>
          <w:rFonts w:hint="eastAsia" w:ascii="仿宋_GB2312" w:hAnsi="仿宋_GB2312" w:eastAsia="仿宋_GB2312" w:cs="仿宋_GB2312"/>
          <w:b w:val="0"/>
          <w:sz w:val="32"/>
          <w:szCs w:val="32"/>
          <w:lang w:bidi="ar"/>
        </w:rPr>
        <w:t>万元，地区本级专项项目</w:t>
      </w:r>
      <w:r>
        <w:rPr>
          <w:rStyle w:val="9"/>
          <w:rFonts w:ascii="仿宋_GB2312" w:hAnsi="仿宋_GB2312" w:eastAsia="仿宋_GB2312" w:cs="仿宋_GB2312"/>
          <w:b w:val="0"/>
          <w:sz w:val="32"/>
          <w:szCs w:val="32"/>
          <w:lang w:bidi="ar"/>
        </w:rPr>
        <w:t>0</w:t>
      </w:r>
      <w:r>
        <w:rPr>
          <w:rStyle w:val="9"/>
          <w:rFonts w:hint="eastAsia" w:ascii="仿宋_GB2312" w:hAnsi="仿宋_GB2312" w:eastAsia="仿宋_GB2312" w:cs="仿宋_GB2312"/>
          <w:b w:val="0"/>
          <w:sz w:val="32"/>
          <w:szCs w:val="32"/>
          <w:lang w:bidi="ar"/>
        </w:rPr>
        <w:t>个涉及金额</w:t>
      </w:r>
      <w:r>
        <w:rPr>
          <w:rStyle w:val="9"/>
          <w:rFonts w:ascii="仿宋_GB2312" w:hAnsi="仿宋_GB2312" w:eastAsia="仿宋_GB2312" w:cs="仿宋_GB2312"/>
          <w:b w:val="0"/>
          <w:sz w:val="32"/>
          <w:szCs w:val="32"/>
          <w:lang w:bidi="ar"/>
        </w:rPr>
        <w:t>0</w:t>
      </w:r>
      <w:r>
        <w:rPr>
          <w:rStyle w:val="9"/>
          <w:rFonts w:hint="eastAsia" w:ascii="仿宋_GB2312" w:hAnsi="仿宋_GB2312" w:eastAsia="仿宋_GB2312" w:cs="仿宋_GB2312"/>
          <w:b w:val="0"/>
          <w:sz w:val="32"/>
          <w:szCs w:val="32"/>
          <w:lang w:bidi="ar"/>
        </w:rPr>
        <w:t>万元，</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bCs w:val="0"/>
          <w:spacing w:val="-4"/>
          <w:sz w:val="32"/>
          <w:szCs w:val="32"/>
        </w:rPr>
        <w:t>（一）专项组织情况分析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艾合麦提·玉苏音任评价组组长，绩效评价工作职责为负责全盘工作。</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翟永清，张德勇任评价组副组长，绩效评价工作职责为为对项目实施情况进行实地调查。</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各科室负责人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7"/>
        <w:snapToGrid w:val="0"/>
        <w:spacing w:line="540" w:lineRule="exact"/>
        <w:ind w:firstLine="643"/>
        <w:outlineLvl w:val="1"/>
        <w:rPr>
          <w:rStyle w:val="9"/>
          <w:rFonts w:ascii="仿宋_GB2312" w:hAnsi="仿宋_GB2312" w:eastAsia="仿宋_GB2312" w:cs="仿宋_GB2312"/>
          <w:bCs w:val="0"/>
          <w:sz w:val="32"/>
          <w:szCs w:val="32"/>
          <w:lang w:bidi="ar"/>
        </w:rPr>
      </w:pPr>
      <w:r>
        <w:rPr>
          <w:rStyle w:val="9"/>
          <w:rFonts w:hint="eastAsia" w:ascii="仿宋_GB2312" w:hAnsi="仿宋_GB2312" w:eastAsia="仿宋_GB2312" w:cs="仿宋_GB2312"/>
          <w:bCs w:val="0"/>
          <w:sz w:val="32"/>
          <w:szCs w:val="32"/>
          <w:lang w:bidi="ar"/>
        </w:rPr>
        <w:t>3</w:t>
      </w:r>
      <w:r>
        <w:rPr>
          <w:rStyle w:val="9"/>
          <w:rFonts w:ascii="仿宋_GB2312" w:hAnsi="仿宋_GB2312" w:eastAsia="仿宋_GB2312" w:cs="仿宋_GB2312"/>
          <w:bCs w:val="0"/>
          <w:sz w:val="32"/>
          <w:szCs w:val="32"/>
          <w:lang w:bidi="ar"/>
        </w:rPr>
        <w:t>.</w:t>
      </w:r>
      <w:r>
        <w:rPr>
          <w:rStyle w:val="9"/>
          <w:rFonts w:hint="eastAsia" w:ascii="仿宋_GB2312" w:hAnsi="仿宋_GB2312" w:eastAsia="仿宋_GB2312" w:cs="仿宋_GB2312"/>
          <w:bCs w:val="0"/>
          <w:sz w:val="32"/>
          <w:szCs w:val="32"/>
          <w:lang w:bidi="ar"/>
        </w:rPr>
        <w:t>项目情况</w:t>
      </w:r>
    </w:p>
    <w:p>
      <w:pPr>
        <w:pStyle w:val="17"/>
        <w:snapToGrid w:val="0"/>
        <w:spacing w:line="540" w:lineRule="exact"/>
        <w:ind w:firstLine="640"/>
        <w:outlineLvl w:val="1"/>
        <w:rPr>
          <w:rStyle w:val="9"/>
          <w:rFonts w:ascii="仿宋_GB2312" w:hAnsi="仿宋_GB2312" w:eastAsia="仿宋_GB2312" w:cs="仿宋_GB2312"/>
          <w:b w:val="0"/>
          <w:sz w:val="32"/>
          <w:szCs w:val="32"/>
          <w:lang w:bidi="ar"/>
        </w:rPr>
      </w:pPr>
      <w:r>
        <w:rPr>
          <w:rStyle w:val="9"/>
          <w:rFonts w:hint="eastAsia" w:ascii="仿宋_GB2312" w:hAnsi="仿宋_GB2312" w:eastAsia="仿宋_GB2312" w:cs="仿宋_GB2312"/>
          <w:b w:val="0"/>
          <w:sz w:val="32"/>
          <w:szCs w:val="32"/>
          <w:lang w:bidi="ar"/>
        </w:rPr>
        <w:t>2</w:t>
      </w:r>
      <w:r>
        <w:rPr>
          <w:rStyle w:val="9"/>
          <w:rFonts w:ascii="仿宋_GB2312" w:hAnsi="仿宋_GB2312" w:eastAsia="仿宋_GB2312" w:cs="仿宋_GB2312"/>
          <w:b w:val="0"/>
          <w:sz w:val="32"/>
          <w:szCs w:val="32"/>
          <w:lang w:bidi="ar"/>
        </w:rPr>
        <w:t>021</w:t>
      </w:r>
      <w:r>
        <w:rPr>
          <w:rStyle w:val="9"/>
          <w:rFonts w:hint="eastAsia" w:ascii="仿宋_GB2312" w:hAnsi="仿宋_GB2312" w:eastAsia="仿宋_GB2312" w:cs="仿宋_GB2312"/>
          <w:b w:val="0"/>
          <w:sz w:val="32"/>
          <w:szCs w:val="32"/>
          <w:lang w:bidi="ar"/>
        </w:rPr>
        <w:t>年本单位共实施2</w:t>
      </w:r>
      <w:r>
        <w:rPr>
          <w:rStyle w:val="9"/>
          <w:rFonts w:ascii="仿宋_GB2312" w:hAnsi="仿宋_GB2312" w:eastAsia="仿宋_GB2312" w:cs="仿宋_GB2312"/>
          <w:b w:val="0"/>
          <w:sz w:val="32"/>
          <w:szCs w:val="32"/>
          <w:lang w:bidi="ar"/>
        </w:rPr>
        <w:t>3</w:t>
      </w:r>
      <w:r>
        <w:rPr>
          <w:rStyle w:val="9"/>
          <w:rFonts w:hint="eastAsia" w:ascii="仿宋_GB2312" w:hAnsi="仿宋_GB2312" w:eastAsia="仿宋_GB2312" w:cs="仿宋_GB2312"/>
          <w:b w:val="0"/>
          <w:sz w:val="32"/>
          <w:szCs w:val="32"/>
          <w:lang w:bidi="ar"/>
        </w:rPr>
        <w:t>个项目，分别为敬老院采购家具款，大中专毕业生就业见习补贴，80岁高龄补贴，两项残疾人补贴，城市最低生活保障金支出（城市低保），农村最低生活保障金支出（农村低保），临时救助资金，农村特困人员救助供养支出，低保，幸福大院，孤儿，基本公共卫生服务（人口监测费），计划生育服务（南疆特殊奖励，宣传员补助），生态保护（生态护林员补助），债务化解资金，耕地地力保护补贴，访汇聚项目资金，农村基础设施建设（黄麻鸡养殖基地配套设施项目），生产发展（麻鸡养殖基地配套设施建设项目，鸽子采购项目），种鸽养殖建设项目，村集体经济壮大资金，棉花目标价格改革补贴，土地增减挂资金，救灾灾害救灾补助，村务监督员补贴,占地赔偿，护林员。以上项目均已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1.项目资金情况</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该项目预算资金2</w:t>
      </w:r>
      <w:r>
        <w:rPr>
          <w:rStyle w:val="9"/>
          <w:rFonts w:ascii="仿宋_GB2312" w:hAnsi="仿宋_GB2312" w:eastAsia="仿宋_GB2312" w:cs="仿宋_GB2312"/>
          <w:b w:val="0"/>
          <w:bCs w:val="0"/>
          <w:spacing w:val="-4"/>
          <w:sz w:val="32"/>
          <w:szCs w:val="32"/>
        </w:rPr>
        <w:t>683.61</w:t>
      </w:r>
      <w:r>
        <w:rPr>
          <w:rStyle w:val="9"/>
          <w:rFonts w:hint="eastAsia" w:ascii="仿宋_GB2312" w:hAnsi="仿宋_GB2312" w:eastAsia="仿宋_GB2312" w:cs="仿宋_GB2312"/>
          <w:b w:val="0"/>
          <w:bCs w:val="0"/>
          <w:spacing w:val="-4"/>
          <w:sz w:val="32"/>
          <w:szCs w:val="32"/>
        </w:rPr>
        <w:t>万元，实际到位</w:t>
      </w:r>
      <w:r>
        <w:rPr>
          <w:rStyle w:val="9"/>
          <w:rFonts w:ascii="仿宋_GB2312" w:hAnsi="仿宋_GB2312" w:eastAsia="仿宋_GB2312" w:cs="仿宋_GB2312"/>
          <w:b w:val="0"/>
          <w:bCs w:val="0"/>
          <w:spacing w:val="-4"/>
          <w:sz w:val="32"/>
          <w:szCs w:val="32"/>
        </w:rPr>
        <w:t>2683.61</w:t>
      </w:r>
      <w:r>
        <w:rPr>
          <w:rStyle w:val="9"/>
          <w:rFonts w:hint="eastAsia" w:ascii="仿宋_GB2312" w:hAnsi="仿宋_GB2312" w:eastAsia="仿宋_GB2312" w:cs="仿宋_GB2312"/>
          <w:b w:val="0"/>
          <w:bCs w:val="0"/>
          <w:spacing w:val="-4"/>
          <w:sz w:val="32"/>
          <w:szCs w:val="32"/>
        </w:rPr>
        <w:t>万元，实际支出</w:t>
      </w:r>
      <w:r>
        <w:rPr>
          <w:rStyle w:val="9"/>
          <w:rFonts w:ascii="仿宋_GB2312" w:hAnsi="仿宋_GB2312" w:eastAsia="仿宋_GB2312" w:cs="仿宋_GB2312"/>
          <w:b w:val="0"/>
          <w:bCs w:val="0"/>
          <w:spacing w:val="-4"/>
          <w:sz w:val="32"/>
          <w:szCs w:val="32"/>
        </w:rPr>
        <w:t>2541.62</w:t>
      </w:r>
      <w:r>
        <w:rPr>
          <w:rStyle w:val="9"/>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加马铁热克乡单位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项目组织情况：</w:t>
      </w:r>
      <w:r>
        <w:rPr>
          <w:rStyle w:val="9"/>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项目管理情况：</w:t>
      </w:r>
      <w:r>
        <w:rPr>
          <w:rStyle w:val="9"/>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项目监管情况：</w:t>
      </w:r>
      <w:r>
        <w:rPr>
          <w:rStyle w:val="9"/>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成本控制情况：</w:t>
      </w:r>
      <w:r>
        <w:rPr>
          <w:rStyle w:val="9"/>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成本节约情况：</w:t>
      </w:r>
      <w:r>
        <w:rPr>
          <w:rStyle w:val="9"/>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项目实施进度：</w:t>
      </w:r>
      <w:r>
        <w:rPr>
          <w:rStyle w:val="9"/>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项目完成质量：</w:t>
      </w:r>
      <w:r>
        <w:rPr>
          <w:rStyle w:val="9"/>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预期目标完成程度：</w:t>
      </w:r>
      <w:r>
        <w:rPr>
          <w:rStyle w:val="9"/>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项目实施对效益的影响：</w:t>
      </w:r>
      <w:r>
        <w:rPr>
          <w:rStyle w:val="9"/>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4" w:name="_Toc27846_WPSOffice_Level1"/>
      <w:r>
        <w:rPr>
          <w:rStyle w:val="9"/>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（一）资产管理规范性</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2021年资产合计数为7482.02万元，比上年增加6731.66万元，主要原因是行业部门调拨固定资产以及公共基础设施.其中：货币资金306.89万元，比上年增加199.32万元；财政应返还额度0万元，比上年相比无变化；房屋5557.87平方米496.86万元，与上年无变化；车辆5辆51.74万元，我单位本年无资产处置情况（根据单位实际情况修改），资产配置合理，使用规范，安全完整。</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我单位固定资产7482.02万元,其中:房屋5557.87平方米496.86万元，与上年无变化；车辆5辆51.74万元。目前正在使用的固定资产总额7482.02万元，固定资产利用率为100%。</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spacing w:val="-4"/>
          <w:sz w:val="32"/>
          <w:szCs w:val="32"/>
        </w:rPr>
        <w:t>3.</w:t>
      </w:r>
      <w:r>
        <w:rPr>
          <w:rStyle w:val="9"/>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（二）固定资产利用率</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截止本年度固定资产账面净值7482.02万元，年末实际在用固定资产7482.02万元，固定资产利用率为100%。</w:t>
      </w:r>
    </w:p>
    <w:p>
      <w:pPr>
        <w:pStyle w:val="12"/>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5" w:name="_Toc13582_WPSOffice_Level1"/>
      <w:r>
        <w:rPr>
          <w:rStyle w:val="9"/>
          <w:rFonts w:hint="eastAsia" w:ascii="仿宋_GB2312" w:hAnsi="仿宋_GB2312" w:eastAsia="仿宋_GB2312" w:cs="仿宋_GB2312"/>
          <w:spacing w:val="-4"/>
          <w:sz w:val="32"/>
          <w:szCs w:val="32"/>
        </w:rPr>
        <w:t>部门单位整体支出绩效情况</w:t>
      </w:r>
      <w:bookmarkEnd w:id="5"/>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部门单位整体支出自评表，共设置一级指标3个，二级指标9个，三级指标22个。</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“单位在职（人）”指标：预期指标值为115，实际完成指标值为115，指标完成率为100%。达到预期目标。</w:t>
      </w:r>
    </w:p>
    <w:p>
      <w:pPr>
        <w:pStyle w:val="17"/>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“单位退休（人）”指标：预期指标值为51，实际完成指标值为51，指标完成率为101%。达到预期目标。</w:t>
      </w:r>
    </w:p>
    <w:p>
      <w:pPr>
        <w:pStyle w:val="17"/>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“办理案件”指标：预期指标值为10，实际完成指标值为10，指标完成率为100%。达到预期目标。</w:t>
      </w:r>
    </w:p>
    <w:p>
      <w:pPr>
        <w:pStyle w:val="12"/>
        <w:snapToGrid w:val="0"/>
        <w:spacing w:line="540" w:lineRule="exact"/>
        <w:ind w:firstLine="624"/>
        <w:rPr>
          <w:rStyle w:val="9"/>
          <w:rFonts w:ascii="仿宋" w:hAnsi="仿宋" w:eastAsia="仿宋"/>
          <w:b w:val="0"/>
          <w:bCs w:val="0"/>
          <w:color w:val="000000" w:themeColor="text1"/>
          <w:spacing w:val="-4"/>
          <w:sz w:val="32"/>
          <w:szCs w:val="32"/>
          <w14:textFill>
            <w14:solidFill>
              <w14:schemeClr w14:val="tx1"/>
            </w14:solidFill>
          </w14:textFill>
        </w:rPr>
      </w:pPr>
      <w:r>
        <w:rPr>
          <w:rStyle w:val="9"/>
          <w:rFonts w:hint="eastAsia" w:ascii="仿宋" w:hAnsi="仿宋" w:eastAsia="仿宋"/>
          <w:b w:val="0"/>
          <w:bCs w:val="0"/>
          <w:color w:val="000000" w:themeColor="text1"/>
          <w:spacing w:val="-4"/>
          <w:sz w:val="32"/>
          <w:szCs w:val="32"/>
          <w14:textFill>
            <w14:solidFill>
              <w14:schemeClr w14:val="tx1"/>
            </w14:solidFill>
          </w14:textFill>
        </w:rPr>
        <w:t>“办公用品采购次数”指标：预期指标值为4，实际完成指标值为4，指标完成率为100%。达到预期目标。</w:t>
      </w:r>
    </w:p>
    <w:p>
      <w:pPr>
        <w:pStyle w:val="12"/>
        <w:snapToGrid w:val="0"/>
        <w:spacing w:line="540" w:lineRule="exact"/>
        <w:ind w:firstLine="624"/>
        <w:rPr>
          <w:rStyle w:val="9"/>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w:t>
      </w:r>
      <w:r>
        <w:rPr>
          <w:rFonts w:ascii="仿宋" w:hAnsi="仿宋" w:eastAsia="仿宋" w:cs="宋体"/>
          <w:bCs/>
          <w:color w:val="000000" w:themeColor="text1"/>
          <w:sz w:val="32"/>
          <w:szCs w:val="32"/>
          <w:lang w:bidi="ar"/>
          <w14:textFill>
            <w14:solidFill>
              <w14:schemeClr w14:val="tx1"/>
            </w14:solidFill>
          </w14:textFill>
        </w:rPr>
        <w:t>4</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Fonts w:ascii="仿宋" w:hAnsi="仿宋" w:eastAsia="仿宋" w:cs="宋体"/>
          <w:bCs/>
          <w:color w:val="000000" w:themeColor="text1"/>
          <w:sz w:val="32"/>
          <w:szCs w:val="32"/>
          <w:lang w:bidi="ar"/>
          <w14:textFill>
            <w14:solidFill>
              <w14:schemeClr w14:val="tx1"/>
            </w14:solidFill>
          </w14:textFill>
        </w:rPr>
        <w:t>4</w:t>
      </w:r>
      <w:r>
        <w:rPr>
          <w:rStyle w:val="9"/>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案件办结率指标，预期指标是等于</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伙食补助覆盖率指标，预期指标是等于</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项目验收合格率指标，预期指标是等于</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9"/>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3</w:t>
      </w:r>
      <w:r>
        <w:rPr>
          <w:rStyle w:val="9"/>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3</w:t>
      </w:r>
      <w:r>
        <w:rPr>
          <w:rStyle w:val="9"/>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案件办理及时率指标，预期指标是等于100%，实际完成值是100%，指标完成率是100%，达到预期目标。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项目资金拨款及时率（%）指标，预期指标是等于100%，实际完成值是100%，指标完成率是100%，达到预期目标。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伙食补助时间（月）指标，预期指标是等于</w:t>
      </w:r>
      <w:r>
        <w:rPr>
          <w:rStyle w:val="9"/>
          <w:rFonts w:ascii="仿宋_GB2312" w:hAnsi="仿宋_GB2312" w:eastAsia="仿宋_GB2312" w:cs="仿宋_GB2312"/>
          <w:b w:val="0"/>
          <w:bCs w:val="0"/>
          <w:spacing w:val="-4"/>
          <w:sz w:val="32"/>
          <w:szCs w:val="32"/>
        </w:rPr>
        <w:t>12</w:t>
      </w:r>
      <w:r>
        <w:rPr>
          <w:rStyle w:val="9"/>
          <w:rFonts w:hint="eastAsia" w:ascii="仿宋_GB2312" w:hAnsi="仿宋_GB2312" w:eastAsia="仿宋_GB2312" w:cs="仿宋_GB2312"/>
          <w:b w:val="0"/>
          <w:bCs w:val="0"/>
          <w:spacing w:val="-4"/>
          <w:sz w:val="32"/>
          <w:szCs w:val="32"/>
        </w:rPr>
        <w:t>，实际完成值是</w:t>
      </w:r>
      <w:r>
        <w:rPr>
          <w:rStyle w:val="9"/>
          <w:rFonts w:ascii="仿宋_GB2312" w:hAnsi="仿宋_GB2312" w:eastAsia="仿宋_GB2312" w:cs="仿宋_GB2312"/>
          <w:b w:val="0"/>
          <w:bCs w:val="0"/>
          <w:spacing w:val="-4"/>
          <w:sz w:val="32"/>
          <w:szCs w:val="32"/>
        </w:rPr>
        <w:t>12</w:t>
      </w:r>
      <w:r>
        <w:rPr>
          <w:rStyle w:val="9"/>
          <w:rFonts w:hint="eastAsia" w:ascii="仿宋_GB2312" w:hAnsi="仿宋_GB2312" w:eastAsia="仿宋_GB2312" w:cs="仿宋_GB2312"/>
          <w:b w:val="0"/>
          <w:bCs w:val="0"/>
          <w:spacing w:val="-4"/>
          <w:sz w:val="32"/>
          <w:szCs w:val="32"/>
        </w:rPr>
        <w:t>，指标完成率是100%，达到预期目标。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时效指标共计3个，完成3个，达到预期目标，时效指标完成。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工资发放（人/年/万元）指标，预期指标是小于等于</w:t>
      </w:r>
      <w:r>
        <w:rPr>
          <w:rStyle w:val="9"/>
          <w:rFonts w:ascii="仿宋_GB2312" w:hAnsi="仿宋_GB2312" w:eastAsia="仿宋_GB2312" w:cs="仿宋_GB2312"/>
          <w:b w:val="0"/>
          <w:bCs w:val="0"/>
          <w:spacing w:val="-4"/>
          <w:sz w:val="32"/>
          <w:szCs w:val="32"/>
        </w:rPr>
        <w:t>16.63</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16.63</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公用经费成本（万元）指标，预期指标是小于等于</w:t>
      </w:r>
      <w:r>
        <w:rPr>
          <w:rStyle w:val="9"/>
          <w:rFonts w:ascii="仿宋_GB2312" w:hAnsi="仿宋_GB2312" w:eastAsia="仿宋_GB2312" w:cs="仿宋_GB2312"/>
          <w:b w:val="0"/>
          <w:bCs w:val="0"/>
          <w:spacing w:val="-4"/>
          <w:sz w:val="32"/>
          <w:szCs w:val="32"/>
        </w:rPr>
        <w:t>24.52</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24.5</w:t>
      </w:r>
      <w:r>
        <w:rPr>
          <w:rStyle w:val="9"/>
          <w:rFonts w:hint="eastAsia" w:ascii="仿宋_GB2312" w:hAnsi="仿宋_GB2312" w:eastAsia="仿宋_GB2312" w:cs="仿宋_GB2312"/>
          <w:b w:val="0"/>
          <w:bCs w:val="0"/>
          <w:spacing w:val="-4"/>
          <w:sz w:val="32"/>
          <w:szCs w:val="32"/>
        </w:rPr>
        <w:t>万元，指标完成率是100%，达到成本控制及改善目标。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经费资金总金额指标，预期指标是小于等于24.52万元，实际完成值是24.50万元，指标完成率是99.92%，达到成本控制及改善目标。</w:t>
      </w:r>
    </w:p>
    <w:p>
      <w:pPr>
        <w:pStyle w:val="17"/>
        <w:snapToGrid w:val="0"/>
        <w:spacing w:line="540" w:lineRule="exact"/>
        <w:ind w:firstLine="624"/>
        <w:rPr>
          <w:rFonts w:ascii="仿宋_GB2312" w:hAnsi="仿宋_GB2312" w:eastAsia="仿宋_GB2312" w:cs="仿宋_GB2312"/>
          <w:spacing w:val="-4"/>
          <w:sz w:val="32"/>
          <w:szCs w:val="32"/>
        </w:rPr>
      </w:pPr>
      <w:r>
        <w:rPr>
          <w:rStyle w:val="9"/>
          <w:rFonts w:hint="eastAsia" w:ascii="仿宋_GB2312" w:hAnsi="仿宋_GB2312" w:eastAsia="仿宋_GB2312" w:cs="仿宋_GB2312"/>
          <w:b w:val="0"/>
          <w:bCs w:val="0"/>
          <w:spacing w:val="-4"/>
          <w:sz w:val="32"/>
          <w:szCs w:val="32"/>
        </w:rPr>
        <w:t>办案经费（万元）指标，预期指标是小于等于</w:t>
      </w:r>
      <w:r>
        <w:rPr>
          <w:rStyle w:val="9"/>
          <w:rFonts w:ascii="仿宋_GB2312" w:hAnsi="仿宋_GB2312" w:eastAsia="仿宋_GB2312" w:cs="仿宋_GB2312"/>
          <w:b w:val="0"/>
          <w:bCs w:val="0"/>
          <w:spacing w:val="-4"/>
          <w:sz w:val="32"/>
          <w:szCs w:val="32"/>
        </w:rPr>
        <w:t>5</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4.76</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伙食补助（万元）指标，预期指标是小于等于</w:t>
      </w:r>
      <w:r>
        <w:rPr>
          <w:rStyle w:val="9"/>
          <w:rFonts w:ascii="仿宋_GB2312" w:hAnsi="仿宋_GB2312" w:eastAsia="仿宋_GB2312" w:cs="仿宋_GB2312"/>
          <w:b w:val="0"/>
          <w:bCs w:val="0"/>
          <w:spacing w:val="-4"/>
          <w:sz w:val="32"/>
          <w:szCs w:val="32"/>
        </w:rPr>
        <w:t>6</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3.98</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取暖费（万元）指标，预期指标是小于等于</w:t>
      </w:r>
      <w:r>
        <w:rPr>
          <w:rStyle w:val="9"/>
          <w:rFonts w:ascii="仿宋_GB2312" w:hAnsi="仿宋_GB2312" w:eastAsia="仿宋_GB2312" w:cs="仿宋_GB2312"/>
          <w:b w:val="0"/>
          <w:bCs w:val="0"/>
          <w:spacing w:val="-4"/>
          <w:sz w:val="32"/>
          <w:szCs w:val="32"/>
        </w:rPr>
        <w:t>50</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16</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成本指标共计</w:t>
      </w:r>
      <w:r>
        <w:rPr>
          <w:rStyle w:val="9"/>
          <w:rFonts w:ascii="仿宋_GB2312" w:hAnsi="仿宋_GB2312" w:eastAsia="仿宋_GB2312" w:cs="仿宋_GB2312"/>
          <w:b w:val="0"/>
          <w:bCs w:val="0"/>
          <w:spacing w:val="-4"/>
          <w:sz w:val="32"/>
          <w:szCs w:val="32"/>
        </w:rPr>
        <w:t>5</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5</w:t>
      </w:r>
      <w:r>
        <w:rPr>
          <w:rStyle w:val="9"/>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700" w:firstLineChars="250"/>
        <w:rPr>
          <w:rFonts w:hint="eastAsia" w:ascii="仿宋_GB2312" w:hAnsi="仿宋_GB2312" w:cs="仿宋_GB2312"/>
          <w:sz w:val="28"/>
          <w:szCs w:val="28"/>
        </w:rPr>
      </w:pPr>
      <w:r>
        <w:rPr>
          <w:rFonts w:hint="eastAsia" w:ascii="仿宋_GB2312" w:hAnsi="仿宋_GB2312" w:cs="仿宋_GB2312"/>
          <w:sz w:val="28"/>
          <w:szCs w:val="28"/>
        </w:rPr>
        <w:t>无。</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保障全乡工作有序稳定开展，为社会稳定和长治久安提供坚强的保障指标，预期指标是有效保障，实际完成值是有效保障，指标完成率是100%，达到单位履职能力对社会带来的影响预期目标。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社会效益指标共计</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560"/>
        <w:rPr>
          <w:rFonts w:hint="eastAsia" w:ascii="仿宋_GB2312" w:hAnsi="仿宋_GB2312" w:cs="仿宋_GB2312"/>
          <w:sz w:val="28"/>
          <w:szCs w:val="28"/>
        </w:rPr>
      </w:pPr>
      <w:r>
        <w:rPr>
          <w:rFonts w:hint="eastAsia" w:ascii="仿宋_GB2312" w:hAnsi="仿宋_GB2312" w:cs="仿宋_GB2312"/>
          <w:sz w:val="28"/>
          <w:szCs w:val="28"/>
        </w:rPr>
        <w:t>无。</w:t>
      </w:r>
    </w:p>
    <w:p>
      <w:pPr>
        <w:pStyle w:val="12"/>
        <w:snapToGrid w:val="0"/>
        <w:spacing w:line="540" w:lineRule="exact"/>
        <w:ind w:firstLine="627"/>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提升干部的工作积极性指标，预期指标是有效提升，实际完成值是有效提升，指标完成率是100%，实现部门绩效长效机制建设，提高工作效率目标。</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可持续影响指标共计</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1</w:t>
      </w:r>
      <w:r>
        <w:rPr>
          <w:rStyle w:val="9"/>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受益人员满意度指标，预期指标是大于等于95%，实际完成值是9</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%，指标完成率是100%，达到部门（单位）服务对象对部门履职效果的满意度。</w:t>
      </w:r>
    </w:p>
    <w:p>
      <w:pPr>
        <w:pStyle w:val="17"/>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执法人员满意率指标，预期指标是大于等于95%，实际完成值是9</w:t>
      </w:r>
      <w:r>
        <w:rPr>
          <w:rStyle w:val="9"/>
          <w:rFonts w:ascii="仿宋_GB2312" w:hAnsi="仿宋_GB2312" w:eastAsia="仿宋_GB2312" w:cs="仿宋_GB2312"/>
          <w:b w:val="0"/>
          <w:bCs w:val="0"/>
          <w:spacing w:val="-4"/>
          <w:sz w:val="32"/>
          <w:szCs w:val="32"/>
        </w:rPr>
        <w:t>8</w:t>
      </w:r>
      <w:r>
        <w:rPr>
          <w:rStyle w:val="9"/>
          <w:rFonts w:hint="eastAsia" w:ascii="仿宋_GB2312" w:hAnsi="仿宋_GB2312" w:eastAsia="仿宋_GB2312" w:cs="仿宋_GB2312"/>
          <w:b w:val="0"/>
          <w:bCs w:val="0"/>
          <w:spacing w:val="-4"/>
          <w:sz w:val="32"/>
          <w:szCs w:val="32"/>
        </w:rPr>
        <w:t>%，指标完成率是100%，达到部门（单位）服务对象对部门履职效果的满意度。</w:t>
      </w:r>
    </w:p>
    <w:p>
      <w:pPr>
        <w:pStyle w:val="17"/>
        <w:snapToGrid w:val="0"/>
        <w:spacing w:line="540" w:lineRule="exact"/>
        <w:ind w:firstLine="624"/>
        <w:rPr>
          <w:rStyle w:val="9"/>
          <w:rFonts w:ascii="仿宋_GB2312" w:hAnsi="仿宋_GB2312" w:eastAsia="仿宋_GB2312" w:cs="仿宋_GB2312"/>
          <w:b w:val="0"/>
          <w:bCs w:val="0"/>
          <w:color w:val="FF0000"/>
          <w:spacing w:val="-4"/>
          <w:sz w:val="32"/>
          <w:szCs w:val="32"/>
        </w:rPr>
      </w:pPr>
      <w:r>
        <w:rPr>
          <w:rStyle w:val="9"/>
          <w:rFonts w:hint="eastAsia" w:ascii="仿宋_GB2312" w:hAnsi="仿宋_GB2312" w:eastAsia="仿宋_GB2312" w:cs="仿宋_GB2312"/>
          <w:b w:val="0"/>
          <w:bCs w:val="0"/>
          <w:spacing w:val="-4"/>
          <w:sz w:val="32"/>
          <w:szCs w:val="32"/>
        </w:rPr>
        <w:t>满意度指标共计</w:t>
      </w:r>
      <w:r>
        <w:rPr>
          <w:rStyle w:val="9"/>
          <w:rFonts w:ascii="仿宋_GB2312" w:hAnsi="仿宋_GB2312" w:eastAsia="仿宋_GB2312" w:cs="仿宋_GB2312"/>
          <w:b w:val="0"/>
          <w:bCs w:val="0"/>
          <w:spacing w:val="-4"/>
          <w:sz w:val="32"/>
          <w:szCs w:val="32"/>
        </w:rPr>
        <w:t>2</w:t>
      </w:r>
      <w:r>
        <w:rPr>
          <w:rStyle w:val="9"/>
          <w:rFonts w:hint="eastAsia" w:ascii="仿宋_GB2312" w:hAnsi="仿宋_GB2312" w:eastAsia="仿宋_GB2312" w:cs="仿宋_GB2312"/>
          <w:b w:val="0"/>
          <w:bCs w:val="0"/>
          <w:spacing w:val="-4"/>
          <w:sz w:val="32"/>
          <w:szCs w:val="32"/>
        </w:rPr>
        <w:t>个，完成</w:t>
      </w:r>
      <w:r>
        <w:rPr>
          <w:rStyle w:val="9"/>
          <w:rFonts w:ascii="仿宋_GB2312" w:hAnsi="仿宋_GB2312" w:eastAsia="仿宋_GB2312" w:cs="仿宋_GB2312"/>
          <w:b w:val="0"/>
          <w:bCs w:val="0"/>
          <w:spacing w:val="-4"/>
          <w:sz w:val="32"/>
          <w:szCs w:val="32"/>
        </w:rPr>
        <w:t>2</w:t>
      </w:r>
      <w:r>
        <w:rPr>
          <w:rStyle w:val="9"/>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6" w:name="_Toc22800_WPSOffice_Level1"/>
      <w:r>
        <w:rPr>
          <w:rStyle w:val="9"/>
          <w:rFonts w:hint="eastAsia" w:ascii="仿宋_GB2312" w:hAnsi="仿宋_GB2312" w:eastAsia="仿宋_GB2312" w:cs="仿宋_GB2312"/>
          <w:spacing w:val="-4"/>
          <w:sz w:val="32"/>
          <w:szCs w:val="32"/>
        </w:rPr>
        <w:t>存在的主要问题</w:t>
      </w:r>
      <w:bookmarkEnd w:id="6"/>
    </w:p>
    <w:p>
      <w:pPr>
        <w:pStyle w:val="3"/>
        <w:adjustRightInd w:val="0"/>
        <w:snapToGrid w:val="0"/>
        <w:ind w:firstLine="624" w:firstLineChars="200"/>
        <w:rPr>
          <w:rStyle w:val="9"/>
          <w:rFonts w:ascii="仿宋_GB2312" w:hAnsi="仿宋_GB2312" w:eastAsia="仿宋_GB2312" w:cs="仿宋_GB2312"/>
          <w:b w:val="0"/>
          <w:bCs w:val="0"/>
          <w:spacing w:val="-4"/>
          <w:kern w:val="2"/>
          <w:sz w:val="32"/>
          <w:szCs w:val="32"/>
        </w:rPr>
      </w:pPr>
      <w:bookmarkStart w:id="7" w:name="_Toc29546_WPSOffice_Level1"/>
      <w:r>
        <w:rPr>
          <w:rStyle w:val="9"/>
          <w:rFonts w:hint="eastAsia" w:ascii="仿宋_GB2312" w:hAnsi="仿宋_GB2312" w:eastAsia="仿宋_GB2312" w:cs="仿宋_GB2312"/>
          <w:b w:val="0"/>
          <w:bCs w:val="0"/>
          <w:spacing w:val="-4"/>
          <w:kern w:val="2"/>
          <w:sz w:val="32"/>
          <w:szCs w:val="32"/>
        </w:rPr>
        <w:t>2021年，财政资金紧缺，资金未及时支出。</w:t>
      </w:r>
    </w:p>
    <w:p>
      <w:pPr>
        <w:pStyle w:val="18"/>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pStyle w:val="18"/>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（一）改进措施</w:t>
      </w:r>
    </w:p>
    <w:p>
      <w:pPr>
        <w:pStyle w:val="3"/>
        <w:adjustRightInd w:val="0"/>
        <w:snapToGrid w:val="0"/>
        <w:ind w:firstLine="624" w:firstLineChars="200"/>
        <w:rPr>
          <w:rStyle w:val="9"/>
          <w:rFonts w:ascii="仿宋_GB2312" w:hAnsi="仿宋_GB2312" w:eastAsia="仿宋_GB2312" w:cs="仿宋_GB2312"/>
          <w:b w:val="0"/>
          <w:bCs w:val="0"/>
          <w:spacing w:val="-4"/>
          <w:kern w:val="2"/>
          <w:sz w:val="32"/>
          <w:szCs w:val="32"/>
        </w:rPr>
      </w:pPr>
      <w:r>
        <w:rPr>
          <w:rStyle w:val="9"/>
          <w:rFonts w:hint="eastAsia" w:ascii="仿宋_GB2312" w:hAnsi="仿宋_GB2312" w:eastAsia="仿宋_GB2312" w:cs="仿宋_GB2312"/>
          <w:b w:val="0"/>
          <w:bCs w:val="0"/>
          <w:spacing w:val="-4"/>
          <w:kern w:val="2"/>
          <w:sz w:val="32"/>
          <w:szCs w:val="32"/>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pPr>
        <w:pStyle w:val="3"/>
        <w:adjustRightInd w:val="0"/>
        <w:snapToGrid w:val="0"/>
        <w:ind w:firstLine="624" w:firstLineChars="200"/>
        <w:rPr>
          <w:rStyle w:val="9"/>
          <w:rFonts w:ascii="仿宋_GB2312" w:hAnsi="仿宋_GB2312" w:eastAsia="仿宋_GB2312" w:cs="仿宋_GB2312"/>
          <w:b w:val="0"/>
          <w:bCs w:val="0"/>
          <w:spacing w:val="-4"/>
          <w:kern w:val="2"/>
          <w:sz w:val="32"/>
          <w:szCs w:val="32"/>
        </w:rPr>
      </w:pPr>
      <w:r>
        <w:rPr>
          <w:rStyle w:val="9"/>
          <w:rFonts w:hint="eastAsia" w:ascii="仿宋_GB2312" w:hAnsi="仿宋_GB2312" w:eastAsia="仿宋_GB2312" w:cs="仿宋_GB2312"/>
          <w:b w:val="0"/>
          <w:bCs w:val="0"/>
          <w:spacing w:val="-4"/>
          <w:kern w:val="2"/>
          <w:sz w:val="32"/>
          <w:szCs w:val="32"/>
        </w:rPr>
        <w:t>二是强化过程监控。根据下达的绩效目标，在项目推进和预算执行过程中，采取项目跟踪、数据核查和汇总分析等方式，动态了解和掌握绩效目标实现程度、实施进程和支出执行进度等。财政部门在预算部门自行监控的基础上，根据批复的绩效目标，针对重点部门和重点项目，结合预算执行进度、动态监控等，对预算绩效运行情况进行重点抽查，以发现问题和风险，督促预算部门采取措施，防止预算绩效运行偏离，确保绩效目标实现。</w:t>
      </w:r>
    </w:p>
    <w:p>
      <w:pPr>
        <w:pStyle w:val="3"/>
        <w:adjustRightInd w:val="0"/>
        <w:snapToGrid w:val="0"/>
        <w:ind w:firstLine="624" w:firstLineChars="200"/>
        <w:rPr>
          <w:rStyle w:val="9"/>
          <w:rFonts w:ascii="仿宋_GB2312" w:hAnsi="仿宋_GB2312" w:eastAsia="仿宋_GB2312" w:cs="仿宋_GB2312"/>
          <w:b w:val="0"/>
          <w:bCs w:val="0"/>
          <w:spacing w:val="-4"/>
          <w:kern w:val="2"/>
          <w:sz w:val="32"/>
          <w:szCs w:val="32"/>
        </w:rPr>
      </w:pPr>
      <w:r>
        <w:rPr>
          <w:rStyle w:val="9"/>
          <w:rFonts w:hint="eastAsia" w:ascii="仿宋_GB2312" w:hAnsi="仿宋_GB2312" w:eastAsia="仿宋_GB2312" w:cs="仿宋_GB2312"/>
          <w:b w:val="0"/>
          <w:bCs w:val="0"/>
          <w:spacing w:val="-4"/>
          <w:kern w:val="2"/>
          <w:sz w:val="32"/>
          <w:szCs w:val="32"/>
        </w:rPr>
        <w:t>三是完善绩效评价。加强本级及所属单位绩效自评结果的审核工作，对本级及所属单位自评工作开展情况作出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p>
      <w:pPr>
        <w:pStyle w:val="12"/>
        <w:snapToGrid w:val="0"/>
        <w:spacing w:line="540" w:lineRule="exact"/>
        <w:ind w:firstLine="624"/>
        <w:outlineLvl w:val="1"/>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w:t>
      </w:r>
      <w:r>
        <w:rPr>
          <w:rStyle w:val="9"/>
          <w:rFonts w:hint="eastAsia" w:ascii="仿宋_GB2312" w:hAnsi="仿宋_GB2312" w:eastAsia="仿宋_GB2312" w:cs="仿宋_GB2312"/>
          <w:spacing w:val="-4"/>
          <w:sz w:val="32"/>
          <w:szCs w:val="32"/>
        </w:rPr>
        <w:t>二）建议</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p>
    <w:p>
      <w:pPr>
        <w:snapToGrid w:val="0"/>
        <w:spacing w:line="540" w:lineRule="exact"/>
        <w:ind w:firstLine="624" w:firstLineChars="200"/>
        <w:rPr>
          <w:rStyle w:val="9"/>
          <w:rFonts w:ascii="仿宋_GB2312" w:hAnsi="仿宋_GB2312" w:eastAsia="仿宋_GB2312" w:cs="仿宋_GB2312"/>
          <w:b w:val="0"/>
          <w:bCs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258E1"/>
    <w:rsid w:val="003F0DB2"/>
    <w:rsid w:val="00424A01"/>
    <w:rsid w:val="00491D09"/>
    <w:rsid w:val="004E1483"/>
    <w:rsid w:val="0054132C"/>
    <w:rsid w:val="005956E3"/>
    <w:rsid w:val="005B1250"/>
    <w:rsid w:val="005C0E68"/>
    <w:rsid w:val="006258B7"/>
    <w:rsid w:val="00633862"/>
    <w:rsid w:val="00650E25"/>
    <w:rsid w:val="006B4CDA"/>
    <w:rsid w:val="006C5BED"/>
    <w:rsid w:val="006C5D3A"/>
    <w:rsid w:val="006D4FCD"/>
    <w:rsid w:val="006F7865"/>
    <w:rsid w:val="00702D4A"/>
    <w:rsid w:val="007115C8"/>
    <w:rsid w:val="00722C79"/>
    <w:rsid w:val="00724F4D"/>
    <w:rsid w:val="007E7E99"/>
    <w:rsid w:val="00825D99"/>
    <w:rsid w:val="00837AA5"/>
    <w:rsid w:val="0089387B"/>
    <w:rsid w:val="008E7E52"/>
    <w:rsid w:val="009304D8"/>
    <w:rsid w:val="0093778D"/>
    <w:rsid w:val="0097614B"/>
    <w:rsid w:val="0099431C"/>
    <w:rsid w:val="009F5A38"/>
    <w:rsid w:val="00A30300"/>
    <w:rsid w:val="00A46FDE"/>
    <w:rsid w:val="00AA5126"/>
    <w:rsid w:val="00AD16CD"/>
    <w:rsid w:val="00B5590F"/>
    <w:rsid w:val="00B86B60"/>
    <w:rsid w:val="00BA13C5"/>
    <w:rsid w:val="00BD7AB3"/>
    <w:rsid w:val="00BF62C2"/>
    <w:rsid w:val="00C77007"/>
    <w:rsid w:val="00CD2F35"/>
    <w:rsid w:val="00CD5A03"/>
    <w:rsid w:val="00D82401"/>
    <w:rsid w:val="00D9126A"/>
    <w:rsid w:val="00D91F41"/>
    <w:rsid w:val="00D93262"/>
    <w:rsid w:val="00DB1085"/>
    <w:rsid w:val="00E14BC6"/>
    <w:rsid w:val="00E77430"/>
    <w:rsid w:val="00EB1FFE"/>
    <w:rsid w:val="00F326C7"/>
    <w:rsid w:val="00F84215"/>
    <w:rsid w:val="00F84234"/>
    <w:rsid w:val="00FF2ACD"/>
    <w:rsid w:val="012008EE"/>
    <w:rsid w:val="01CC583F"/>
    <w:rsid w:val="04FF0482"/>
    <w:rsid w:val="05062887"/>
    <w:rsid w:val="05F70F85"/>
    <w:rsid w:val="084208C4"/>
    <w:rsid w:val="098A3C0A"/>
    <w:rsid w:val="0A9A7091"/>
    <w:rsid w:val="0E5A3F4B"/>
    <w:rsid w:val="10FE60D7"/>
    <w:rsid w:val="175D58E3"/>
    <w:rsid w:val="18061B60"/>
    <w:rsid w:val="190C3DF8"/>
    <w:rsid w:val="19F83E30"/>
    <w:rsid w:val="1A5D7A9C"/>
    <w:rsid w:val="1B403139"/>
    <w:rsid w:val="1C6D319F"/>
    <w:rsid w:val="1D4D74D6"/>
    <w:rsid w:val="1DE32CFD"/>
    <w:rsid w:val="1F1A602A"/>
    <w:rsid w:val="1F2854B6"/>
    <w:rsid w:val="21C768CD"/>
    <w:rsid w:val="222261D6"/>
    <w:rsid w:val="22E14253"/>
    <w:rsid w:val="23F209A3"/>
    <w:rsid w:val="2403516E"/>
    <w:rsid w:val="256A2A9E"/>
    <w:rsid w:val="2805537E"/>
    <w:rsid w:val="289437EE"/>
    <w:rsid w:val="29920323"/>
    <w:rsid w:val="2B6633D2"/>
    <w:rsid w:val="2EBF757D"/>
    <w:rsid w:val="31B83F5F"/>
    <w:rsid w:val="328E2AB6"/>
    <w:rsid w:val="329B12EA"/>
    <w:rsid w:val="33A83F87"/>
    <w:rsid w:val="355C2B3F"/>
    <w:rsid w:val="35F12468"/>
    <w:rsid w:val="36851B5C"/>
    <w:rsid w:val="37D360CA"/>
    <w:rsid w:val="38CB5066"/>
    <w:rsid w:val="3F301058"/>
    <w:rsid w:val="417A34F9"/>
    <w:rsid w:val="418810F4"/>
    <w:rsid w:val="41A37673"/>
    <w:rsid w:val="41E47497"/>
    <w:rsid w:val="42C30950"/>
    <w:rsid w:val="45A65C7F"/>
    <w:rsid w:val="468C2A4A"/>
    <w:rsid w:val="46AD2493"/>
    <w:rsid w:val="46EC7F14"/>
    <w:rsid w:val="48370B7A"/>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257C18"/>
    <w:rsid w:val="7BC003CA"/>
    <w:rsid w:val="7CBF4BB4"/>
    <w:rsid w:val="7E05747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8"/>
    <w:link w:val="6"/>
    <w:qFormat/>
    <w:uiPriority w:val="99"/>
    <w:rPr>
      <w:sz w:val="18"/>
      <w:szCs w:val="18"/>
    </w:rPr>
  </w:style>
  <w:style w:type="character" w:customStyle="1" w:styleId="14">
    <w:name w:val="页眉 字符"/>
    <w:basedOn w:val="8"/>
    <w:link w:val="7"/>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 w:type="paragraph" w:customStyle="1" w:styleId="18">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18</Pages>
  <Words>1382</Words>
  <Characters>7880</Characters>
  <Lines>65</Lines>
  <Paragraphs>18</Paragraphs>
  <TotalTime>0</TotalTime>
  <ScaleCrop>false</ScaleCrop>
  <LinksUpToDate>false</LinksUpToDate>
  <CharactersWithSpaces>9244</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2025-01-21T08:59:30Z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