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lang w:val="en-US" w:eastAsia="zh-Hans"/>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Hans"/>
        </w:rPr>
        <w:t>阿克陶县动物卫生监督所</w:t>
      </w:r>
      <w:r>
        <w:rPr>
          <w:rFonts w:hint="eastAsia" w:ascii="方正小标宋简体" w:hAnsi="方正小标宋简体" w:eastAsia="方正小标宋简体" w:cs="方正小标宋简体"/>
          <w:b/>
          <w:kern w:val="0"/>
          <w:sz w:val="44"/>
          <w:szCs w:val="44"/>
          <w:highlight w:val="none"/>
        </w:rPr>
        <w:t>部门单位整体支出绩效自评报告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val="en-US"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after="312" w:afterLines="100"/>
        <w:ind w:firstLine="0" w:firstLineChars="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after="312" w:afterLines="100"/>
        <w:ind w:firstLine="0" w:firstLineChars="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部门单位名称（公章）：阿克陶县动物卫生监督所</w:t>
      </w:r>
    </w:p>
    <w:p>
      <w:pPr>
        <w:spacing w:line="700" w:lineRule="exact"/>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 xml:space="preserve">填报时间： </w:t>
      </w:r>
      <w:r>
        <w:rPr>
          <w:rFonts w:hint="eastAsia" w:ascii="仿宋_GB2312" w:hAnsi="仿宋_GB2312" w:eastAsia="仿宋_GB2312" w:cs="仿宋_GB2312"/>
          <w:kern w:val="0"/>
          <w:sz w:val="32"/>
          <w:szCs w:val="32"/>
          <w:highlight w:val="none"/>
          <w:lang w:val="en-US" w:eastAsia="zh-CN"/>
        </w:rPr>
        <w:t>2022</w:t>
      </w:r>
      <w:r>
        <w:rPr>
          <w:rFonts w:hint="eastAsia" w:ascii="仿宋_GB2312" w:hAnsi="仿宋_GB2312" w:eastAsia="仿宋_GB2312" w:cs="仿宋_GB2312"/>
          <w:kern w:val="0"/>
          <w:sz w:val="32"/>
          <w:szCs w:val="32"/>
          <w:highlight w:val="none"/>
        </w:rPr>
        <w:t xml:space="preserve"> 年</w:t>
      </w:r>
      <w:r>
        <w:rPr>
          <w:rFonts w:hint="eastAsia" w:ascii="仿宋_GB2312" w:hAnsi="仿宋_GB2312" w:eastAsia="仿宋_GB2312" w:cs="仿宋_GB2312"/>
          <w:kern w:val="0"/>
          <w:sz w:val="32"/>
          <w:szCs w:val="32"/>
          <w:highlight w:val="none"/>
          <w:lang w:val="en-US" w:eastAsia="zh-CN"/>
        </w:rPr>
        <w:t xml:space="preserve"> 3</w:t>
      </w:r>
      <w:r>
        <w:rPr>
          <w:rFonts w:hint="eastAsia" w:ascii="仿宋_GB2312" w:hAnsi="仿宋_GB2312" w:eastAsia="仿宋_GB2312" w:cs="仿宋_GB2312"/>
          <w:kern w:val="0"/>
          <w:sz w:val="32"/>
          <w:szCs w:val="32"/>
          <w:highlight w:val="none"/>
        </w:rPr>
        <w:t xml:space="preserve">月 </w:t>
      </w:r>
      <w:r>
        <w:rPr>
          <w:rFonts w:hint="eastAsia" w:ascii="仿宋_GB2312" w:hAnsi="仿宋_GB2312" w:eastAsia="仿宋_GB2312" w:cs="仿宋_GB2312"/>
          <w:kern w:val="0"/>
          <w:sz w:val="32"/>
          <w:szCs w:val="32"/>
          <w:highlight w:val="none"/>
          <w:lang w:val="en-US" w:eastAsia="zh-CN"/>
        </w:rPr>
        <w:t xml:space="preserve">10 </w:t>
      </w:r>
      <w:r>
        <w:rPr>
          <w:rFonts w:hint="eastAsia" w:ascii="仿宋_GB2312" w:hAnsi="仿宋_GB2312" w:eastAsia="仿宋_GB2312" w:cs="仿宋_GB2312"/>
          <w:kern w:val="0"/>
          <w:sz w:val="32"/>
          <w:szCs w:val="32"/>
          <w:highlight w:val="none"/>
        </w:rPr>
        <w:t>日</w:t>
      </w:r>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p>
    <w:p>
      <w:pPr>
        <w:pStyle w:val="14"/>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p>
    <w:p>
      <w:pPr>
        <w:pStyle w:val="14"/>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r>
        <w:rPr>
          <w:rFonts w:hint="eastAsia" w:ascii="仿宋_GB2312" w:hAnsi="仿宋_GB2312" w:eastAsia="仿宋_GB2312" w:cs="仿宋_GB2312"/>
          <w:b/>
          <w:bCs w:val="0"/>
          <w:color w:val="333333"/>
          <w:sz w:val="32"/>
          <w:szCs w:val="32"/>
          <w:highlight w:val="none"/>
          <w:lang w:bidi="ar"/>
        </w:rPr>
        <w:t>基本概况</w:t>
      </w:r>
      <w:bookmarkEnd w:id="0"/>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333333"/>
          <w:sz w:val="32"/>
          <w:szCs w:val="32"/>
          <w:highlight w:val="none"/>
          <w:lang w:val="en-US" w:eastAsia="zh-CN" w:bidi="ar"/>
        </w:rPr>
      </w:pPr>
      <w:r>
        <w:rPr>
          <w:rStyle w:val="13"/>
          <w:rFonts w:hint="eastAsia" w:ascii="仿宋_GB2312" w:hAnsi="仿宋_GB2312" w:eastAsia="仿宋_GB2312" w:cs="仿宋_GB2312"/>
          <w:b/>
          <w:bCs w:val="0"/>
          <w:color w:val="333333"/>
          <w:sz w:val="32"/>
          <w:szCs w:val="32"/>
          <w:highlight w:val="none"/>
          <w:lang w:bidi="ar"/>
        </w:rPr>
        <w:t>（一）单位基本情况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333333"/>
          <w:sz w:val="32"/>
          <w:szCs w:val="32"/>
          <w:highlight w:val="none"/>
          <w:lang w:val="en-US" w:eastAsia="zh-CN" w:bidi="ar"/>
        </w:rPr>
      </w:pPr>
      <w:r>
        <w:rPr>
          <w:rStyle w:val="13"/>
          <w:rFonts w:hint="eastAsia" w:ascii="仿宋_GB2312" w:hAnsi="仿宋_GB2312" w:eastAsia="仿宋_GB2312" w:cs="仿宋_GB2312"/>
          <w:b/>
          <w:bCs w:val="0"/>
          <w:color w:val="333333"/>
          <w:sz w:val="32"/>
          <w:szCs w:val="32"/>
          <w:highlight w:val="none"/>
          <w:lang w:val="en-US" w:eastAsia="zh-CN" w:bidi="ar"/>
        </w:rPr>
        <w:t>1.部门主要职能</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1、贯彻执行国家和自治区、自治州关于发展畜牧业的方针政策和法律、法规。</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2、承担提升畜产品质量安全水平的责任。指导畜产品质量安全监测和畜产品检验检测体系建设工作。</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3、指导畜牧业生产、抗灾保畜、防灾基地建设和对口扶贫开发工作。</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4、指导畜牧业结构和布局调整，组织标准化生产和规模化饲养。指导全县畜牧业社会化服务体系规划和建设。</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5、负责拟订动物疫病防控规划并组织实施；负责动物疫情的监测预警、风险评估和重大动物疫情的初步认定并组织扑灭；组织兽医医政和兽药药政检查工作；对畜产品市场监督管理；负责官方兽医、执业兽医、兽医诊疗机构、兽药、兽医医疗器械的登记和审核、审批。</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6、指导畜牧业科学研究和新技术推广、组织协调畜牧业重大科技项目的联合攻关。</w:t>
      </w:r>
    </w:p>
    <w:p>
      <w:pPr>
        <w:pStyle w:val="9"/>
        <w:widowControl/>
        <w:shd w:val="clear" w:color="auto" w:fill="FFFFFF"/>
        <w:spacing w:line="450" w:lineRule="atLeast"/>
        <w:ind w:firstLine="42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7、负责畜牧业各类资金的财务管理，并对资金使用情况及经济效益进行检查监督和绩效评价。</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kern w:val="2"/>
          <w:sz w:val="32"/>
          <w:szCs w:val="32"/>
        </w:rPr>
        <w:t>8、承办阿克陶县人民政府交办的其他事项。</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2.部门机构设置及人员构成</w:t>
      </w:r>
    </w:p>
    <w:p>
      <w:pPr>
        <w:ind w:firstLine="56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阿克陶县动物卫生监督所</w:t>
      </w:r>
      <w:r>
        <w:rPr>
          <w:rFonts w:hint="eastAsia" w:ascii="仿宋_GB2312" w:hAnsi="仿宋_GB2312" w:eastAsia="仿宋_GB2312" w:cs="仿宋_GB2312"/>
          <w:color w:val="000000" w:themeColor="text1"/>
          <w:sz w:val="32"/>
          <w:szCs w:val="32"/>
          <w14:textFill>
            <w14:solidFill>
              <w14:schemeClr w14:val="tx1"/>
            </w14:solidFill>
          </w14:textFill>
        </w:rPr>
        <w:t>编制数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3人</w:t>
      </w:r>
      <w:r>
        <w:rPr>
          <w:rFonts w:hint="eastAsia" w:ascii="仿宋_GB2312" w:hAnsi="仿宋_GB2312" w:eastAsia="仿宋_GB2312" w:cs="仿宋_GB2312"/>
          <w:color w:val="000000" w:themeColor="text1"/>
          <w:sz w:val="32"/>
          <w:szCs w:val="32"/>
          <w14:textFill>
            <w14:solidFill>
              <w14:schemeClr w14:val="tx1"/>
            </w14:solidFill>
          </w14:textFill>
        </w:rPr>
        <w:t>，实有人数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w:t>
      </w:r>
      <w:r>
        <w:rPr>
          <w:rFonts w:hint="eastAsia" w:ascii="仿宋_GB2312" w:hAnsi="仿宋_GB2312" w:eastAsia="仿宋_GB2312" w:cs="仿宋_GB2312"/>
          <w:color w:val="000000" w:themeColor="text1"/>
          <w:sz w:val="32"/>
          <w:szCs w:val="32"/>
          <w14:textFill>
            <w14:solidFill>
              <w14:schemeClr w14:val="tx1"/>
            </w14:solidFill>
          </w14:textFill>
        </w:rPr>
        <w:t>人，事业编</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人，其中：在职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w:t>
      </w:r>
      <w:r>
        <w:rPr>
          <w:rFonts w:hint="eastAsia" w:ascii="仿宋_GB2312" w:hAnsi="仿宋_GB2312" w:eastAsia="仿宋_GB2312" w:cs="仿宋_GB2312"/>
          <w:color w:val="000000" w:themeColor="text1"/>
          <w:sz w:val="32"/>
          <w:szCs w:val="32"/>
          <w14:textFill>
            <w14:solidFill>
              <w14:schemeClr w14:val="tx1"/>
            </w14:solidFill>
          </w14:textFill>
        </w:rPr>
        <w:t>人， 退休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人。</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3.年度重点工作</w:t>
      </w:r>
    </w:p>
    <w:p>
      <w:pPr>
        <w:pStyle w:val="9"/>
        <w:widowControl/>
        <w:shd w:val="clear" w:color="auto" w:fill="FFFFFF"/>
        <w:spacing w:line="450" w:lineRule="atLeast"/>
        <w:ind w:firstLine="42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2</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021年在县畜牧兽医局的正确领导下，我院不断加强负责动物疫情的监测预警、风险评估和重大动物疫情的初步认定并组织扑灭；组织兽医医政和兽药药政检查工作；对畜产品市场监督管理；负责官方兽医、执业兽医、兽医诊疗机构、兽药、兽医医疗器械的登记和审核、审批。</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（二）决策过程</w:t>
      </w:r>
    </w:p>
    <w:p>
      <w:pPr>
        <w:ind w:firstLine="560"/>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我单位决策机制根据行政事业单位内部控制体系建设相关要求，逐步完善《</w:t>
      </w:r>
      <w:r>
        <w:rPr>
          <w:rFonts w:hint="eastAsia" w:ascii="仿宋_GB2312" w:hAnsi="仿宋_GB2312" w:eastAsia="仿宋_GB2312" w:cs="仿宋_GB2312"/>
          <w:color w:val="000000" w:themeColor="text1"/>
          <w:sz w:val="32"/>
          <w:szCs w:val="32"/>
          <w:lang w:eastAsia="zh-CN"/>
          <w14:textFill>
            <w14:solidFill>
              <w14:schemeClr w14:val="tx1"/>
            </w14:solidFill>
          </w14:textFill>
        </w:rPr>
        <w:t>阿克陶县动物卫生监督所</w:t>
      </w:r>
      <w:r>
        <w:rPr>
          <w:rFonts w:hint="eastAsia" w:ascii="仿宋_GB2312" w:hAnsi="仿宋_GB2312" w:eastAsia="仿宋_GB2312" w:cs="仿宋_GB2312"/>
          <w:color w:val="000000" w:themeColor="text1"/>
          <w:sz w:val="32"/>
          <w:szCs w:val="32"/>
          <w14:textFill>
            <w14:solidFill>
              <w14:schemeClr w14:val="tx1"/>
            </w14:solidFill>
          </w14:textFill>
        </w:rPr>
        <w:t>财务制度》、《三重一大会议制度》我单位实施“三重一大”事项集体决策制度，坚持全面贯彻落实中央八项规定、县党政部门相关要求，以科学决策、民主决策为目的，以落实党的民主集中制为原则，提高认识，明确责任，完善机制，推动落实。我单位实施“三重一大”事项集体决策制度，由</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支部书记</w:t>
      </w:r>
      <w:r>
        <w:rPr>
          <w:rFonts w:hint="eastAsia" w:ascii="仿宋_GB2312" w:hAnsi="仿宋_GB2312" w:eastAsia="仿宋_GB2312" w:cs="仿宋_GB2312"/>
          <w:color w:val="000000" w:themeColor="text1"/>
          <w:sz w:val="32"/>
          <w:szCs w:val="32"/>
          <w14:textFill>
            <w14:solidFill>
              <w14:schemeClr w14:val="tx1"/>
            </w14:solidFill>
          </w14:textFill>
        </w:rPr>
        <w:t>负直接责任；分管工作人员有向主要领导建议执行“三重一大”集体决策制度的重要领导责任；</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所支部</w:t>
      </w:r>
      <w:r>
        <w:rPr>
          <w:rFonts w:hint="eastAsia" w:ascii="仿宋_GB2312" w:hAnsi="仿宋_GB2312" w:eastAsia="仿宋_GB2312" w:cs="仿宋_GB2312"/>
          <w:color w:val="000000" w:themeColor="text1"/>
          <w:sz w:val="32"/>
          <w:szCs w:val="32"/>
          <w14:textFill>
            <w14:solidFill>
              <w14:schemeClr w14:val="tx1"/>
            </w14:solidFill>
          </w14:textFill>
        </w:rPr>
        <w:t>会成员决定集体研究决策方案，并主持召开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支部</w:t>
      </w:r>
      <w:r>
        <w:rPr>
          <w:rFonts w:hint="eastAsia" w:ascii="仿宋_GB2312" w:hAnsi="仿宋_GB2312" w:eastAsia="仿宋_GB2312" w:cs="仿宋_GB2312"/>
          <w:color w:val="000000" w:themeColor="text1"/>
          <w:sz w:val="32"/>
          <w:szCs w:val="32"/>
          <w14:textFill>
            <w14:solidFill>
              <w14:schemeClr w14:val="tx1"/>
            </w14:solidFill>
          </w14:textFill>
        </w:rPr>
        <w:t>会，按要求把握好集体决策的程序。</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（三）项目资金分配</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1.部门（单位）预算编制及分配依据</w:t>
      </w:r>
    </w:p>
    <w:p>
      <w:pPr>
        <w:widowControl/>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基本支出根据单位的人员、日常支出实际情况进行预算编制，并根据财政部门预算批复、预期绩效目标进行相应分配；由财政部门按照进度每月分期拨付，人员支出按照工资计划发放工资；资金支出时按照我单位内控体系中设定的流程进行申报审批。</w:t>
      </w:r>
    </w:p>
    <w:p>
      <w:pPr>
        <w:widowControl/>
        <w:numPr>
          <w:ilvl w:val="0"/>
          <w:numId w:val="2"/>
        </w:numPr>
        <w:spacing w:line="520" w:lineRule="atLeast"/>
        <w:ind w:firstLine="960" w:firstLine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预算批复的项目支出属于政府采购的，严格按照《中华人民共和国政府采购法》、自治区财政部门印发的《地方预算单位政府集中采购目录及标准指引（</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2020</w:t>
      </w:r>
      <w:r>
        <w:rPr>
          <w:rFonts w:hint="eastAsia" w:ascii="仿宋_GB2312" w:hAnsi="仿宋_GB2312" w:eastAsia="仿宋_GB2312" w:cs="仿宋_GB2312"/>
          <w:color w:val="000000" w:themeColor="text1"/>
          <w:sz w:val="32"/>
          <w:szCs w:val="32"/>
          <w14:textFill>
            <w14:solidFill>
              <w14:schemeClr w14:val="tx1"/>
            </w14:solidFill>
          </w14:textFill>
        </w:rPr>
        <w:t>年版））》规定及本单位内控制度，组织人员制定并申报采购计划，按批复采购方式进行；属于非政府采购的项目，按照“三重一大”制度规定重大项目支出上院务会研究决定。</w:t>
      </w:r>
    </w:p>
    <w:p>
      <w:pPr>
        <w:widowControl/>
        <w:numPr>
          <w:ilvl w:val="0"/>
          <w:numId w:val="2"/>
        </w:numPr>
        <w:spacing w:line="520" w:lineRule="atLeast"/>
        <w:ind w:firstLine="960" w:firstLineChars="300"/>
        <w:jc w:val="left"/>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本年度本单位预算安排的重点项目0个，预算安排的重点项目支出金额为0万元，部门项目总支出金额为0万元，则重点项目支出占项目总支出的比率为0%。</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2.分配结果</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与绩效目标的一致性</w:t>
      </w:r>
      <w:r>
        <w:rPr>
          <w:rStyle w:val="13"/>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w:t>
      </w:r>
      <w:r>
        <w:rPr>
          <w:rStyle w:val="13"/>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分配结果的合理性</w:t>
      </w:r>
      <w:r>
        <w:rPr>
          <w:rStyle w:val="13"/>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3.重点支出保障率</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重点支出保障率用以反映和考核部门（单位）对履行主要职责或完成重点任务的保障程度。</w:t>
      </w:r>
    </w:p>
    <w:p>
      <w:pPr>
        <w:ind w:firstLine="560"/>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我单位本年主要实施人员工资，履行了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畜产品质量安全</w:t>
      </w:r>
      <w:r>
        <w:rPr>
          <w:rFonts w:hint="eastAsia" w:ascii="仿宋_GB2312" w:hAnsi="仿宋_GB2312" w:eastAsia="仿宋_GB2312" w:cs="仿宋_GB2312"/>
          <w:color w:val="000000" w:themeColor="text1"/>
          <w:sz w:val="32"/>
          <w:szCs w:val="32"/>
          <w14:textFill>
            <w14:solidFill>
              <w14:schemeClr w14:val="tx1"/>
            </w14:solidFill>
          </w14:textFill>
        </w:rPr>
        <w:t>服务工作</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做好动物及动物产品实施检疫</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监督</w:t>
      </w:r>
      <w:r>
        <w:rPr>
          <w:rFonts w:hint="eastAsia" w:ascii="仿宋_GB2312" w:hAnsi="仿宋_GB2312" w:eastAsia="仿宋_GB2312" w:cs="仿宋_GB2312"/>
          <w:color w:val="000000" w:themeColor="text1"/>
          <w:sz w:val="32"/>
          <w:szCs w:val="32"/>
          <w14:textFill>
            <w14:solidFill>
              <w14:schemeClr w14:val="tx1"/>
            </w14:solidFill>
          </w14:textFill>
        </w:rPr>
        <w:t>落实国家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动物强制</w:t>
      </w:r>
      <w:r>
        <w:rPr>
          <w:rFonts w:hint="eastAsia" w:ascii="仿宋_GB2312" w:hAnsi="仿宋_GB2312" w:eastAsia="仿宋_GB2312" w:cs="仿宋_GB2312"/>
          <w:color w:val="000000" w:themeColor="text1"/>
          <w:sz w:val="32"/>
          <w:szCs w:val="32"/>
          <w14:textFill>
            <w14:solidFill>
              <w14:schemeClr w14:val="tx1"/>
            </w14:solidFill>
          </w14:textFill>
        </w:rPr>
        <w:t>免疫规划。及时发现、登记并报告</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我县</w:t>
      </w:r>
      <w:r>
        <w:rPr>
          <w:rFonts w:hint="eastAsia" w:ascii="仿宋_GB2312" w:hAnsi="仿宋_GB2312" w:eastAsia="仿宋_GB2312" w:cs="仿宋_GB2312"/>
          <w:color w:val="000000" w:themeColor="text1"/>
          <w:sz w:val="32"/>
          <w:szCs w:val="32"/>
          <w14:textFill>
            <w14:solidFill>
              <w14:schemeClr w14:val="tx1"/>
            </w14:solidFill>
          </w14:textFill>
        </w:rPr>
        <w:t>内发现的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动物</w:t>
      </w:r>
      <w:r>
        <w:rPr>
          <w:rFonts w:hint="eastAsia" w:ascii="仿宋_GB2312" w:hAnsi="仿宋_GB2312" w:eastAsia="仿宋_GB2312" w:cs="仿宋_GB2312"/>
          <w:color w:val="000000" w:themeColor="text1"/>
          <w:sz w:val="32"/>
          <w:szCs w:val="32"/>
          <w14:textFill>
            <w14:solidFill>
              <w14:schemeClr w14:val="tx1"/>
            </w14:solidFill>
          </w14:textFill>
        </w:rPr>
        <w:t>传染病病例和疑似病例，参与现场疫情处理</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及无害化处理等主要职责。</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本年度预算安排的重点项目支出0万元，项目总支出0万元，重点支出保障率为0%。</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（四）部门单位整体支出规模</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1.预算执行情况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（1）年初预算执行情况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我单位年初预算数为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306.11</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万元，实际预算执行数</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276.02</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万元，预算执行率为90.17%。</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（2）全年预算执行情况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全年预算数为292.66万元，全年实际支出资金285.07万元，预算执行率为97.41%。</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2.预算调整情况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我单位年初批复预算数306.11万元，年中调整数-13.45万元，调整后全年预算数292.66万元，预算调整率-4.44</w:t>
      </w:r>
      <w:bookmarkStart w:id="8" w:name="_GoBack"/>
      <w:bookmarkEnd w:id="8"/>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 xml:space="preserve">3.政府采购执行情况 </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我单位本年度需政府采购的预算数为0万元。</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（五）评价使用方法和主要内容、涉及范围</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1.评价使用方法</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bookmarkStart w:id="1" w:name="_Hlk49856735"/>
      <w:r>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本次评价主要采取比较法和调查法。一是比较法。对项目支出情况及建设后的产出及效果与项目实施计划目标进行比较，分析预计目标的完成程度。</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二是</w:t>
      </w:r>
      <w:r>
        <w:rPr>
          <w:rStyle w:val="13"/>
          <w:rFonts w:hint="eastAsia" w:ascii="仿宋_GB2312" w:hAnsi="仿宋_GB2312" w:eastAsia="仿宋_GB2312" w:cs="仿宋_GB2312"/>
          <w:b w:val="0"/>
          <w:color w:val="000000" w:themeColor="text1"/>
          <w:sz w:val="32"/>
          <w:szCs w:val="32"/>
          <w:highlight w:val="none"/>
          <w:lang w:val="en-US" w:eastAsia="zh-Hans" w:bidi="ar"/>
          <w14:textFill>
            <w14:solidFill>
              <w14:schemeClr w14:val="tx1"/>
            </w14:solidFill>
          </w14:textFill>
        </w:rPr>
        <w:t>公众评判法</w:t>
      </w:r>
      <w:r>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。通过专家评估、公众问卷及抽样调查等方式进行评判的方法。问卷调查是针对项目区利益相关方实施的调查，并对调查结果进行统计、分析和评定。</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2.评价对象及主要内容</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评价的对象及主要内容为:</w:t>
      </w: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一是</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部门单位整体管理及使用情况，具体涉及预算管理、基本支出和专项支出的管理及使用情况；</w:t>
      </w: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二是</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部门单位整体支出绩效情况，具体涉及部门单位整体支出绩效目标的实现程度，包括是否达到预定产出、效果和效益效率等；</w:t>
      </w: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三是</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部门单位专项组织实施情况，具体涉及专项组织情况分析和相关管理情况；</w:t>
      </w: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四是</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资产管理情况，具体涉及资产管理规范性和资产变动情况</w:t>
      </w:r>
      <w:r>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3.涉及的范围</w:t>
      </w:r>
      <w:bookmarkEnd w:id="1"/>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评价范围是对本单位整体支出从年度总体绩效目标、产出指标、效益指标、满意度指标等方面进行了全方位、多角度综合评价分析。</w:t>
      </w:r>
    </w:p>
    <w:p>
      <w:pPr>
        <w:pStyle w:val="14"/>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pPr>
      <w:bookmarkStart w:id="2" w:name="_Toc32535_WPSOffice_Level1"/>
      <w:r>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部门单位整体支出管理及使用情况</w:t>
      </w:r>
      <w:bookmarkEnd w:id="2"/>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（一）预算管理情况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1.管理制度健全性</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为加强预算管理，规范财务行为，已制定《阿克陶县动物卫生监督所部门单位预算绩效管理工作实施办法》，《阿克陶县动物卫生监督所财务管理制度》等健全完整的各项管理制度，有效保障了我单位高效的履行工作职能，较好的促进事业发展。</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2.资金使用合规性和安全性</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3.预决算信息公开性</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按照</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阿克陶县</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财政局预决算信息公开工作要求，我单位在</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阿克陶县人民</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政府信息网</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财政信息公开</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（二）基本支出和使用情况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1.基本支出和使用情况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2021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基本支出</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预算总额</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360.11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万元，其中</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人员经费</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300.04</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万元，公用经费</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6.07</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万元。实际支出</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276.02</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基本支出</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预算执行率</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76.65%</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2.三公经费控制情况</w:t>
      </w:r>
    </w:p>
    <w:p>
      <w:pPr>
        <w:pStyle w:val="14"/>
        <w:snapToGrid w:val="0"/>
        <w:spacing w:line="540" w:lineRule="exact"/>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我单位坚决贯彻落实中央、自治区、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阿克陶</w:t>
      </w:r>
      <w:r>
        <w:rPr>
          <w:rFonts w:hint="eastAsia" w:ascii="仿宋_GB2312" w:hAnsi="仿宋_GB2312" w:eastAsia="仿宋_GB2312" w:cs="仿宋_GB2312"/>
          <w:bCs/>
          <w:color w:val="000000" w:themeColor="text1"/>
          <w:sz w:val="32"/>
          <w:szCs w:val="32"/>
          <w:highlight w:val="none"/>
          <w:lang w:val="en-US" w:eastAsia="zh-Hans" w:bidi="ar"/>
          <w14:textFill>
            <w14:solidFill>
              <w14:schemeClr w14:val="tx1"/>
            </w14:solidFill>
          </w14:textFill>
        </w:rPr>
        <w:t>县</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厉行勤俭办公的工作要求，提倡本单位全体干部职工，勤俭节约，切实降低行政运行成本，确保每年“三公经费”只减不增。</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2021</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年“三公经费”预算为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万元，“三公经费”控制率为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%，其中：因公出国（境）费预算为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万元；公务接待费预算为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万元；公务用车购置费预算为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万元；公务用车运行维护费预算为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万元，实际支出</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万元，公务用车运行维护费控制率</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%，符合财政部门本年预算要求和相关管理制度要求。</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bCs w:val="0"/>
          <w:color w:val="000000" w:themeColor="text1"/>
          <w:sz w:val="32"/>
          <w:szCs w:val="32"/>
          <w:highlight w:val="none"/>
          <w:lang w:val="en-US" w:eastAsia="zh-CN" w:bidi="ar"/>
          <w14:textFill>
            <w14:solidFill>
              <w14:schemeClr w14:val="tx1"/>
            </w14:solidFill>
          </w14:textFill>
        </w:rPr>
        <w:t>（三）专项支出管理和使用情况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专项资金的使用符合国家法规和财务管理制度，专项资金拨付有完整的审批程序和手续，符合项目预算批复或合同规定的用途，不存在截留、挤占、挪用、虚列支出等情况。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2021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本单位安排</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专项支出</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年初</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预算总额</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9.05万元</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，实际支出</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9.05</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万元，</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专项支出</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预算执行率</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100%</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2021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年</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本单位</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共有</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个资金项目，其中</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个属经常性项目、</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个属当年度新增项目，已完成项目</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个、未完成项目</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0</w:t>
      </w:r>
      <w:r>
        <w:rPr>
          <w:rStyle w:val="13"/>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pPr>
      <w:bookmarkStart w:id="3" w:name="_Toc1734_WPSOffice_Level1"/>
      <w:r>
        <w:rPr>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三、部门单位专项组织实施情况</w:t>
      </w:r>
      <w:bookmarkEnd w:id="3"/>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default"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本年我单位供实施1个项目，金额9.05万元。病虫害控制项目资金项目9.05万元。</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t>（一）阿克陶县动物卫生监督所项目专项组织情况分析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1.前期准备</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我单位成立专项支出绩效评价小组，</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成员如下：</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廖德军</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任评价组组长，绩效评价工作职责为负责全盘工作。</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买买提江·米尔扎</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任评价组成员，绩效评价工作职责为负责资料审核、填报等工作。</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通过与相关成员前期沟通，明确评价目标、识别重要评价事项和履行的评价责任。制定文件清单，了解项目基本情况，确认部门整体的绩效指标，梳理部门内部管理制度，确定当年整体绩效评价重点。</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2.组织实施</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val="0"/>
          <w:color w:val="000000" w:themeColor="text1"/>
          <w:spacing w:val="-4"/>
          <w:sz w:val="32"/>
          <w:szCs w:val="32"/>
          <w:highlight w:val="none"/>
          <w:lang w:val="en-US" w:eastAsia="zh-CN"/>
          <w14:textFill>
            <w14:solidFill>
              <w14:schemeClr w14:val="tx1"/>
            </w14:solidFill>
          </w14:textFill>
        </w:rPr>
        <w:t>（二）阿克陶县动物卫生监督所项目专项组织情况分析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1.前期准备</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我单位成立专项支出绩效评价小组，</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成员如下：</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廖德军</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任评价组组长，绩效评价工作职责为负责全盘工作。</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买买提江·米尔扎</w:t>
      </w:r>
      <w:r>
        <w:rPr>
          <w:rStyle w:val="13"/>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任评价组成员，绩效评价工作职责为负责资料审核、填报等工作。</w:t>
      </w: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通过与相关成员前期沟通，明确评价目标、识别重要评价事项和履行的评价责任。制定文件清单，了解项目基本情况，确认部门整体的绩效指标，梳理部门内部管理制度，确定当年整体绩效评价重点。</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2.组织实施</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3"/>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（二）专项管理情况分析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1.项目资金情况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该项目预算资金0万元，实际到位9.05万元，实际支出9.05万元。到位足额及时，预算编制依据充分，预算编制准确，资金不存在截留、挪用，支付审批合规、不存在用途改变、范围超支和虚列项目支出等情况；本项目严格按照《阿克陶县动物卫生监督所财务管理制度》执行项目资金，实行专账核算、逐级审批。认真落实项目资金的使用各项管理制度，确保专款专用，及时拨付到位。</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2.项目实施情况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项目组织情况：</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项目管理情况：</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根据《项目绩效管理办法》及单位相关项目管理制度的规定，对项目的实施进行监督管理。建立健全项目后续各项监督管理制度，确保项目正常运转，长期发挥效益。</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项目监管情况：</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不定期对项目进度和质量等进行监督检查，并且组织开展多种形式的监督检查，以加强日常监管为主，自查、随机抽查、专项检查等方式进行。对检查中发现的问题，及时纠正。</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3.项目绩效情况</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成本控制情况：</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严格按照相关的专项资金管理办法，实行多重审批控制专项经费的支出。</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成本节约情况：</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项目根据实际情况做出合理预算，支出严格控制在预算范围内，本着节约成本，防止资源浪费的原则将项目成效最大化。</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4.项目效率性</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项目实施进度：</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项目实施紧扣各个环节，逐步推进，及时与职能部门跟踪项目进展，加强项目督办，充分调动职能部门的积极性，加大项目投入工作的力度，加快项目实施进度。</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项目完成质量：</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项目严格按照年度预期目标执行，项目完成质量达标。</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5.项目效益性</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预期目标完成程度：</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按预定目标完成了年初所设定的各项指标。专项经费实际支出未超出预算规定，保障了专项工作的开展。</w:t>
      </w:r>
    </w:p>
    <w:p>
      <w:pPr>
        <w:pStyle w:val="14"/>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项目实施对效益的影响：</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项目的实施有效提升了培训人员的爱国主义意识，持续保障了培训工作的顺利开展。</w:t>
      </w:r>
    </w:p>
    <w:p>
      <w:pPr>
        <w:pStyle w:val="14"/>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4" w:name="_Toc27846_WPSOffice_Level1"/>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资产管理情况</w:t>
      </w:r>
      <w:bookmarkEnd w:id="4"/>
    </w:p>
    <w:p>
      <w:pPr>
        <w:pStyle w:val="14"/>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一）资产管理规范性</w:t>
      </w:r>
    </w:p>
    <w:p>
      <w:pPr>
        <w:pStyle w:val="14"/>
        <w:snapToGrid w:val="0"/>
        <w:spacing w:line="540" w:lineRule="exact"/>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我单位</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2021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年资产合计数为</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87.15</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万元，比上年减少</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4.27</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万元，主要原因是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银行存款</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资金减少，其中：货币资金</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6.04</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万元，比上年减少</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4.27</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万元；财政应返还额度</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万元，比上年相比无变化；房屋</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32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平方米</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3.29</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万元，比上年相比无增减；车辆</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辆</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56.6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万元，与上年相比无增减；在建工程</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万元，与上年持平；办公设备及家具</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万元，与上年相比无变化。我单位本年无资产处置情况，资产配置合理，使用规范，安全完整。</w:t>
      </w:r>
    </w:p>
    <w:p>
      <w:pPr>
        <w:pStyle w:val="14"/>
        <w:numPr>
          <w:ilvl w:val="0"/>
          <w:numId w:val="0"/>
        </w:numPr>
        <w:snapToGrid w:val="0"/>
        <w:spacing w:line="540" w:lineRule="exact"/>
        <w:ind w:firstLine="640" w:firstLineChars="200"/>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资产管理情况。</w:t>
      </w:r>
    </w:p>
    <w:p>
      <w:pPr>
        <w:pStyle w:val="14"/>
        <w:numPr>
          <w:ilvl w:val="0"/>
          <w:numId w:val="0"/>
        </w:numPr>
        <w:snapToGrid w:val="0"/>
        <w:spacing w:line="540" w:lineRule="exact"/>
        <w:ind w:firstLine="640" w:firstLineChars="200"/>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严格按照财政部《关于加强行政事业单位固定资产管理的通知》（财资〔</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2020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4"/>
        <w:snapToGrid w:val="0"/>
        <w:spacing w:line="540" w:lineRule="exact"/>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固定资产利用情况。</w:t>
      </w:r>
    </w:p>
    <w:p>
      <w:pPr>
        <w:pStyle w:val="14"/>
        <w:snapToGrid w:val="0"/>
        <w:spacing w:line="540" w:lineRule="exact"/>
        <w:rPr>
          <w:rFonts w:hint="eastAsia" w:ascii="仿宋_GB2312" w:hAnsi="仿宋_GB2312" w:eastAsia="仿宋_GB2312" w:cs="仿宋_GB2312"/>
          <w:bCs/>
          <w:color w:val="000000" w:themeColor="text1"/>
          <w:sz w:val="32"/>
          <w:szCs w:val="32"/>
          <w:lang w:eastAsia="zh-CN" w:bidi="ar"/>
          <w14:textFill>
            <w14:solidFill>
              <w14:schemeClr w14:val="tx1"/>
            </w14:solidFill>
          </w14:textFill>
        </w:rPr>
      </w:pP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我单位固定资产</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81.11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万元,其中:</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套</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车库3.29</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辆车</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56.6</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1</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个专用设备</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3.79</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办公家具</w:t>
      </w:r>
      <w:r>
        <w:rPr>
          <w:rFonts w:hint="eastAsia" w:ascii="仿宋_GB2312" w:hAnsi="仿宋_GB2312" w:eastAsia="仿宋_GB2312" w:cs="仿宋_GB2312"/>
          <w:bCs/>
          <w:color w:val="000000" w:themeColor="text1"/>
          <w:sz w:val="32"/>
          <w:szCs w:val="32"/>
          <w:highlight w:val="none"/>
          <w:lang w:val="en-US" w:eastAsia="zh-CN" w:bidi="ar"/>
          <w14:textFill>
            <w14:solidFill>
              <w14:schemeClr w14:val="tx1"/>
            </w14:solidFill>
          </w14:textFill>
        </w:rPr>
        <w:t>4.36</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通用设备</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13.07</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w:t>
      </w:r>
      <w:r>
        <w:rPr>
          <w:rFonts w:hint="eastAsia" w:ascii="仿宋_GB2312" w:hAnsi="仿宋_GB2312" w:eastAsia="仿宋_GB2312" w:cs="仿宋_GB2312"/>
          <w:bCs/>
          <w:color w:val="000000" w:themeColor="text1"/>
          <w:sz w:val="32"/>
          <w:szCs w:val="32"/>
          <w:highlight w:val="none"/>
          <w:lang w:eastAsia="zh-CN" w:bidi="ar"/>
          <w14:textFill>
            <w14:solidFill>
              <w14:schemeClr w14:val="tx1"/>
            </w14:solidFill>
          </w14:textFill>
        </w:rPr>
        <w:t>。</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目前正在使用的固定资产总额</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81.11</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万元，固定资产利用率为</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Fonts w:hint="eastAsia" w:ascii="仿宋_GB2312" w:hAnsi="仿宋_GB2312" w:eastAsia="仿宋_GB2312" w:cs="仿宋_GB2312"/>
          <w:bCs/>
          <w:color w:val="000000" w:themeColor="text1"/>
          <w:sz w:val="32"/>
          <w:szCs w:val="32"/>
          <w:lang w:eastAsia="zh-CN" w:bidi="ar"/>
          <w14:textFill>
            <w14:solidFill>
              <w14:schemeClr w14:val="tx1"/>
            </w14:solidFill>
          </w14:textFill>
        </w:rPr>
        <w:t>。</w:t>
      </w:r>
    </w:p>
    <w:p>
      <w:pPr>
        <w:pStyle w:val="14"/>
        <w:snapToGrid w:val="0"/>
        <w:spacing w:line="540" w:lineRule="exact"/>
        <w:rPr>
          <w:rStyle w:val="13"/>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3.</w:t>
      </w:r>
      <w:r>
        <w:rPr>
          <w:rStyle w:val="13"/>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流动资产管理情况。</w:t>
      </w:r>
    </w:p>
    <w:p>
      <w:pPr>
        <w:pStyle w:val="14"/>
        <w:snapToGrid w:val="0"/>
        <w:spacing w:line="540" w:lineRule="exact"/>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lang w:eastAsia="zh-CN"/>
          <w14:textFill>
            <w14:solidFill>
              <w14:schemeClr w14:val="tx1"/>
            </w14:solidFill>
          </w14:textFill>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4"/>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二）固定资产利用率</w:t>
      </w:r>
    </w:p>
    <w:p>
      <w:pPr>
        <w:pStyle w:val="14"/>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截止本年度固定资产账面净值2.63万元，年末实际在用固定资产2.63万元，固定资产利用率为100%。</w:t>
      </w:r>
    </w:p>
    <w:p>
      <w:pPr>
        <w:pStyle w:val="14"/>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5" w:name="_Toc13582_WPSOffice_Level1"/>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部门单位整体支出绩效情况</w:t>
      </w:r>
      <w:bookmarkEnd w:id="5"/>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部门单位整体支出</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自评表，</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共设置一级指标3个，二级指标</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7</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个，三级指标</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10</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w:t>
      </w:r>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产出指标完成情况分析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1.产出</w:t>
      </w:r>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数量</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保障人员人数指标，预期指标是大于等于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17</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20</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人，指标完成率是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保障购买保险的车辆数指标，预期指标是等于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2辆</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2辆</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%，达到预期目标。</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数量指标共计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3</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个，达到预期目标，数量指标完成。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2.产出</w:t>
      </w:r>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质量</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资金使用合格率（%）</w:t>
      </w: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%，实际完成值是</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100</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%，指标完成率是100%，达到质量提升及标准</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质量指标共计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达到质量提升及标准。</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质量指标完成。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i w:val="0"/>
          <w:i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3.产出进</w:t>
      </w:r>
      <w:r>
        <w:rPr>
          <w:rStyle w:val="13"/>
          <w:rFonts w:hint="eastAsia" w:ascii="仿宋_GB2312" w:hAnsi="仿宋_GB2312" w:eastAsia="仿宋_GB2312" w:cs="仿宋_GB2312"/>
          <w:b/>
          <w:bCs/>
          <w:i w:val="0"/>
          <w:iCs w:val="0"/>
          <w:color w:val="000000" w:themeColor="text1"/>
          <w:spacing w:val="-4"/>
          <w:sz w:val="32"/>
          <w:szCs w:val="32"/>
          <w:highlight w:val="none"/>
          <w14:textFill>
            <w14:solidFill>
              <w14:schemeClr w14:val="tx1"/>
            </w14:solidFill>
          </w14:textFill>
        </w:rPr>
        <w:t>度</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工资发放及时率（%）</w:t>
      </w: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指标，预期指标是等于100%，实际完成值是100%，指标完成率是100%，达到预期目标。</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时效指标共计</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Fonts w:hint="eastAsia" w:ascii="仿宋_GB2312" w:hAnsi="仿宋_GB2312" w:eastAsia="仿宋_GB2312" w:cs="仿宋_GB2312"/>
          <w:bCs/>
          <w:color w:val="000000" w:themeColor="text1"/>
          <w:sz w:val="32"/>
          <w:szCs w:val="32"/>
          <w:lang w:val="en-US" w:eastAsia="zh-CN" w:bidi="ar"/>
          <w14:textFill>
            <w14:solidFill>
              <w14:schemeClr w14:val="tx1"/>
            </w14:solidFill>
          </w14:textFill>
        </w:rPr>
        <w:t>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个，达达到预期目标，数量指标完成。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4.产出成本</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人员经费</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指标，预期指标是小于等于</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300.04</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万元，实际完成值是</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273.22</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万元，指标完成率是</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91.06</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，达到</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偏差原因是因为机构改革的原因，其中员工3人被调到别的单位，人员经费在使用上出现偏差。</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公用经费</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指标，预期指标是小于等于</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6.04</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万元，实际完成值是</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2.8</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万元，指标完成率是</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46.36</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，达到</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因为县财政财力紧张原因没能完全拨付，等财政到账加快速度实施。</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成本指标共计</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个，达到</w:t>
      </w:r>
      <w:r>
        <w:rPr>
          <w:rStyle w:val="13"/>
          <w:rFonts w:hint="eastAsia" w:ascii="仿宋_GB2312" w:hAnsi="仿宋_GB2312" w:eastAsia="仿宋_GB2312" w:cs="仿宋_GB2312"/>
          <w:b w:val="0"/>
          <w:bCs w:val="0"/>
          <w:color w:val="000000" w:themeColor="text1"/>
          <w:spacing w:val="-4"/>
          <w:sz w:val="32"/>
          <w:szCs w:val="32"/>
          <w:highlight w:val="none"/>
          <w:lang w:eastAsia="zh-CN"/>
          <w14:textFill>
            <w14:solidFill>
              <w14:schemeClr w14:val="tx1"/>
            </w14:solidFill>
          </w14:textFill>
        </w:rPr>
        <w:t>成本控制及改善</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目标，成本指标完成。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（二）效益指标完成情况分析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1.项目实施的经济效益分析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提高劳动生产率、资源利用率和畜禽生产率</w:t>
      </w: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指标，预期指标是有效提高，实际完成值是有效提高，指标完成率是100%，达到单位履职能力对社会带来的影响预期目标。</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2.项目实施的社会效益分析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业务保障能力提升情况</w:t>
      </w:r>
      <w:r>
        <w:rPr>
          <w:rStyle w:val="13"/>
          <w:rFonts w:hint="default"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指标，预期指标是有效提升，实际完成值是有效提升，指标完成率是100%，达到单位履职能力对社会带来的影响预期目标。</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936" w:firstLineChars="300"/>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社会效益指标共计</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2</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达到单位履职能力对社会带来的影响预期目标</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，社会效益指标完成。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3.项目实施的生态效益分析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无。</w:t>
      </w:r>
    </w:p>
    <w:p>
      <w:pPr>
        <w:pStyle w:val="14"/>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left="0" w:leftChars="0" w:firstLine="940" w:firstLineChars="300"/>
        <w:jc w:val="both"/>
        <w:textAlignment w:val="auto"/>
        <w:outlineLvl w:val="2"/>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项目实施的可持续影响分析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无。</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olor w:val="000000" w:themeColor="text1"/>
          <w:spacing w:val="-4"/>
          <w:sz w:val="32"/>
          <w:szCs w:val="32"/>
          <w:highlight w:val="none"/>
          <w:lang w:val="en-US" w:eastAsia="zh-CN"/>
          <w14:textFill>
            <w14:solidFill>
              <w14:schemeClr w14:val="tx1"/>
            </w14:solidFill>
          </w14:textFill>
        </w:rPr>
        <w:t>（三）满意度指标完成情况分析</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按计划完成项目实施，已做满意度调查抽样问卷，具体如下：</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受益职工满意度(%)指标，预期指标是大于等于95%，实际完成值是100%，指标完成率是100%，达到部门（单位）服务对象对部门履职效果的满意度。</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满意度指标共计</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个，完成</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1</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个，</w:t>
      </w: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达到部门（单位）受益职工</w:t>
      </w:r>
      <w:r>
        <w:rPr>
          <w:rStyle w:val="13"/>
          <w:rFonts w:hint="eastAsia" w:ascii="仿宋_GB2312" w:hAnsi="仿宋_GB2312" w:eastAsia="仿宋_GB2312" w:cs="仿宋_GB2312"/>
          <w:b w:val="0"/>
          <w:bCs w:val="0"/>
          <w:color w:val="000000" w:themeColor="text1"/>
          <w:spacing w:val="-4"/>
          <w:sz w:val="32"/>
          <w:szCs w:val="32"/>
          <w:highlight w:val="none"/>
          <w14:textFill>
            <w14:solidFill>
              <w14:schemeClr w14:val="tx1"/>
            </w14:solidFill>
          </w14:textFill>
        </w:rPr>
        <w:t>满意度指标完成。</w:t>
      </w:r>
    </w:p>
    <w:p>
      <w:pPr>
        <w:pStyle w:val="14"/>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6" w:name="_Toc22800_WPSOffice_Level1"/>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3"/>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3"/>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kern w:val="2"/>
          <w:sz w:val="32"/>
          <w:szCs w:val="32"/>
          <w:highlight w:val="none"/>
          <w:lang w:val="en-US" w:eastAsia="zh-CN" w:bidi="ar-SA"/>
          <w14:textFill>
            <w14:solidFill>
              <w14:schemeClr w14:val="tx1"/>
            </w14:solidFill>
          </w14:textFill>
        </w:rPr>
        <w:t>绩效指标的明确性、可衡量性、相关性还需进一步提升。预算精细化管理还需完善，预算编制管理水平仍有进一步提升的空间。</w:t>
      </w:r>
    </w:p>
    <w:p>
      <w:pPr>
        <w:pStyle w:val="14"/>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Chars="0"/>
        <w:jc w:val="both"/>
        <w:textAlignment w:val="auto"/>
        <w:outlineLvl w:val="0"/>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pPr>
      <w:bookmarkStart w:id="7" w:name="_Toc29546_WPSOffice_Level1"/>
      <w:r>
        <w:rPr>
          <w:rStyle w:val="13"/>
          <w:rFonts w:hint="eastAsia" w:ascii="仿宋_GB2312" w:hAnsi="仿宋_GB2312" w:eastAsia="仿宋_GB2312" w:cs="仿宋_GB2312"/>
          <w:b/>
          <w:bCs/>
          <w:color w:val="000000" w:themeColor="text1"/>
          <w:spacing w:val="-4"/>
          <w:sz w:val="32"/>
          <w:szCs w:val="32"/>
          <w:highlight w:val="none"/>
          <w14:textFill>
            <w14:solidFill>
              <w14:schemeClr w14:val="tx1"/>
            </w14:solidFill>
          </w14:textFill>
        </w:rPr>
        <w:t>改进措施和建议</w:t>
      </w:r>
      <w:bookmarkEnd w:id="7"/>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（一）改进措施</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加大绩效工作宣传力度，强化绩效理念。</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完善绩效指标，提高整体绩效目标质量。提升预算精细化管理水平。</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继续完善预算绩效管理相关工作制度，建立全过程预算绩效管理链条，有效贯彻落实全面实施绩效管理的精神。</w:t>
      </w:r>
    </w:p>
    <w:p>
      <w:pPr>
        <w:pStyle w:val="14"/>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w:t>
      </w:r>
      <w:r>
        <w:rPr>
          <w:rStyle w:val="13"/>
          <w:rFonts w:hint="eastAsia" w:ascii="仿宋_GB2312" w:hAnsi="仿宋_GB2312" w:eastAsia="仿宋_GB2312" w:cs="仿宋_GB2312"/>
          <w:b/>
          <w:bCs/>
          <w:color w:val="000000" w:themeColor="text1"/>
          <w:spacing w:val="-4"/>
          <w:sz w:val="32"/>
          <w:szCs w:val="32"/>
          <w:highlight w:val="none"/>
          <w:lang w:val="en-US" w:eastAsia="zh-CN"/>
          <w14:textFill>
            <w14:solidFill>
              <w14:schemeClr w14:val="tx1"/>
            </w14:solidFill>
          </w14:textFill>
        </w:rPr>
        <w:t>二）建议</w:t>
      </w:r>
    </w:p>
    <w:p>
      <w:pPr>
        <w:pStyle w:val="19"/>
        <w:snapToGrid w:val="0"/>
        <w:spacing w:line="540" w:lineRule="exact"/>
        <w:ind w:firstLine="624"/>
        <w:rPr>
          <w:rStyle w:val="13"/>
          <w:rFonts w:ascii="仿宋_GB2312" w:hAnsi="仿宋_GB2312" w:eastAsia="仿宋_GB2312" w:cs="仿宋_GB2312"/>
          <w:b w:val="0"/>
          <w:bCs w:val="0"/>
          <w:color w:val="auto"/>
          <w:spacing w:val="-4"/>
          <w:sz w:val="32"/>
          <w:szCs w:val="32"/>
        </w:rPr>
      </w:pPr>
      <w:r>
        <w:rPr>
          <w:rStyle w:val="13"/>
          <w:rFonts w:hint="eastAsia" w:ascii="仿宋_GB2312" w:hAnsi="仿宋_GB2312" w:eastAsia="仿宋_GB2312" w:cs="仿宋_GB2312"/>
          <w:b w:val="0"/>
          <w:bCs w:val="0"/>
          <w:color w:val="auto"/>
          <w:spacing w:val="-4"/>
          <w:sz w:val="32"/>
          <w:szCs w:val="32"/>
        </w:rPr>
        <w:t>规范单位整体支出管理资料的收集整理，确保相关信息完整、可靠，客观公正地反映项目资金实际使用和产生的绩效状况，为今后该项目实施方向及管理方式的改进提供指导。</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4"/>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pPr>
      <w:r>
        <w:rPr>
          <w:rStyle w:val="13"/>
          <w:rFonts w:hint="eastAsia" w:ascii="仿宋_GB2312" w:hAnsi="仿宋_GB2312" w:eastAsia="仿宋_GB2312" w:cs="仿宋_GB2312"/>
          <w:b w:val="0"/>
          <w:bCs w:val="0"/>
          <w:color w:val="000000" w:themeColor="text1"/>
          <w:spacing w:val="-4"/>
          <w:sz w:val="32"/>
          <w:szCs w:val="32"/>
          <w:highlight w:val="none"/>
          <w:lang w:val="en-US" w:eastAsia="zh-CN"/>
          <w14:textFill>
            <w14:solidFill>
              <w14:schemeClr w14:val="tx1"/>
            </w14:solidFill>
          </w14:textFill>
        </w:rPr>
        <w:t>借助第三方专业机构力量，贯彻落实全面预算绩效管理工作，建立全过程预算绩效管理链条，将绩效各个环节紧密贯通。</w:t>
      </w:r>
    </w:p>
    <w:p>
      <w:pPr>
        <w:snapToGrid w:val="0"/>
        <w:spacing w:line="540" w:lineRule="exact"/>
        <w:rPr>
          <w:rStyle w:val="13"/>
          <w:rFonts w:hint="eastAsia" w:ascii="仿宋_GB2312" w:hAnsi="仿宋_GB2312" w:eastAsia="仿宋_GB2312" w:cs="仿宋_GB2312"/>
          <w:b w:val="0"/>
          <w:color w:val="000000" w:themeColor="text1"/>
          <w:spacing w:val="-4"/>
          <w:sz w:val="32"/>
          <w:szCs w:val="32"/>
          <w:highlight w:val="none"/>
          <w14:textFill>
            <w14:solidFill>
              <w14:schemeClr w14:val="tx1"/>
            </w14:solidFill>
          </w14:textFill>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83438"/>
    <w:multiLevelType w:val="singleLevel"/>
    <w:tmpl w:val="1DF83438"/>
    <w:lvl w:ilvl="0" w:tentative="0">
      <w:start w:val="2"/>
      <w:numFmt w:val="decimal"/>
      <w:lvlText w:val="%1."/>
      <w:lvlJc w:val="left"/>
      <w:pPr>
        <w:tabs>
          <w:tab w:val="left" w:pos="312"/>
        </w:tabs>
      </w:pPr>
    </w:lvl>
  </w:abstractNum>
  <w:abstractNum w:abstractNumId="1">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7559E"/>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C61FF"/>
    <w:rsid w:val="00FF2ACD"/>
    <w:rsid w:val="012008EE"/>
    <w:rsid w:val="013931E4"/>
    <w:rsid w:val="01CC583F"/>
    <w:rsid w:val="02987B74"/>
    <w:rsid w:val="0305345B"/>
    <w:rsid w:val="03E01CC9"/>
    <w:rsid w:val="03F53991"/>
    <w:rsid w:val="04FF0482"/>
    <w:rsid w:val="05062887"/>
    <w:rsid w:val="058552E6"/>
    <w:rsid w:val="059668E4"/>
    <w:rsid w:val="05F70F85"/>
    <w:rsid w:val="084208C4"/>
    <w:rsid w:val="098A3C0A"/>
    <w:rsid w:val="0A002B68"/>
    <w:rsid w:val="0A9A7091"/>
    <w:rsid w:val="0BB84DE3"/>
    <w:rsid w:val="0EF926F9"/>
    <w:rsid w:val="10FE60D7"/>
    <w:rsid w:val="11D20EBA"/>
    <w:rsid w:val="11FF25F0"/>
    <w:rsid w:val="12BD3A51"/>
    <w:rsid w:val="15F857D3"/>
    <w:rsid w:val="16003C34"/>
    <w:rsid w:val="175D58E3"/>
    <w:rsid w:val="18061B60"/>
    <w:rsid w:val="18FA049A"/>
    <w:rsid w:val="190C3DF8"/>
    <w:rsid w:val="19C26650"/>
    <w:rsid w:val="19F83E30"/>
    <w:rsid w:val="1A38314A"/>
    <w:rsid w:val="1B403139"/>
    <w:rsid w:val="1B411DB4"/>
    <w:rsid w:val="1C6D319F"/>
    <w:rsid w:val="1CE35C0C"/>
    <w:rsid w:val="1D4D74D6"/>
    <w:rsid w:val="1DE32CFD"/>
    <w:rsid w:val="1F1A602A"/>
    <w:rsid w:val="1F2854B6"/>
    <w:rsid w:val="1F495D13"/>
    <w:rsid w:val="21543DD4"/>
    <w:rsid w:val="21C768CD"/>
    <w:rsid w:val="22E14253"/>
    <w:rsid w:val="23F209A3"/>
    <w:rsid w:val="2403516E"/>
    <w:rsid w:val="256A2A9E"/>
    <w:rsid w:val="2761332D"/>
    <w:rsid w:val="27790CF3"/>
    <w:rsid w:val="2805537E"/>
    <w:rsid w:val="281C14A6"/>
    <w:rsid w:val="281D195D"/>
    <w:rsid w:val="284003C7"/>
    <w:rsid w:val="289437EE"/>
    <w:rsid w:val="2A854E98"/>
    <w:rsid w:val="2E3D769E"/>
    <w:rsid w:val="2EBF757D"/>
    <w:rsid w:val="2FAF0F27"/>
    <w:rsid w:val="31B83F5F"/>
    <w:rsid w:val="328E2AB6"/>
    <w:rsid w:val="329B12EA"/>
    <w:rsid w:val="33A83F87"/>
    <w:rsid w:val="35377D8A"/>
    <w:rsid w:val="355C2B3F"/>
    <w:rsid w:val="35F12468"/>
    <w:rsid w:val="36851B5C"/>
    <w:rsid w:val="37D360CA"/>
    <w:rsid w:val="382C626E"/>
    <w:rsid w:val="38CB5066"/>
    <w:rsid w:val="3A5C79A5"/>
    <w:rsid w:val="3A8C02DD"/>
    <w:rsid w:val="3AAE414F"/>
    <w:rsid w:val="3EDA503D"/>
    <w:rsid w:val="3F116D9E"/>
    <w:rsid w:val="3F301058"/>
    <w:rsid w:val="3FE55BE1"/>
    <w:rsid w:val="40B45B95"/>
    <w:rsid w:val="41025273"/>
    <w:rsid w:val="417A34F9"/>
    <w:rsid w:val="418810F4"/>
    <w:rsid w:val="419263E1"/>
    <w:rsid w:val="41A37673"/>
    <w:rsid w:val="42C30950"/>
    <w:rsid w:val="431F2213"/>
    <w:rsid w:val="45A65C7F"/>
    <w:rsid w:val="468C2A4A"/>
    <w:rsid w:val="46AD2493"/>
    <w:rsid w:val="46EC7F14"/>
    <w:rsid w:val="47F115BF"/>
    <w:rsid w:val="487A2378"/>
    <w:rsid w:val="48AF4C7F"/>
    <w:rsid w:val="4A81677A"/>
    <w:rsid w:val="4DA177B2"/>
    <w:rsid w:val="4DF36D4F"/>
    <w:rsid w:val="4F5D6D5A"/>
    <w:rsid w:val="501B7C76"/>
    <w:rsid w:val="504D5CCF"/>
    <w:rsid w:val="509A5C1D"/>
    <w:rsid w:val="524435E8"/>
    <w:rsid w:val="5329054B"/>
    <w:rsid w:val="533A7469"/>
    <w:rsid w:val="53526129"/>
    <w:rsid w:val="54BF2755"/>
    <w:rsid w:val="556332BC"/>
    <w:rsid w:val="565F61A9"/>
    <w:rsid w:val="56707D61"/>
    <w:rsid w:val="56DB3E30"/>
    <w:rsid w:val="57232FC4"/>
    <w:rsid w:val="572D2326"/>
    <w:rsid w:val="57365691"/>
    <w:rsid w:val="579A50DA"/>
    <w:rsid w:val="58A5775D"/>
    <w:rsid w:val="590D04C3"/>
    <w:rsid w:val="59CD5E33"/>
    <w:rsid w:val="59EE1E48"/>
    <w:rsid w:val="5A490F5C"/>
    <w:rsid w:val="5A961B68"/>
    <w:rsid w:val="5B076365"/>
    <w:rsid w:val="5BD21464"/>
    <w:rsid w:val="5BDE2B83"/>
    <w:rsid w:val="5E4C2F00"/>
    <w:rsid w:val="5F5278EF"/>
    <w:rsid w:val="5F9C1BC7"/>
    <w:rsid w:val="61635F72"/>
    <w:rsid w:val="618606C5"/>
    <w:rsid w:val="61DD3E1F"/>
    <w:rsid w:val="6200585C"/>
    <w:rsid w:val="62246792"/>
    <w:rsid w:val="627806C9"/>
    <w:rsid w:val="63E114D3"/>
    <w:rsid w:val="645B1498"/>
    <w:rsid w:val="6A182BB4"/>
    <w:rsid w:val="6AD46D46"/>
    <w:rsid w:val="6DE07909"/>
    <w:rsid w:val="6E58438A"/>
    <w:rsid w:val="6E9D5508"/>
    <w:rsid w:val="6FA551C6"/>
    <w:rsid w:val="71C54FAD"/>
    <w:rsid w:val="71EB22B3"/>
    <w:rsid w:val="72010FA6"/>
    <w:rsid w:val="72F966BC"/>
    <w:rsid w:val="748A4F72"/>
    <w:rsid w:val="750F77CC"/>
    <w:rsid w:val="75664078"/>
    <w:rsid w:val="761E4132"/>
    <w:rsid w:val="762460AB"/>
    <w:rsid w:val="777B1AAE"/>
    <w:rsid w:val="77B0650B"/>
    <w:rsid w:val="78061A79"/>
    <w:rsid w:val="7B960689"/>
    <w:rsid w:val="7BC003CA"/>
    <w:rsid w:val="7C4C3AF2"/>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spacing w:before="100" w:beforeAutospacing="1"/>
      <w:ind w:firstLine="420" w:firstLineChars="200"/>
    </w:pPr>
  </w:style>
  <w:style w:type="paragraph" w:styleId="3">
    <w:name w:val="Body Text Indent"/>
    <w:basedOn w:val="1"/>
    <w:unhideWhenUsed/>
    <w:qFormat/>
    <w:uiPriority w:val="99"/>
    <w:pPr>
      <w:spacing w:after="120"/>
      <w:ind w:left="420" w:leftChars="200"/>
    </w:pPr>
  </w:style>
  <w:style w:type="paragraph" w:styleId="5">
    <w:name w:val="annotation text"/>
    <w:basedOn w:val="1"/>
    <w:unhideWhenUsed/>
    <w:qFormat/>
    <w:uiPriority w:val="99"/>
    <w:pPr>
      <w:jc w:val="left"/>
    </w:pPr>
  </w:style>
  <w:style w:type="paragraph" w:styleId="6">
    <w:name w:val="Body Text"/>
    <w:basedOn w:val="1"/>
    <w:qFormat/>
    <w:uiPriority w:val="0"/>
    <w:pPr>
      <w:spacing w:before="240" w:after="240" w:line="360" w:lineRule="auto"/>
      <w:jc w:val="center"/>
    </w:pPr>
    <w:rPr>
      <w:b/>
      <w:sz w:val="44"/>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kern w:val="0"/>
      <w:sz w:val="24"/>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paragraph" w:customStyle="1" w:styleId="14">
    <w:name w:val="List Paragraph"/>
    <w:basedOn w:val="1"/>
    <w:unhideWhenUsed/>
    <w:qFormat/>
    <w:uiPriority w:val="99"/>
    <w:pPr>
      <w:ind w:firstLine="420" w:firstLineChars="200"/>
    </w:pPr>
  </w:style>
  <w:style w:type="character" w:customStyle="1" w:styleId="15">
    <w:name w:val="页脚 字符"/>
    <w:basedOn w:val="12"/>
    <w:link w:val="7"/>
    <w:qFormat/>
    <w:uiPriority w:val="99"/>
    <w:rPr>
      <w:sz w:val="18"/>
      <w:szCs w:val="18"/>
    </w:rPr>
  </w:style>
  <w:style w:type="character" w:customStyle="1" w:styleId="16">
    <w:name w:val="页眉 字符"/>
    <w:basedOn w:val="12"/>
    <w:link w:val="8"/>
    <w:qFormat/>
    <w:uiPriority w:val="99"/>
    <w:rPr>
      <w:sz w:val="18"/>
      <w:szCs w:val="18"/>
    </w:rPr>
  </w:style>
  <w:style w:type="paragraph" w:customStyle="1" w:styleId="17">
    <w:name w:val="WPSOffice手动目录 1"/>
    <w:qFormat/>
    <w:uiPriority w:val="0"/>
    <w:pPr>
      <w:ind w:leftChars="0"/>
    </w:pPr>
    <w:rPr>
      <w:rFonts w:asciiTheme="minorHAnsi" w:hAnsiTheme="minorHAnsi" w:eastAsiaTheme="minorEastAsia" w:cstheme="minorBidi"/>
      <w:sz w:val="20"/>
      <w:szCs w:val="20"/>
    </w:rPr>
  </w:style>
  <w:style w:type="paragraph" w:customStyle="1" w:styleId="18">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9">
    <w:name w:val="列表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16</Pages>
  <Words>7015</Words>
  <Characters>7307</Characters>
  <Lines>7</Lines>
  <Paragraphs>2</Paragraphs>
  <TotalTime>2</TotalTime>
  <ScaleCrop>false</ScaleCrop>
  <LinksUpToDate>false</LinksUpToDate>
  <CharactersWithSpaces>7318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2022-04-19T08:40:27Z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D7A99250EA9A421CB0ACB12FC20ACFB9</vt:lpwstr>
  </property>
</Properties>
</file>