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rPr>
        <w:t>部门单位整体支出绩效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阿克陶县图书馆</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14</w:t>
      </w:r>
      <w:r>
        <w:rPr>
          <w:rFonts w:hint="eastAsia" w:ascii="仿宋_GB2312" w:hAnsi="仿宋_GB2312" w:eastAsia="仿宋_GB2312" w:cs="仿宋_GB2312"/>
          <w:kern w:val="0"/>
          <w:sz w:val="32"/>
          <w:szCs w:val="32"/>
          <w:highlight w:val="none"/>
        </w:rPr>
        <w:t>日</w:t>
      </w:r>
    </w:p>
    <w:p>
      <w:pPr>
        <w:pStyle w:val="2"/>
        <w:rPr>
          <w:rFonts w:hint="default"/>
          <w:lang w:val="en-US" w:eastAsia="zh-CN"/>
        </w:rPr>
      </w:pPr>
    </w:p>
    <w:p>
      <w:pPr>
        <w:rPr>
          <w:rFonts w:hint="default"/>
          <w:lang w:val="en-US" w:eastAsia="zh-CN"/>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（1）保存人类文化遗产。图书馆的产生是保存人类文化遗产的需要。因为有了图书馆，人类的社会实践所取得的经验、文化、知识才得以系统地保存并流传下来，成为今天人类宝贵的文化遗产和精神财富。</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开展社会教育。近代大工业的产生要求社会人有较多的劳动知识和劳动技能，图书馆从而真正走入平民百姓当中，担负起了对人的科学知识文化教育的任务。现代社会，图书馆成为继续教育的基地，担负了更多的教育职能。</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（3） 传递科学知识。传递科学知识是现代图书馆的一个重要职能。图书馆丰富、系统、全面的图书信息资料，成为图书馆从事科学知识传递工作的物质条件。在信息社会，图书馆的科学知识功能将得到加强。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4）开发智力资源。图书馆收藏的图书资料是人类长期积累的一种智力资源，图书馆对这些资源的加工、处理，是对这种智力资源的开发。同时图书馆将这些图书资料提供利用，是开发图书馆用户的脑力资源。换言之，图书馆承担有人才培养的职能。</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（5）提供文化娱乐。图书馆提供的服务满足了社会对文化娱乐的需要，丰富和活跃了人民群众的文化生活，在精神文明建设当中起到了不可或缺的作用。</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2.部门机构设置及人员构成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阿克陶县图书馆于2005年7月正式成立，属于纯社会公益类事业单位，机构规格相当于股级。阿克陶县图书馆单位事业编制数5，实有人数6人，其中：在职6人，退休6人。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3.年度重点工作</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（1）为优化基础服务，继续把“读者至上，服务第一”的宗旨，贯穿到各项基础服务工作之中；</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（2）积极开展各类活动、发挥图书馆社会职能；</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（3）发挥公共文化资源优势，延伸服务触角；</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（4）图书馆自动化和智能化业务服务建设。</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（二）决策过程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我单位决策机制根据行政事业单位内部控制体系建设相关要求，逐步完善《阿克陶县图书馆议事规则》、《三重一大会议制度》，根据制度规定，坚持全面贯彻落实中央八项规定、县党政部门相关要求，以科学决策、民主决策为目的，以落实党的民主集中制为原则，提高认识，明确责任，完善机制，推动落实。我单位党组书记冯东明是领导班子实施“三重一大”事项集体决策制度的第一责任人，负有直接领导责任；党组副书记、局长帕提古力·买买提、副局长冯永强、副局长占恩平对分管工作负有向主要领导建议执行“三重一大”集体决策制度的重要领导责任。党组书记冯东明依据本规定针对具体事项，决定集体研究决策方案，并分别主持召开局务会等会议，按要求把握好集体决策的程序进行单位事项决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1）基本支出根据人员工资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（2）预算批复的项目支出属于政府采购的，严格按照《中华人民共和国政府采购法》、自治区财政部门印发的《地方预算单位政府集中采购目录及标准指引（2021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年版））》规定及本单位内控制度，组织人员制定并申报采购计划，按批复采购方式进行；属于非政府采购的项目，按照“三重一大”制度规定重大项目支出上党组会研究决定。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（3）本年度本单位预算安排的重点项目1个，预算安排的重点项目支出金额为2万元，部门项目总支出金额为11.43万元，则重点项目支出占项目总支出的比率为17.49%。</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Hans" w:bidi="ar"/>
        </w:rPr>
      </w:pPr>
      <w:r>
        <w:rPr>
          <w:rStyle w:val="10"/>
          <w:rFonts w:hint="eastAsia" w:ascii="仿宋_GB2312" w:hAnsi="仿宋_GB2312" w:eastAsia="仿宋_GB2312" w:cs="仿宋_GB2312"/>
          <w:b w:val="0"/>
          <w:color w:val="333333"/>
          <w:sz w:val="32"/>
          <w:szCs w:val="32"/>
          <w:highlight w:val="none"/>
          <w:lang w:val="en-US" w:eastAsia="zh-Hans" w:bidi="ar"/>
        </w:rPr>
        <w:t>与绩效目标</w:t>
      </w:r>
      <w:r>
        <w:rPr>
          <w:rStyle w:val="10"/>
          <w:rFonts w:hint="eastAsia" w:ascii="仿宋_GB2312" w:hAnsi="仿宋_GB2312" w:eastAsia="仿宋_GB2312" w:cs="仿宋_GB2312"/>
          <w:b w:val="0"/>
          <w:color w:val="333333"/>
          <w:sz w:val="32"/>
          <w:szCs w:val="32"/>
          <w:highlight w:val="none"/>
          <w:lang w:val="en-US" w:eastAsia="zh-CN" w:bidi="ar"/>
        </w:rPr>
        <w:t>保持</w:t>
      </w:r>
      <w:r>
        <w:rPr>
          <w:rStyle w:val="10"/>
          <w:rFonts w:hint="eastAsia" w:ascii="仿宋_GB2312" w:hAnsi="仿宋_GB2312" w:eastAsia="仿宋_GB2312" w:cs="仿宋_GB2312"/>
          <w:b w:val="0"/>
          <w:color w:val="333333"/>
          <w:sz w:val="32"/>
          <w:szCs w:val="32"/>
          <w:highlight w:val="none"/>
          <w:lang w:val="en-US" w:eastAsia="zh-Hans" w:bidi="ar"/>
        </w:rPr>
        <w:t>一致性</w:t>
      </w:r>
      <w:r>
        <w:rPr>
          <w:rStyle w:val="10"/>
          <w:rFonts w:hint="default" w:ascii="仿宋_GB2312" w:hAnsi="仿宋_GB2312" w:eastAsia="仿宋_GB2312" w:cs="仿宋_GB2312"/>
          <w:b w:val="0"/>
          <w:color w:val="333333"/>
          <w:sz w:val="32"/>
          <w:szCs w:val="32"/>
          <w:highlight w:val="none"/>
          <w:lang w:eastAsia="zh-Hans" w:bidi="ar"/>
        </w:rPr>
        <w:t>，</w:t>
      </w:r>
      <w:r>
        <w:rPr>
          <w:rStyle w:val="10"/>
          <w:rFonts w:hint="eastAsia" w:ascii="仿宋_GB2312" w:hAnsi="仿宋_GB2312" w:eastAsia="仿宋_GB2312" w:cs="仿宋_GB2312"/>
          <w:b w:val="0"/>
          <w:color w:val="333333"/>
          <w:sz w:val="32"/>
          <w:szCs w:val="32"/>
          <w:highlight w:val="none"/>
          <w:lang w:val="en-US" w:eastAsia="zh-CN" w:bidi="ar"/>
        </w:rPr>
        <w:t>人员经费112.77万元，公用经费2.65万元，项目经费2万元，</w:t>
      </w:r>
      <w:r>
        <w:rPr>
          <w:rStyle w:val="10"/>
          <w:rFonts w:hint="eastAsia" w:ascii="仿宋_GB2312" w:hAnsi="仿宋_GB2312" w:eastAsia="仿宋_GB2312" w:cs="仿宋_GB2312"/>
          <w:b w:val="0"/>
          <w:color w:val="333333"/>
          <w:sz w:val="32"/>
          <w:szCs w:val="32"/>
          <w:highlight w:val="none"/>
          <w:lang w:val="en-US" w:eastAsia="zh-Hans" w:bidi="ar"/>
        </w:rPr>
        <w:t>分配结果合理</w:t>
      </w:r>
      <w:r>
        <w:rPr>
          <w:rStyle w:val="10"/>
          <w:rFonts w:hint="default" w:ascii="仿宋_GB2312" w:hAnsi="仿宋_GB2312" w:eastAsia="仿宋_GB2312" w:cs="仿宋_GB2312"/>
          <w:b w:val="0"/>
          <w:color w:val="333333"/>
          <w:sz w:val="32"/>
          <w:szCs w:val="32"/>
          <w:highlight w:val="none"/>
          <w:lang w:eastAsia="zh-Hans"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重点支出保障率用以反映和考核部门（单位）对履行主要职责或完成重点任务的保障程度。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我单位本年主要实施2021年征订报刊杂志1个重点项目，履行了开展社会教育，传递科学知识，提供文化娱乐等主要职责。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本年度预算安排的重点项目支出2万元，项目总支出11.43万元，重点支出保障率为17.49%。</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我单位年初预算数为117.42万元，实际预算执行数115.43万元，预算执行率为98.31%。</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全年预算数为135.81万元，全年实际支出资金135.81万元，预算执行率为100%。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我单位年初批复预算数117.42万元，年中调整数18.39万元，调整后全年预算数135.81万元，预算调整率15.66%。</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bookmarkStart w:id="1" w:name="_Hlk49856735"/>
      <w:r>
        <w:rPr>
          <w:rStyle w:val="10"/>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color w:val="auto"/>
          <w:sz w:val="32"/>
          <w:szCs w:val="32"/>
          <w:highlight w:val="none"/>
          <w:shd w:val="clear" w:color="auto" w:fill="auto"/>
          <w:lang w:val="en-US" w:eastAsia="zh-Hans" w:bidi="ar"/>
        </w:rPr>
        <w:t>公众评判法</w:t>
      </w:r>
      <w:r>
        <w:rPr>
          <w:rStyle w:val="10"/>
          <w:rFonts w:hint="eastAsia" w:ascii="仿宋_GB2312" w:hAnsi="仿宋_GB2312" w:eastAsia="仿宋_GB2312" w:cs="仿宋_GB2312"/>
          <w:b w:val="0"/>
          <w:color w:val="auto"/>
          <w:sz w:val="32"/>
          <w:szCs w:val="32"/>
          <w:highlight w:val="none"/>
          <w:shd w:val="clear" w:color="auto" w:fill="auto"/>
          <w:lang w:val="en-US" w:eastAsia="zh-CN" w:bidi="ar"/>
        </w:rPr>
        <w:t>。通过专家评估、公众问卷及抽样调查等方式进行评判的方</w:t>
      </w:r>
      <w:r>
        <w:rPr>
          <w:rStyle w:val="10"/>
          <w:rFonts w:hint="eastAsia" w:ascii="仿宋_GB2312" w:hAnsi="仿宋_GB2312" w:eastAsia="仿宋_GB2312" w:cs="仿宋_GB2312"/>
          <w:b w:val="0"/>
          <w:color w:val="auto"/>
          <w:sz w:val="32"/>
          <w:szCs w:val="32"/>
          <w:lang w:val="en-US" w:eastAsia="zh-CN" w:bidi="ar"/>
        </w:rPr>
        <w:t>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评价的对象及主要内容为:</w:t>
      </w:r>
      <w:r>
        <w:rPr>
          <w:rStyle w:val="10"/>
          <w:rFonts w:hint="eastAsia" w:ascii="仿宋_GB2312" w:hAnsi="仿宋_GB2312" w:eastAsia="仿宋_GB2312" w:cs="仿宋_GB2312"/>
          <w:b/>
          <w:bCs w:val="0"/>
          <w:color w:val="333333"/>
          <w:sz w:val="32"/>
          <w:szCs w:val="32"/>
          <w:highlight w:val="none"/>
          <w:lang w:val="en-US" w:eastAsia="zh-CN" w:bidi="ar"/>
        </w:rPr>
        <w:t>一是</w:t>
      </w:r>
      <w:r>
        <w:rPr>
          <w:rStyle w:val="10"/>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0"/>
          <w:rFonts w:hint="eastAsia" w:ascii="仿宋_GB2312" w:hAnsi="仿宋_GB2312" w:eastAsia="仿宋_GB2312" w:cs="仿宋_GB2312"/>
          <w:b/>
          <w:bCs w:val="0"/>
          <w:color w:val="333333"/>
          <w:sz w:val="32"/>
          <w:szCs w:val="32"/>
          <w:highlight w:val="none"/>
          <w:lang w:val="en-US" w:eastAsia="zh-CN" w:bidi="ar"/>
        </w:rPr>
        <w:t>二是</w:t>
      </w:r>
      <w:r>
        <w:rPr>
          <w:rStyle w:val="10"/>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333333"/>
          <w:sz w:val="32"/>
          <w:szCs w:val="32"/>
          <w:highlight w:val="none"/>
          <w:lang w:val="en-US" w:eastAsia="zh-CN" w:bidi="ar"/>
        </w:rPr>
        <w:t>三是</w:t>
      </w:r>
      <w:r>
        <w:rPr>
          <w:rStyle w:val="10"/>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0"/>
          <w:rFonts w:hint="eastAsia" w:ascii="仿宋_GB2312" w:hAnsi="仿宋_GB2312" w:eastAsia="仿宋_GB2312" w:cs="仿宋_GB2312"/>
          <w:b/>
          <w:bCs w:val="0"/>
          <w:color w:val="333333"/>
          <w:sz w:val="32"/>
          <w:szCs w:val="32"/>
          <w:highlight w:val="none"/>
          <w:lang w:val="en-US" w:eastAsia="zh-CN" w:bidi="ar"/>
        </w:rPr>
        <w:t>四是</w:t>
      </w:r>
      <w:r>
        <w:rPr>
          <w:rStyle w:val="10"/>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0"/>
          <w:rFonts w:hint="eastAsia" w:ascii="仿宋_GB2312" w:hAnsi="仿宋_GB2312" w:eastAsia="仿宋_GB2312" w:cs="仿宋_GB2312"/>
          <w:b w:val="0"/>
          <w:color w:val="333333"/>
          <w:sz w:val="32"/>
          <w:szCs w:val="32"/>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本单位为加强预算管理，规范财务行为，已制定《部门单位预算绩效管理工作实施办法》，《单位财务管理制度》等健全完整的各项管理制度，有效保障了我单位高效的履行工作职能，较好的促进事业发展。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阿克陶县人民</w:t>
      </w:r>
      <w:r>
        <w:rPr>
          <w:rFonts w:hint="eastAsia" w:ascii="仿宋" w:hAnsi="仿宋" w:eastAsia="仿宋" w:cs="宋体"/>
          <w:bCs/>
          <w:color w:val="333333"/>
          <w:sz w:val="32"/>
          <w:szCs w:val="32"/>
          <w:lang w:eastAsia="zh-CN" w:bidi="ar"/>
        </w:rPr>
        <w:t>政府信息网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基本支出</w:t>
      </w:r>
      <w:r>
        <w:rPr>
          <w:rStyle w:val="10"/>
          <w:rFonts w:hint="eastAsia" w:ascii="仿宋_GB2312" w:hAnsi="仿宋_GB2312" w:eastAsia="仿宋_GB2312" w:cs="仿宋_GB2312"/>
          <w:b w:val="0"/>
          <w:color w:val="auto"/>
          <w:sz w:val="32"/>
          <w:szCs w:val="32"/>
          <w:highlight w:val="none"/>
          <w:lang w:val="en-US" w:eastAsia="zh-CN" w:bidi="ar"/>
        </w:rPr>
        <w:t>全年</w:t>
      </w:r>
      <w:r>
        <w:rPr>
          <w:rStyle w:val="10"/>
          <w:rFonts w:hint="eastAsia" w:ascii="仿宋_GB2312" w:hAnsi="仿宋_GB2312" w:eastAsia="仿宋_GB2312" w:cs="仿宋_GB2312"/>
          <w:b w:val="0"/>
          <w:color w:val="auto"/>
          <w:sz w:val="32"/>
          <w:szCs w:val="32"/>
          <w:highlight w:val="none"/>
          <w:lang w:bidi="ar"/>
        </w:rPr>
        <w:t>预算总额</w:t>
      </w:r>
      <w:r>
        <w:rPr>
          <w:rStyle w:val="10"/>
          <w:rFonts w:hint="eastAsia" w:ascii="仿宋_GB2312" w:hAnsi="仿宋_GB2312" w:eastAsia="仿宋_GB2312" w:cs="仿宋_GB2312"/>
          <w:b w:val="0"/>
          <w:color w:val="auto"/>
          <w:sz w:val="32"/>
          <w:szCs w:val="32"/>
          <w:highlight w:val="none"/>
          <w:lang w:val="en-US" w:eastAsia="zh-CN" w:bidi="ar"/>
        </w:rPr>
        <w:t>124.38</w:t>
      </w:r>
      <w:r>
        <w:rPr>
          <w:rStyle w:val="10"/>
          <w:rFonts w:hint="eastAsia" w:ascii="仿宋_GB2312" w:hAnsi="仿宋_GB2312" w:eastAsia="仿宋_GB2312" w:cs="仿宋_GB2312"/>
          <w:b w:val="0"/>
          <w:color w:val="auto"/>
          <w:sz w:val="32"/>
          <w:szCs w:val="32"/>
          <w:highlight w:val="none"/>
          <w:lang w:bidi="ar"/>
        </w:rPr>
        <w:t>万元，其中</w:t>
      </w:r>
      <w:r>
        <w:rPr>
          <w:rStyle w:val="10"/>
          <w:rFonts w:hint="eastAsia" w:ascii="仿宋_GB2312" w:hAnsi="仿宋_GB2312" w:eastAsia="仿宋_GB2312" w:cs="仿宋_GB2312"/>
          <w:b w:val="0"/>
          <w:color w:val="auto"/>
          <w:sz w:val="32"/>
          <w:szCs w:val="32"/>
          <w:highlight w:val="none"/>
          <w:lang w:eastAsia="zh-CN" w:bidi="ar"/>
        </w:rPr>
        <w:t>：</w:t>
      </w:r>
      <w:r>
        <w:rPr>
          <w:rStyle w:val="10"/>
          <w:rFonts w:hint="eastAsia" w:ascii="仿宋_GB2312" w:hAnsi="仿宋_GB2312" w:eastAsia="仿宋_GB2312" w:cs="仿宋_GB2312"/>
          <w:b w:val="0"/>
          <w:color w:val="auto"/>
          <w:sz w:val="32"/>
          <w:szCs w:val="32"/>
          <w:highlight w:val="none"/>
          <w:lang w:bidi="ar"/>
        </w:rPr>
        <w:t>人员经费</w:t>
      </w:r>
      <w:r>
        <w:rPr>
          <w:rStyle w:val="10"/>
          <w:rFonts w:hint="eastAsia" w:ascii="仿宋_GB2312" w:hAnsi="仿宋_GB2312" w:eastAsia="仿宋_GB2312" w:cs="仿宋_GB2312"/>
          <w:b w:val="0"/>
          <w:color w:val="auto"/>
          <w:sz w:val="32"/>
          <w:szCs w:val="32"/>
          <w:highlight w:val="none"/>
          <w:lang w:val="en-US" w:eastAsia="zh-CN" w:bidi="ar"/>
        </w:rPr>
        <w:t>123.72</w:t>
      </w:r>
      <w:r>
        <w:rPr>
          <w:rStyle w:val="10"/>
          <w:rFonts w:hint="eastAsia" w:ascii="仿宋_GB2312" w:hAnsi="仿宋_GB2312" w:eastAsia="仿宋_GB2312" w:cs="仿宋_GB2312"/>
          <w:b w:val="0"/>
          <w:color w:val="auto"/>
          <w:sz w:val="32"/>
          <w:szCs w:val="32"/>
          <w:highlight w:val="none"/>
          <w:lang w:bidi="ar"/>
        </w:rPr>
        <w:t>万元，公用经费</w:t>
      </w:r>
      <w:r>
        <w:rPr>
          <w:rStyle w:val="10"/>
          <w:rFonts w:hint="eastAsia" w:ascii="仿宋_GB2312" w:hAnsi="仿宋_GB2312" w:eastAsia="仿宋_GB2312" w:cs="仿宋_GB2312"/>
          <w:b w:val="0"/>
          <w:color w:val="auto"/>
          <w:sz w:val="32"/>
          <w:szCs w:val="32"/>
          <w:highlight w:val="none"/>
          <w:lang w:val="en-US" w:eastAsia="zh-CN" w:bidi="ar"/>
        </w:rPr>
        <w:t>0.66</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124.38</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基本支出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100%</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yellow"/>
          <w:lang w:val="en-US" w:eastAsia="zh-CN" w:bidi="ar"/>
        </w:rPr>
      </w:pPr>
      <w:r>
        <w:rPr>
          <w:rStyle w:val="10"/>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2.三公经费控制情况</w:t>
      </w:r>
    </w:p>
    <w:p>
      <w:pPr>
        <w:pStyle w:val="11"/>
        <w:snapToGrid w:val="0"/>
        <w:spacing w:line="540" w:lineRule="exact"/>
        <w:rPr>
          <w:rFonts w:hint="eastAsia" w:ascii="仿宋_GB2312" w:hAnsi="仿宋_GB2312" w:eastAsia="仿宋_GB2312" w:cs="仿宋_GB2312"/>
          <w:bCs/>
          <w:color w:val="333333"/>
          <w:sz w:val="32"/>
          <w:szCs w:val="32"/>
          <w:lang w:eastAsia="zh-CN" w:bidi="ar"/>
        </w:rPr>
      </w:pPr>
      <w:r>
        <w:rPr>
          <w:rStyle w:val="10"/>
          <w:rFonts w:hint="eastAsia" w:ascii="仿宋_GB2312" w:hAnsi="仿宋_GB2312" w:eastAsia="仿宋_GB2312" w:cs="仿宋_GB2312"/>
          <w:b w:val="0"/>
          <w:color w:val="auto"/>
          <w:sz w:val="32"/>
          <w:szCs w:val="32"/>
          <w:highlight w:val="none"/>
          <w:lang w:eastAsia="zh-CN" w:bidi="ar"/>
        </w:rPr>
        <w:t>我单位坚决贯彻落实中央、自治区、</w:t>
      </w:r>
      <w:r>
        <w:rPr>
          <w:rStyle w:val="10"/>
          <w:rFonts w:hint="eastAsia" w:ascii="仿宋_GB2312" w:hAnsi="仿宋_GB2312" w:eastAsia="仿宋_GB2312" w:cs="仿宋_GB2312"/>
          <w:b w:val="0"/>
          <w:color w:val="auto"/>
          <w:sz w:val="32"/>
          <w:szCs w:val="32"/>
          <w:highlight w:val="none"/>
          <w:lang w:val="en-US" w:eastAsia="zh-CN" w:bidi="ar"/>
        </w:rPr>
        <w:t>阿克陶</w:t>
      </w:r>
      <w:r>
        <w:rPr>
          <w:rStyle w:val="10"/>
          <w:rFonts w:hint="eastAsia" w:ascii="仿宋_GB2312" w:hAnsi="仿宋_GB2312" w:eastAsia="仿宋_GB2312" w:cs="仿宋_GB2312"/>
          <w:b w:val="0"/>
          <w:color w:val="auto"/>
          <w:sz w:val="32"/>
          <w:szCs w:val="32"/>
          <w:highlight w:val="none"/>
          <w:lang w:val="en-US" w:eastAsia="zh-Hans" w:bidi="ar"/>
        </w:rPr>
        <w:t>县</w:t>
      </w:r>
      <w:r>
        <w:rPr>
          <w:rStyle w:val="10"/>
          <w:rFonts w:hint="eastAsia" w:ascii="仿宋_GB2312" w:hAnsi="仿宋_GB2312" w:eastAsia="仿宋_GB2312" w:cs="仿宋_GB2312"/>
          <w:b w:val="0"/>
          <w:color w:val="auto"/>
          <w:sz w:val="32"/>
          <w:szCs w:val="32"/>
          <w:highlight w:val="none"/>
          <w:lang w:eastAsia="zh-CN" w:bidi="ar"/>
        </w:rPr>
        <w:t>厉行勤俭办公的工作要求，提倡本单位全体干部职工，勤俭节约，切实降低行政运行成本，确保每年“三公经费”只减不增。202</w:t>
      </w:r>
      <w:r>
        <w:rPr>
          <w:rStyle w:val="10"/>
          <w:rFonts w:hint="eastAsia" w:ascii="仿宋_GB2312" w:hAnsi="仿宋_GB2312" w:eastAsia="仿宋_GB2312" w:cs="仿宋_GB2312"/>
          <w:b w:val="0"/>
          <w:color w:val="auto"/>
          <w:sz w:val="32"/>
          <w:szCs w:val="32"/>
          <w:highlight w:val="none"/>
          <w:lang w:val="en-US" w:eastAsia="zh-CN" w:bidi="ar"/>
        </w:rPr>
        <w:t>1</w:t>
      </w:r>
      <w:r>
        <w:rPr>
          <w:rStyle w:val="10"/>
          <w:rFonts w:hint="eastAsia" w:ascii="仿宋_GB2312" w:hAnsi="仿宋_GB2312" w:eastAsia="仿宋_GB2312" w:cs="仿宋_GB2312"/>
          <w:b w:val="0"/>
          <w:color w:val="auto"/>
          <w:sz w:val="32"/>
          <w:szCs w:val="32"/>
          <w:highlight w:val="none"/>
          <w:lang w:eastAsia="zh-CN" w:bidi="ar"/>
        </w:rPr>
        <w:t>年“三公经费”预算为</w:t>
      </w:r>
      <w:r>
        <w:rPr>
          <w:rStyle w:val="10"/>
          <w:rFonts w:hint="eastAsia" w:ascii="仿宋_GB2312" w:hAnsi="仿宋_GB2312" w:eastAsia="仿宋_GB2312" w:cs="仿宋_GB2312"/>
          <w:b w:val="0"/>
          <w:color w:val="auto"/>
          <w:sz w:val="32"/>
          <w:szCs w:val="32"/>
          <w:highlight w:val="none"/>
          <w:lang w:val="en-US" w:eastAsia="zh-CN" w:bidi="ar"/>
        </w:rPr>
        <w:t>0.62</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0.61</w:t>
      </w:r>
      <w:r>
        <w:rPr>
          <w:rStyle w:val="10"/>
          <w:rFonts w:hint="eastAsia" w:ascii="仿宋_GB2312" w:hAnsi="仿宋_GB2312" w:eastAsia="仿宋_GB2312" w:cs="仿宋_GB2312"/>
          <w:b w:val="0"/>
          <w:color w:val="auto"/>
          <w:sz w:val="32"/>
          <w:szCs w:val="32"/>
          <w:highlight w:val="none"/>
          <w:lang w:eastAsia="zh-CN" w:bidi="ar"/>
        </w:rPr>
        <w:t>万元，“三公经费”控制率为</w:t>
      </w:r>
      <w:r>
        <w:rPr>
          <w:rStyle w:val="10"/>
          <w:rFonts w:hint="eastAsia" w:ascii="仿宋_GB2312" w:hAnsi="仿宋_GB2312" w:eastAsia="仿宋_GB2312" w:cs="仿宋_GB2312"/>
          <w:b w:val="0"/>
          <w:color w:val="auto"/>
          <w:sz w:val="32"/>
          <w:szCs w:val="32"/>
          <w:highlight w:val="none"/>
          <w:lang w:val="en-US" w:eastAsia="zh-CN" w:bidi="ar"/>
        </w:rPr>
        <w:t>98.38</w:t>
      </w:r>
      <w:r>
        <w:rPr>
          <w:rStyle w:val="10"/>
          <w:rFonts w:hint="eastAsia" w:ascii="仿宋_GB2312" w:hAnsi="仿宋_GB2312" w:eastAsia="仿宋_GB2312" w:cs="仿宋_GB2312"/>
          <w:b w:val="0"/>
          <w:color w:val="auto"/>
          <w:sz w:val="32"/>
          <w:szCs w:val="32"/>
          <w:highlight w:val="none"/>
          <w:lang w:eastAsia="zh-CN" w:bidi="ar"/>
        </w:rPr>
        <w:t>%，其中：因公出国（境）费预算为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万元；公务接待费预算为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万元；公务用车购置费预算为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万元；公务用车运行维护费预算为</w:t>
      </w:r>
      <w:r>
        <w:rPr>
          <w:rStyle w:val="10"/>
          <w:rFonts w:hint="eastAsia" w:ascii="仿宋_GB2312" w:hAnsi="仿宋_GB2312" w:eastAsia="仿宋_GB2312" w:cs="仿宋_GB2312"/>
          <w:b w:val="0"/>
          <w:color w:val="auto"/>
          <w:sz w:val="32"/>
          <w:szCs w:val="32"/>
          <w:highlight w:val="none"/>
          <w:lang w:val="en-US" w:eastAsia="zh-CN" w:bidi="ar"/>
        </w:rPr>
        <w:t>0.62</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0.61</w:t>
      </w:r>
      <w:r>
        <w:rPr>
          <w:rStyle w:val="10"/>
          <w:rFonts w:hint="eastAsia" w:ascii="仿宋_GB2312" w:hAnsi="仿宋_GB2312" w:eastAsia="仿宋_GB2312" w:cs="仿宋_GB2312"/>
          <w:b w:val="0"/>
          <w:color w:val="auto"/>
          <w:sz w:val="32"/>
          <w:szCs w:val="32"/>
          <w:highlight w:val="none"/>
          <w:lang w:eastAsia="zh-CN" w:bidi="ar"/>
        </w:rPr>
        <w:t>万元，公务用车运行维护费控制率</w:t>
      </w:r>
      <w:r>
        <w:rPr>
          <w:rStyle w:val="10"/>
          <w:rFonts w:hint="eastAsia" w:ascii="仿宋_GB2312" w:hAnsi="仿宋_GB2312" w:eastAsia="仿宋_GB2312" w:cs="仿宋_GB2312"/>
          <w:b w:val="0"/>
          <w:color w:val="auto"/>
          <w:sz w:val="32"/>
          <w:szCs w:val="32"/>
          <w:highlight w:val="none"/>
          <w:lang w:val="en-US" w:eastAsia="zh-CN" w:bidi="ar"/>
        </w:rPr>
        <w:t>98.38</w:t>
      </w:r>
      <w:r>
        <w:rPr>
          <w:rStyle w:val="10"/>
          <w:rFonts w:hint="eastAsia" w:ascii="仿宋_GB2312" w:hAnsi="仿宋_GB2312" w:eastAsia="仿宋_GB2312" w:cs="仿宋_GB2312"/>
          <w:b w:val="0"/>
          <w:color w:val="auto"/>
          <w:sz w:val="32"/>
          <w:szCs w:val="32"/>
          <w:highlight w:val="none"/>
          <w:lang w:eastAsia="zh-CN" w:bidi="ar"/>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本单位安排</w:t>
      </w:r>
      <w:r>
        <w:rPr>
          <w:rStyle w:val="10"/>
          <w:rFonts w:hint="eastAsia" w:ascii="仿宋_GB2312" w:hAnsi="仿宋_GB2312" w:eastAsia="仿宋_GB2312" w:cs="仿宋_GB2312"/>
          <w:b w:val="0"/>
          <w:color w:val="auto"/>
          <w:sz w:val="32"/>
          <w:szCs w:val="32"/>
          <w:highlight w:val="none"/>
          <w:lang w:bidi="ar"/>
        </w:rPr>
        <w:t>专项支出预算总额</w:t>
      </w:r>
      <w:r>
        <w:rPr>
          <w:rStyle w:val="10"/>
          <w:rFonts w:hint="eastAsia" w:ascii="仿宋_GB2312" w:hAnsi="仿宋_GB2312" w:eastAsia="仿宋_GB2312" w:cs="仿宋_GB2312"/>
          <w:b w:val="0"/>
          <w:color w:val="auto"/>
          <w:sz w:val="32"/>
          <w:szCs w:val="32"/>
          <w:highlight w:val="none"/>
          <w:lang w:val="en-US" w:eastAsia="zh-CN" w:bidi="ar"/>
        </w:rPr>
        <w:t>17</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11.43</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专项支出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67.23%</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FF"/>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共有</w:t>
      </w:r>
      <w:r>
        <w:rPr>
          <w:rStyle w:val="10"/>
          <w:rFonts w:hint="eastAsia" w:ascii="仿宋_GB2312" w:hAnsi="仿宋_GB2312" w:eastAsia="仿宋_GB2312" w:cs="仿宋_GB2312"/>
          <w:b w:val="0"/>
          <w:color w:val="auto"/>
          <w:sz w:val="32"/>
          <w:szCs w:val="32"/>
          <w:highlight w:val="none"/>
          <w:lang w:val="en-US" w:eastAsia="zh-CN" w:bidi="ar"/>
        </w:rPr>
        <w:t>2</w:t>
      </w:r>
      <w:r>
        <w:rPr>
          <w:rStyle w:val="10"/>
          <w:rFonts w:hint="eastAsia" w:ascii="仿宋_GB2312" w:hAnsi="仿宋_GB2312" w:eastAsia="仿宋_GB2312" w:cs="仿宋_GB2312"/>
          <w:b w:val="0"/>
          <w:color w:val="auto"/>
          <w:sz w:val="32"/>
          <w:szCs w:val="32"/>
          <w:highlight w:val="none"/>
          <w:lang w:bidi="ar"/>
        </w:rPr>
        <w:t>个资金项目，其中</w:t>
      </w:r>
      <w:r>
        <w:rPr>
          <w:rStyle w:val="10"/>
          <w:rFonts w:hint="eastAsia" w:ascii="仿宋_GB2312" w:hAnsi="仿宋_GB2312" w:eastAsia="仿宋_GB2312" w:cs="仿宋_GB2312"/>
          <w:b w:val="0"/>
          <w:color w:val="auto"/>
          <w:sz w:val="32"/>
          <w:szCs w:val="32"/>
          <w:highlight w:val="none"/>
          <w:lang w:val="en-US" w:eastAsia="zh-CN" w:bidi="ar"/>
        </w:rPr>
        <w:t>2</w:t>
      </w:r>
      <w:r>
        <w:rPr>
          <w:rStyle w:val="10"/>
          <w:rFonts w:hint="eastAsia" w:ascii="仿宋_GB2312" w:hAnsi="仿宋_GB2312" w:eastAsia="仿宋_GB2312" w:cs="仿宋_GB2312"/>
          <w:b w:val="0"/>
          <w:color w:val="auto"/>
          <w:sz w:val="32"/>
          <w:szCs w:val="32"/>
          <w:highlight w:val="none"/>
          <w:lang w:bidi="ar"/>
        </w:rPr>
        <w:t>个属经常性项目、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个属当年度新增项目，已完成项目</w:t>
      </w:r>
      <w:r>
        <w:rPr>
          <w:rStyle w:val="10"/>
          <w:rFonts w:hint="eastAsia" w:ascii="仿宋_GB2312" w:hAnsi="仿宋_GB2312" w:eastAsia="仿宋_GB2312" w:cs="仿宋_GB2312"/>
          <w:b w:val="0"/>
          <w:color w:val="auto"/>
          <w:sz w:val="32"/>
          <w:szCs w:val="32"/>
          <w:highlight w:val="none"/>
          <w:lang w:val="en-US" w:eastAsia="zh-CN" w:bidi="ar"/>
        </w:rPr>
        <w:t>2</w:t>
      </w:r>
      <w:r>
        <w:rPr>
          <w:rStyle w:val="10"/>
          <w:rFonts w:hint="eastAsia" w:ascii="仿宋_GB2312" w:hAnsi="仿宋_GB2312" w:eastAsia="仿宋_GB2312" w:cs="仿宋_GB2312"/>
          <w:b w:val="0"/>
          <w:color w:val="auto"/>
          <w:sz w:val="32"/>
          <w:szCs w:val="32"/>
          <w:highlight w:val="none"/>
          <w:lang w:bidi="ar"/>
        </w:rPr>
        <w:t>个、未完成项目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3个以内的项目分项说明：本年我单位供实施2个项目，金额11.43万元，分别为2021年征订报刊杂志项目，2万元；2019年美术馆、公共图书馆、文化馆（站）免费开放补助资金项目，9.43万元；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（一）2021年征订报刊杂志项目专项组织情况分析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马晓红、杨蓉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（二）2019年美术馆、公共图书馆、文化馆（站）免费开放补助资金项目专项组织情况分析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马晓红、杨蓉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2021年征订报刊杂志项目预算资金2万元，实际到位2万元，实际支出2万元；2019年美术馆、公共图书馆、文化馆（站）免费开放补助资金项目预算资金15万元，实际到位15万元，实际支出9.43万元。到位足额及时，预算编制依据充分，预算编制准确，资金不存在截留、挪用，支付审批合规、不存在用途改变、范围超支和虚列项目支出等情况；本项目严格按照《单位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项目组织情况：</w:t>
      </w:r>
      <w:r>
        <w:rPr>
          <w:rStyle w:val="10"/>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项目管理情况：</w:t>
      </w:r>
      <w:r>
        <w:rPr>
          <w:rStyle w:val="10"/>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项目监管情况：</w:t>
      </w:r>
      <w:r>
        <w:rPr>
          <w:rStyle w:val="10"/>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成本控制情况：</w:t>
      </w:r>
      <w:r>
        <w:rPr>
          <w:rStyle w:val="10"/>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成本节约情况：</w:t>
      </w:r>
      <w:r>
        <w:rPr>
          <w:rStyle w:val="10"/>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项目实施进度：</w:t>
      </w:r>
      <w:r>
        <w:rPr>
          <w:rStyle w:val="10"/>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项目完成质量：</w:t>
      </w:r>
      <w:r>
        <w:rPr>
          <w:rStyle w:val="10"/>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预期目标完成程度：</w:t>
      </w:r>
      <w:r>
        <w:rPr>
          <w:rStyle w:val="10"/>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项目实施对效益的影响：</w:t>
      </w:r>
      <w:r>
        <w:rPr>
          <w:rStyle w:val="10"/>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4" w:name="_Toc27846_WPSOffice_Level1"/>
      <w:r>
        <w:rPr>
          <w:rStyle w:val="10"/>
          <w:rFonts w:hint="eastAsia" w:ascii="仿宋_GB2312" w:hAnsi="仿宋_GB2312" w:eastAsia="仿宋_GB2312" w:cs="仿宋_GB2312"/>
          <w:b/>
          <w:bCs/>
          <w:spacing w:val="-4"/>
          <w:sz w:val="32"/>
          <w:szCs w:val="32"/>
          <w:highlight w:val="none"/>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一）资产管理规范性</w:t>
      </w:r>
    </w:p>
    <w:p>
      <w:pPr>
        <w:pStyle w:val="11"/>
        <w:snapToGrid w:val="0"/>
        <w:spacing w:line="540" w:lineRule="exact"/>
        <w:rPr>
          <w:rFonts w:hint="default" w:ascii="仿宋" w:hAnsi="仿宋" w:eastAsia="仿宋" w:cs="宋体"/>
          <w:b/>
          <w:bCs w:val="0"/>
          <w:color w:val="FF0000"/>
          <w:sz w:val="32"/>
          <w:szCs w:val="32"/>
          <w:lang w:val="en-US" w:eastAsia="zh-CN" w:bidi="ar"/>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年资产合计数为</w:t>
      </w:r>
      <w:r>
        <w:rPr>
          <w:rFonts w:hint="eastAsia" w:ascii="仿宋" w:hAnsi="仿宋" w:eastAsia="仿宋" w:cs="宋体"/>
          <w:bCs/>
          <w:color w:val="333333"/>
          <w:sz w:val="32"/>
          <w:szCs w:val="32"/>
          <w:lang w:val="en-US" w:eastAsia="zh-CN" w:bidi="ar"/>
        </w:rPr>
        <w:t>32.21</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8.55</w:t>
      </w:r>
      <w:r>
        <w:rPr>
          <w:rFonts w:hint="eastAsia" w:ascii="仿宋" w:hAnsi="仿宋" w:eastAsia="仿宋" w:cs="宋体"/>
          <w:bCs/>
          <w:color w:val="333333"/>
          <w:sz w:val="32"/>
          <w:szCs w:val="32"/>
          <w:lang w:eastAsia="zh-CN" w:bidi="ar"/>
        </w:rPr>
        <w:t>万元，主要原因是</w:t>
      </w:r>
      <w:r>
        <w:rPr>
          <w:rFonts w:hint="eastAsia" w:ascii="仿宋" w:hAnsi="仿宋" w:eastAsia="仿宋" w:cs="宋体"/>
          <w:bCs/>
          <w:color w:val="333333"/>
          <w:sz w:val="32"/>
          <w:szCs w:val="32"/>
          <w:lang w:val="en-US" w:eastAsia="zh-CN" w:bidi="ar"/>
        </w:rPr>
        <w:t>发放2020年度30%阳光工资</w:t>
      </w:r>
      <w:r>
        <w:rPr>
          <w:rFonts w:hint="eastAsia" w:ascii="仿宋" w:hAnsi="仿宋" w:eastAsia="仿宋" w:cs="宋体"/>
          <w:bCs/>
          <w:color w:val="333333"/>
          <w:sz w:val="32"/>
          <w:szCs w:val="32"/>
          <w:lang w:eastAsia="zh-CN" w:bidi="ar"/>
        </w:rPr>
        <w:t>，货币资金减少；</w:t>
      </w:r>
      <w:r>
        <w:rPr>
          <w:rFonts w:hint="eastAsia" w:ascii="仿宋" w:hAnsi="仿宋" w:eastAsia="仿宋" w:cs="宋体"/>
          <w:bCs/>
          <w:color w:val="333333"/>
          <w:sz w:val="32"/>
          <w:szCs w:val="32"/>
          <w:lang w:val="en-US" w:eastAsia="zh-CN" w:bidi="ar"/>
        </w:rPr>
        <w:t>固定资产累计折旧增加等原因</w:t>
      </w:r>
      <w:r>
        <w:rPr>
          <w:rFonts w:hint="eastAsia" w:ascii="仿宋" w:hAnsi="仿宋" w:eastAsia="仿宋" w:cs="宋体"/>
          <w:bCs/>
          <w:color w:val="333333"/>
          <w:sz w:val="32"/>
          <w:szCs w:val="32"/>
          <w:lang w:eastAsia="zh-CN" w:bidi="ar"/>
        </w:rPr>
        <w:t>，其中：货币资金</w:t>
      </w:r>
      <w:r>
        <w:rPr>
          <w:rFonts w:hint="eastAsia" w:ascii="仿宋" w:hAnsi="仿宋" w:eastAsia="仿宋" w:cs="宋体"/>
          <w:bCs/>
          <w:color w:val="333333"/>
          <w:sz w:val="32"/>
          <w:szCs w:val="32"/>
          <w:lang w:val="en-US" w:eastAsia="zh-CN" w:bidi="ar"/>
        </w:rPr>
        <w:t>6.53</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3.01</w:t>
      </w:r>
      <w:r>
        <w:rPr>
          <w:rFonts w:hint="eastAsia" w:ascii="仿宋" w:hAnsi="仿宋" w:eastAsia="仿宋" w:cs="宋体"/>
          <w:bCs/>
          <w:color w:val="333333"/>
          <w:sz w:val="32"/>
          <w:szCs w:val="32"/>
          <w:lang w:eastAsia="zh-CN" w:bidi="ar"/>
        </w:rPr>
        <w:t>万元；财政应返还额度</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auto"/>
          <w:sz w:val="32"/>
          <w:szCs w:val="32"/>
          <w:lang w:eastAsia="zh-CN" w:bidi="ar"/>
        </w:rPr>
        <w:t>，比上年相比无变化</w:t>
      </w:r>
      <w:r>
        <w:rPr>
          <w:rFonts w:hint="eastAsia" w:ascii="仿宋" w:hAnsi="仿宋" w:eastAsia="仿宋" w:cs="宋体"/>
          <w:bCs/>
          <w:color w:val="333333"/>
          <w:sz w:val="32"/>
          <w:szCs w:val="32"/>
          <w:lang w:eastAsia="zh-CN" w:bidi="ar"/>
        </w:rPr>
        <w:t>；房屋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平方米</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auto"/>
          <w:sz w:val="32"/>
          <w:szCs w:val="32"/>
          <w:lang w:eastAsia="zh-CN" w:bidi="ar"/>
        </w:rPr>
        <w:t>车辆</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辆</w:t>
      </w:r>
      <w:r>
        <w:rPr>
          <w:rFonts w:hint="eastAsia" w:ascii="仿宋" w:hAnsi="仿宋" w:eastAsia="仿宋" w:cs="宋体"/>
          <w:bCs/>
          <w:color w:val="auto"/>
          <w:sz w:val="32"/>
          <w:szCs w:val="32"/>
          <w:lang w:val="en-US" w:eastAsia="zh-CN" w:bidi="ar"/>
        </w:rPr>
        <w:t>原值19.45</w:t>
      </w:r>
      <w:r>
        <w:rPr>
          <w:rFonts w:hint="eastAsia" w:ascii="仿宋" w:hAnsi="仿宋" w:eastAsia="仿宋" w:cs="宋体"/>
          <w:bCs/>
          <w:color w:val="auto"/>
          <w:sz w:val="32"/>
          <w:szCs w:val="32"/>
          <w:lang w:eastAsia="zh-CN" w:bidi="ar"/>
        </w:rPr>
        <w:t>万元</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val="en-US" w:eastAsia="zh-CN" w:bidi="ar"/>
        </w:rPr>
        <w:t>净值1.82万元，</w:t>
      </w:r>
      <w:r>
        <w:rPr>
          <w:rFonts w:hint="eastAsia" w:ascii="仿宋" w:hAnsi="仿宋" w:eastAsia="仿宋" w:cs="宋体"/>
          <w:bCs/>
          <w:color w:val="auto"/>
          <w:sz w:val="32"/>
          <w:szCs w:val="32"/>
          <w:lang w:eastAsia="zh-CN" w:bidi="ar"/>
        </w:rPr>
        <w:t>与上年相比</w:t>
      </w:r>
      <w:r>
        <w:rPr>
          <w:rFonts w:hint="eastAsia" w:ascii="仿宋" w:hAnsi="仿宋" w:eastAsia="仿宋" w:cs="宋体"/>
          <w:bCs/>
          <w:color w:val="auto"/>
          <w:sz w:val="32"/>
          <w:szCs w:val="32"/>
          <w:lang w:val="en-US" w:eastAsia="zh-CN" w:bidi="ar"/>
        </w:rPr>
        <w:t>资产减少2.43万元，主要原因是固定资产</w:t>
      </w:r>
      <w:bookmarkStart w:id="8" w:name="_GoBack"/>
      <w:bookmarkEnd w:id="8"/>
      <w:r>
        <w:rPr>
          <w:rFonts w:hint="eastAsia" w:ascii="仿宋" w:hAnsi="仿宋" w:eastAsia="仿宋" w:cs="宋体"/>
          <w:bCs/>
          <w:color w:val="auto"/>
          <w:sz w:val="32"/>
          <w:szCs w:val="32"/>
          <w:lang w:val="en-US" w:eastAsia="zh-CN" w:bidi="ar"/>
        </w:rPr>
        <w:t>累计折旧增加</w:t>
      </w:r>
      <w:r>
        <w:rPr>
          <w:rFonts w:hint="eastAsia" w:ascii="仿宋" w:hAnsi="仿宋" w:eastAsia="仿宋" w:cs="宋体"/>
          <w:bCs/>
          <w:color w:val="auto"/>
          <w:sz w:val="32"/>
          <w:szCs w:val="32"/>
          <w:lang w:eastAsia="zh-CN" w:bidi="ar"/>
        </w:rPr>
        <w:t>；在</w:t>
      </w:r>
      <w:r>
        <w:rPr>
          <w:rFonts w:hint="eastAsia" w:ascii="仿宋" w:hAnsi="仿宋" w:eastAsia="仿宋" w:cs="宋体"/>
          <w:bCs/>
          <w:color w:val="333333"/>
          <w:sz w:val="32"/>
          <w:szCs w:val="32"/>
          <w:lang w:eastAsia="zh-CN" w:bidi="ar"/>
        </w:rPr>
        <w:t>建工程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auto"/>
          <w:sz w:val="32"/>
          <w:szCs w:val="32"/>
          <w:lang w:eastAsia="zh-CN" w:bidi="ar"/>
        </w:rPr>
        <w:t>与上年持平</w:t>
      </w:r>
      <w:r>
        <w:rPr>
          <w:rFonts w:hint="eastAsia" w:ascii="仿宋" w:hAnsi="仿宋" w:eastAsia="仿宋" w:cs="宋体"/>
          <w:bCs/>
          <w:color w:val="333333"/>
          <w:sz w:val="32"/>
          <w:szCs w:val="32"/>
          <w:lang w:eastAsia="zh-CN" w:bidi="ar"/>
        </w:rPr>
        <w:t>；</w:t>
      </w:r>
      <w:r>
        <w:rPr>
          <w:rFonts w:hint="eastAsia" w:ascii="仿宋" w:hAnsi="仿宋" w:eastAsia="仿宋" w:cs="宋体"/>
          <w:bCs/>
          <w:color w:val="auto"/>
          <w:sz w:val="32"/>
          <w:szCs w:val="32"/>
          <w:lang w:eastAsia="zh-CN" w:bidi="ar"/>
        </w:rPr>
        <w:t>办公设备及家具</w:t>
      </w:r>
      <w:r>
        <w:rPr>
          <w:rFonts w:hint="eastAsia" w:ascii="仿宋" w:hAnsi="仿宋" w:eastAsia="仿宋" w:cs="宋体"/>
          <w:bCs/>
          <w:color w:val="auto"/>
          <w:sz w:val="32"/>
          <w:szCs w:val="32"/>
          <w:lang w:val="en-US" w:eastAsia="zh-CN" w:bidi="ar"/>
        </w:rPr>
        <w:t>原值48.76</w:t>
      </w:r>
      <w:r>
        <w:rPr>
          <w:rFonts w:hint="eastAsia" w:ascii="仿宋" w:hAnsi="仿宋" w:eastAsia="仿宋" w:cs="宋体"/>
          <w:bCs/>
          <w:color w:val="auto"/>
          <w:sz w:val="32"/>
          <w:szCs w:val="32"/>
          <w:lang w:eastAsia="zh-CN" w:bidi="ar"/>
        </w:rPr>
        <w:t>万元，</w:t>
      </w:r>
      <w:r>
        <w:rPr>
          <w:rFonts w:hint="eastAsia" w:ascii="仿宋" w:hAnsi="仿宋" w:eastAsia="仿宋" w:cs="宋体"/>
          <w:bCs/>
          <w:color w:val="auto"/>
          <w:sz w:val="32"/>
          <w:szCs w:val="32"/>
          <w:lang w:val="en-US" w:eastAsia="zh-CN" w:bidi="ar"/>
        </w:rPr>
        <w:t>净值23.86万元</w:t>
      </w:r>
      <w:r>
        <w:rPr>
          <w:rFonts w:hint="eastAsia" w:ascii="仿宋" w:hAnsi="仿宋" w:eastAsia="仿宋" w:cs="宋体"/>
          <w:bCs/>
          <w:color w:val="auto"/>
          <w:sz w:val="32"/>
          <w:szCs w:val="32"/>
          <w:lang w:eastAsia="zh-CN" w:bidi="ar"/>
        </w:rPr>
        <w:t>，与上年相比</w:t>
      </w:r>
      <w:r>
        <w:rPr>
          <w:rFonts w:hint="eastAsia" w:ascii="仿宋" w:hAnsi="仿宋" w:eastAsia="仿宋" w:cs="宋体"/>
          <w:bCs/>
          <w:color w:val="auto"/>
          <w:sz w:val="32"/>
          <w:szCs w:val="32"/>
          <w:lang w:val="en-US" w:eastAsia="zh-CN" w:bidi="ar"/>
        </w:rPr>
        <w:t>资产减少3.11万元，主要原因是固定资产累计折旧增加</w:t>
      </w:r>
      <w:r>
        <w:rPr>
          <w:rFonts w:hint="eastAsia" w:ascii="仿宋" w:hAnsi="仿宋" w:eastAsia="仿宋" w:cs="宋体"/>
          <w:bCs/>
          <w:color w:val="auto"/>
          <w:sz w:val="32"/>
          <w:szCs w:val="32"/>
          <w:lang w:eastAsia="zh-CN" w:bidi="ar"/>
        </w:rPr>
        <w:t>。我单位本年无资产处置情况，资产配置合理，使用规范，安</w:t>
      </w:r>
      <w:r>
        <w:rPr>
          <w:rFonts w:hint="eastAsia" w:ascii="仿宋" w:hAnsi="仿宋" w:eastAsia="仿宋" w:cs="宋体"/>
          <w:bCs/>
          <w:color w:val="000000" w:themeColor="text1"/>
          <w:sz w:val="32"/>
          <w:szCs w:val="32"/>
          <w:lang w:eastAsia="zh-CN" w:bidi="ar"/>
          <w14:textFill>
            <w14:solidFill>
              <w14:schemeClr w14:val="tx1"/>
            </w14:solidFill>
          </w14:textFill>
        </w:rPr>
        <w:t>全完整。</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68.21</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套房屋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19.45</w:t>
      </w:r>
      <w:r>
        <w:rPr>
          <w:rFonts w:hint="eastAsia" w:ascii="仿宋" w:hAnsi="仿宋" w:eastAsia="仿宋" w:cs="宋体"/>
          <w:bCs/>
          <w:color w:val="333333"/>
          <w:sz w:val="32"/>
          <w:szCs w:val="32"/>
          <w:lang w:eastAsia="zh-CN" w:bidi="ar"/>
        </w:rPr>
        <w:t>万元，办公设备</w:t>
      </w:r>
      <w:r>
        <w:rPr>
          <w:rFonts w:hint="eastAsia" w:ascii="仿宋" w:hAnsi="仿宋" w:eastAsia="仿宋" w:cs="宋体"/>
          <w:bCs/>
          <w:color w:val="333333"/>
          <w:sz w:val="32"/>
          <w:szCs w:val="32"/>
          <w:lang w:val="en-US" w:eastAsia="zh-CN" w:bidi="ar"/>
        </w:rPr>
        <w:t>48.76</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68.21</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1"/>
        <w:snapToGrid w:val="0"/>
        <w:spacing w:line="540" w:lineRule="exact"/>
        <w:rPr>
          <w:rStyle w:val="10"/>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0"/>
          <w:rFonts w:hint="eastAsia" w:ascii="仿宋" w:hAnsi="仿宋" w:eastAsia="仿宋"/>
          <w:b w:val="0"/>
          <w:bCs w:val="0"/>
          <w:spacing w:val="-4"/>
          <w:sz w:val="32"/>
          <w:szCs w:val="32"/>
          <w:lang w:val="en-US" w:eastAsia="zh-CN"/>
        </w:rPr>
        <w:t>3.</w:t>
      </w:r>
      <w:r>
        <w:rPr>
          <w:rStyle w:val="10"/>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auto"/>
          <w:spacing w:val="-4"/>
          <w:sz w:val="32"/>
          <w:szCs w:val="32"/>
          <w:highlight w:val="none"/>
        </w:rPr>
      </w:pPr>
      <w:r>
        <w:rPr>
          <w:rStyle w:val="10"/>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截止本年度固定资产账面净值25.68万元，年末实际在用固定资产25.68万元，固定资产利用率为100%。</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5" w:name="_Toc13582_WPSOffice_Level1"/>
      <w:r>
        <w:rPr>
          <w:rStyle w:val="10"/>
          <w:rFonts w:hint="eastAsia" w:ascii="仿宋_GB2312" w:hAnsi="仿宋_GB2312" w:eastAsia="仿宋_GB2312" w:cs="仿宋_GB2312"/>
          <w:b/>
          <w:bCs/>
          <w:spacing w:val="-4"/>
          <w:sz w:val="32"/>
          <w:szCs w:val="32"/>
          <w:highlight w:val="none"/>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部门单位整体支出</w:t>
      </w:r>
      <w:r>
        <w:rPr>
          <w:rStyle w:val="10"/>
          <w:rFonts w:hint="eastAsia" w:ascii="仿宋_GB2312" w:hAnsi="仿宋_GB2312" w:eastAsia="仿宋_GB2312" w:cs="仿宋_GB2312"/>
          <w:b w:val="0"/>
          <w:bCs w:val="0"/>
          <w:color w:val="auto"/>
          <w:spacing w:val="-4"/>
          <w:sz w:val="32"/>
          <w:szCs w:val="32"/>
          <w:highlight w:val="none"/>
          <w:lang w:eastAsia="zh-CN"/>
        </w:rPr>
        <w:t>自评表，</w:t>
      </w:r>
      <w:r>
        <w:rPr>
          <w:rStyle w:val="10"/>
          <w:rFonts w:hint="eastAsia" w:ascii="仿宋_GB2312" w:hAnsi="仿宋_GB2312" w:eastAsia="仿宋_GB2312" w:cs="仿宋_GB2312"/>
          <w:b w:val="0"/>
          <w:bCs w:val="0"/>
          <w:color w:val="auto"/>
          <w:spacing w:val="-4"/>
          <w:sz w:val="32"/>
          <w:szCs w:val="32"/>
          <w:highlight w:val="none"/>
        </w:rPr>
        <w:t>共设置一级指标3个，二级指标</w:t>
      </w:r>
      <w:r>
        <w:rPr>
          <w:rStyle w:val="10"/>
          <w:rFonts w:hint="eastAsia" w:ascii="仿宋_GB2312" w:hAnsi="仿宋_GB2312" w:eastAsia="仿宋_GB2312" w:cs="仿宋_GB2312"/>
          <w:b w:val="0"/>
          <w:bCs w:val="0"/>
          <w:color w:val="auto"/>
          <w:spacing w:val="-4"/>
          <w:sz w:val="32"/>
          <w:szCs w:val="32"/>
          <w:highlight w:val="none"/>
          <w:lang w:val="en-US" w:eastAsia="zh-CN"/>
        </w:rPr>
        <w:t>7</w:t>
      </w:r>
      <w:r>
        <w:rPr>
          <w:rStyle w:val="10"/>
          <w:rFonts w:hint="eastAsia" w:ascii="仿宋_GB2312" w:hAnsi="仿宋_GB2312" w:eastAsia="仿宋_GB2312" w:cs="仿宋_GB2312"/>
          <w:b w:val="0"/>
          <w:bCs w:val="0"/>
          <w:color w:val="auto"/>
          <w:spacing w:val="-4"/>
          <w:sz w:val="32"/>
          <w:szCs w:val="32"/>
          <w:highlight w:val="none"/>
        </w:rPr>
        <w:t>个，三级指标</w:t>
      </w:r>
      <w:r>
        <w:rPr>
          <w:rStyle w:val="10"/>
          <w:rFonts w:hint="eastAsia" w:ascii="仿宋_GB2312" w:hAnsi="仿宋_GB2312" w:eastAsia="仿宋_GB2312" w:cs="仿宋_GB2312"/>
          <w:b w:val="0"/>
          <w:bCs w:val="0"/>
          <w:color w:val="auto"/>
          <w:spacing w:val="-4"/>
          <w:sz w:val="32"/>
          <w:szCs w:val="32"/>
          <w:highlight w:val="none"/>
          <w:lang w:val="en-US" w:eastAsia="zh-CN"/>
        </w:rPr>
        <w:t>18</w:t>
      </w:r>
      <w:r>
        <w:rPr>
          <w:rStyle w:val="10"/>
          <w:rFonts w:hint="eastAsia" w:ascii="仿宋_GB2312" w:hAnsi="仿宋_GB2312" w:eastAsia="仿宋_GB2312" w:cs="仿宋_GB2312"/>
          <w:b w:val="0"/>
          <w:bCs w:val="0"/>
          <w:color w:val="auto"/>
          <w:spacing w:val="-4"/>
          <w:sz w:val="32"/>
          <w:szCs w:val="32"/>
          <w:highlight w:val="none"/>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w:t>
      </w:r>
      <w:r>
        <w:rPr>
          <w:rStyle w:val="10"/>
          <w:rFonts w:hint="eastAsia" w:ascii="仿宋_GB2312" w:hAnsi="仿宋_GB2312" w:eastAsia="仿宋_GB2312" w:cs="仿宋_GB2312"/>
          <w:b/>
          <w:bCs/>
          <w:spacing w:val="-4"/>
          <w:sz w:val="32"/>
          <w:szCs w:val="32"/>
          <w:highlight w:val="none"/>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1.产出</w:t>
      </w:r>
      <w:r>
        <w:rPr>
          <w:rStyle w:val="10"/>
          <w:rFonts w:hint="eastAsia" w:ascii="仿宋_GB2312" w:hAnsi="仿宋_GB2312" w:eastAsia="仿宋_GB2312" w:cs="仿宋_GB2312"/>
          <w:b/>
          <w:bCs/>
          <w:spacing w:val="-4"/>
          <w:sz w:val="32"/>
          <w:szCs w:val="32"/>
          <w:highlight w:val="none"/>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保障职工人数（人）指标，预期指标是等于</w:t>
      </w:r>
      <w:r>
        <w:rPr>
          <w:rFonts w:hint="eastAsia" w:ascii="仿宋" w:hAnsi="仿宋" w:eastAsia="仿宋" w:cs="宋体"/>
          <w:bCs/>
          <w:color w:val="auto"/>
          <w:sz w:val="32"/>
          <w:szCs w:val="32"/>
          <w:lang w:val="en-US" w:eastAsia="zh-CN" w:bidi="ar"/>
        </w:rPr>
        <w:t>12</w:t>
      </w:r>
      <w:r>
        <w:rPr>
          <w:rStyle w:val="10"/>
          <w:rFonts w:hint="eastAsia" w:ascii="仿宋_GB2312" w:hAnsi="仿宋_GB2312" w:eastAsia="仿宋_GB2312" w:cs="仿宋_GB2312"/>
          <w:b w:val="0"/>
          <w:bCs w:val="0"/>
          <w:color w:val="auto"/>
          <w:spacing w:val="-4"/>
          <w:sz w:val="32"/>
          <w:szCs w:val="32"/>
          <w:highlight w:val="none"/>
          <w:lang w:val="en-US" w:eastAsia="zh-CN"/>
        </w:rPr>
        <w:t>人，实际完成值是</w:t>
      </w:r>
      <w:r>
        <w:rPr>
          <w:rFonts w:hint="eastAsia" w:ascii="仿宋" w:hAnsi="仿宋" w:eastAsia="仿宋" w:cs="宋体"/>
          <w:bCs/>
          <w:color w:val="auto"/>
          <w:sz w:val="32"/>
          <w:szCs w:val="32"/>
          <w:lang w:val="en-US" w:eastAsia="zh-CN" w:bidi="ar"/>
        </w:rPr>
        <w:t>12</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办公用品购买次数（次/年）指标，预期指标是等于</w:t>
      </w:r>
      <w:r>
        <w:rPr>
          <w:rFonts w:hint="eastAsia" w:ascii="仿宋" w:hAnsi="仿宋" w:eastAsia="仿宋" w:cs="宋体"/>
          <w:bCs/>
          <w:color w:val="auto"/>
          <w:sz w:val="32"/>
          <w:szCs w:val="32"/>
          <w:lang w:val="en-US" w:eastAsia="zh-CN" w:bidi="ar"/>
        </w:rPr>
        <w:t>3次/年</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3次/年</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印刷费支付次数（次/年）指标，预期指标是等于1次/年，实际完成值是1次/年，指标完成率是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征订报刊杂志次数（次/年）指标，预期指标是等于1次/年，实际完成值是1次/年，指标完成率是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保障车辆数（辆）指标，预期指标是等于1辆，实际完成值是1辆，指标完成率是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数量指标共计</w:t>
      </w:r>
      <w:r>
        <w:rPr>
          <w:rFonts w:hint="eastAsia" w:ascii="仿宋" w:hAnsi="仿宋" w:eastAsia="仿宋" w:cs="宋体"/>
          <w:bCs/>
          <w:color w:val="auto"/>
          <w:sz w:val="32"/>
          <w:szCs w:val="32"/>
          <w:lang w:val="en-US" w:eastAsia="zh-CN" w:bidi="ar"/>
        </w:rPr>
        <w:t>5</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5</w:t>
      </w:r>
      <w:r>
        <w:rPr>
          <w:rStyle w:val="10"/>
          <w:rFonts w:hint="eastAsia" w:ascii="仿宋_GB2312" w:hAnsi="仿宋_GB2312" w:eastAsia="仿宋_GB2312" w:cs="仿宋_GB2312"/>
          <w:b w:val="0"/>
          <w:bCs w:val="0"/>
          <w:color w:val="auto"/>
          <w:spacing w:val="-4"/>
          <w:sz w:val="32"/>
          <w:szCs w:val="32"/>
          <w:highlight w:val="none"/>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2.产出</w:t>
      </w:r>
      <w:r>
        <w:rPr>
          <w:rStyle w:val="10"/>
          <w:rFonts w:hint="eastAsia" w:ascii="仿宋_GB2312" w:hAnsi="仿宋_GB2312" w:eastAsia="仿宋_GB2312" w:cs="仿宋_GB2312"/>
          <w:b/>
          <w:bCs/>
          <w:spacing w:val="-4"/>
          <w:sz w:val="32"/>
          <w:szCs w:val="32"/>
          <w:highlight w:val="none"/>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工资足额发放率（%）指标，预期指标是等于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车辆保险及时购买率（%）指标，预期指标是等于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车辆维修及时率（%）指标，预期指标是等于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征订报刊杂志合格率（%）指标，预期指标是等于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0"/>
          <w:rFonts w:hint="eastAsia" w:ascii="仿宋_GB2312" w:hAnsi="仿宋_GB2312" w:eastAsia="仿宋_GB2312" w:cs="仿宋_GB2312"/>
          <w:b w:val="0"/>
          <w:bCs w:val="0"/>
          <w:color w:val="auto"/>
          <w:spacing w:val="-4"/>
          <w:sz w:val="32"/>
          <w:szCs w:val="32"/>
          <w:highlight w:val="none"/>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rPr>
      </w:pPr>
      <w:r>
        <w:rPr>
          <w:rStyle w:val="10"/>
          <w:rFonts w:hint="eastAsia" w:ascii="仿宋_GB2312" w:hAnsi="仿宋_GB2312" w:eastAsia="仿宋_GB2312" w:cs="仿宋_GB2312"/>
          <w:b/>
          <w:bCs/>
          <w:i w:val="0"/>
          <w:iCs w:val="0"/>
          <w:spacing w:val="-4"/>
          <w:sz w:val="32"/>
          <w:szCs w:val="32"/>
          <w:highlight w:val="none"/>
          <w:lang w:val="en-US" w:eastAsia="zh-CN"/>
        </w:rPr>
        <w:t>3.产出进</w:t>
      </w:r>
      <w:r>
        <w:rPr>
          <w:rStyle w:val="10"/>
          <w:rFonts w:hint="eastAsia" w:ascii="仿宋_GB2312" w:hAnsi="仿宋_GB2312" w:eastAsia="仿宋_GB2312" w:cs="仿宋_GB2312"/>
          <w:b/>
          <w:bCs/>
          <w:i w:val="0"/>
          <w:iCs w:val="0"/>
          <w:spacing w:val="-4"/>
          <w:sz w:val="32"/>
          <w:szCs w:val="32"/>
          <w:highlight w:val="none"/>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人员经费（万元）指标，预期指标是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小于</w:t>
      </w:r>
      <w:r>
        <w:rPr>
          <w:rStyle w:val="10"/>
          <w:rFonts w:hint="eastAsia" w:ascii="仿宋_GB2312" w:hAnsi="仿宋_GB2312" w:eastAsia="仿宋_GB2312" w:cs="仿宋_GB2312"/>
          <w:b w:val="0"/>
          <w:bCs w:val="0"/>
          <w:color w:val="auto"/>
          <w:spacing w:val="-4"/>
          <w:sz w:val="32"/>
          <w:szCs w:val="32"/>
          <w:highlight w:val="none"/>
        </w:rPr>
        <w:t>等于</w:t>
      </w:r>
      <w:r>
        <w:rPr>
          <w:rStyle w:val="10"/>
          <w:rFonts w:hint="eastAsia" w:ascii="仿宋_GB2312" w:hAnsi="仿宋_GB2312" w:eastAsia="仿宋_GB2312" w:cs="仿宋_GB2312"/>
          <w:b w:val="0"/>
          <w:bCs w:val="0"/>
          <w:color w:val="auto"/>
          <w:spacing w:val="-4"/>
          <w:sz w:val="32"/>
          <w:szCs w:val="32"/>
          <w:highlight w:val="none"/>
          <w:lang w:val="en-US" w:eastAsia="zh-CN"/>
        </w:rPr>
        <w:t>112.77</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112.77</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r>
        <w:rPr>
          <w:rStyle w:val="10"/>
          <w:rFonts w:hint="eastAsia" w:ascii="仿宋_GB2312" w:hAnsi="仿宋_GB2312" w:eastAsia="仿宋_GB2312" w:cs="仿宋_GB2312"/>
          <w:b w:val="0"/>
          <w:bCs w:val="0"/>
          <w:color w:val="auto"/>
          <w:spacing w:val="-4"/>
          <w:sz w:val="32"/>
          <w:szCs w:val="32"/>
          <w:highlight w:val="none"/>
          <w:lang w:val="en-US"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rPr>
        <w:t>公用经费（万元）指标，预期指标是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小于</w:t>
      </w:r>
      <w:r>
        <w:rPr>
          <w:rStyle w:val="10"/>
          <w:rFonts w:hint="eastAsia" w:ascii="仿宋_GB2312" w:hAnsi="仿宋_GB2312" w:eastAsia="仿宋_GB2312" w:cs="仿宋_GB2312"/>
          <w:b w:val="0"/>
          <w:bCs w:val="0"/>
          <w:color w:val="auto"/>
          <w:spacing w:val="-4"/>
          <w:sz w:val="32"/>
          <w:szCs w:val="32"/>
          <w:highlight w:val="none"/>
        </w:rPr>
        <w:t>等于</w:t>
      </w:r>
      <w:r>
        <w:rPr>
          <w:rStyle w:val="10"/>
          <w:rFonts w:hint="eastAsia" w:ascii="仿宋_GB2312" w:hAnsi="仿宋_GB2312" w:eastAsia="仿宋_GB2312" w:cs="仿宋_GB2312"/>
          <w:b w:val="0"/>
          <w:bCs w:val="0"/>
          <w:color w:val="auto"/>
          <w:spacing w:val="-4"/>
          <w:sz w:val="32"/>
          <w:szCs w:val="32"/>
          <w:highlight w:val="none"/>
          <w:lang w:val="en-US" w:eastAsia="zh-CN"/>
        </w:rPr>
        <w:t>2.65</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0.66</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24.91</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w:t>
      </w:r>
      <w:r>
        <w:rPr>
          <w:rStyle w:val="10"/>
          <w:rFonts w:hint="eastAsia" w:ascii="仿宋_GB2312" w:hAnsi="仿宋_GB2312" w:eastAsia="仿宋_GB2312" w:cs="仿宋_GB2312"/>
          <w:b w:val="0"/>
          <w:bCs w:val="0"/>
          <w:color w:val="auto"/>
          <w:spacing w:val="-4"/>
          <w:sz w:val="32"/>
          <w:szCs w:val="32"/>
          <w:highlight w:val="none"/>
          <w:lang w:val="en-US" w:eastAsia="zh-CN"/>
        </w:rPr>
        <w:t>未超过预期指标，</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r>
        <w:rPr>
          <w:rStyle w:val="10"/>
          <w:rFonts w:hint="eastAsia" w:ascii="仿宋_GB2312" w:hAnsi="仿宋_GB2312" w:eastAsia="仿宋_GB2312" w:cs="仿宋_GB2312"/>
          <w:b w:val="0"/>
          <w:bCs w:val="0"/>
          <w:color w:val="auto"/>
          <w:spacing w:val="-4"/>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FF"/>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项目经费</w:t>
      </w:r>
      <w:r>
        <w:rPr>
          <w:rStyle w:val="10"/>
          <w:rFonts w:hint="eastAsia" w:ascii="仿宋_GB2312" w:hAnsi="仿宋_GB2312" w:eastAsia="仿宋_GB2312" w:cs="仿宋_GB2312"/>
          <w:b w:val="0"/>
          <w:bCs w:val="0"/>
          <w:color w:val="auto"/>
          <w:spacing w:val="-4"/>
          <w:sz w:val="32"/>
          <w:szCs w:val="32"/>
          <w:highlight w:val="none"/>
        </w:rPr>
        <w:t>（万元）指标，预期指标是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小于</w:t>
      </w:r>
      <w:r>
        <w:rPr>
          <w:rStyle w:val="10"/>
          <w:rFonts w:hint="eastAsia" w:ascii="仿宋_GB2312" w:hAnsi="仿宋_GB2312" w:eastAsia="仿宋_GB2312" w:cs="仿宋_GB2312"/>
          <w:b w:val="0"/>
          <w:bCs w:val="0"/>
          <w:color w:val="auto"/>
          <w:spacing w:val="-4"/>
          <w:sz w:val="32"/>
          <w:szCs w:val="32"/>
          <w:highlight w:val="none"/>
        </w:rPr>
        <w:t>等于</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r>
        <w:rPr>
          <w:rStyle w:val="10"/>
          <w:rFonts w:hint="eastAsia" w:ascii="仿宋_GB2312" w:hAnsi="仿宋_GB2312" w:eastAsia="仿宋_GB2312" w:cs="仿宋_GB2312"/>
          <w:b w:val="0"/>
          <w:bCs w:val="0"/>
          <w:color w:val="auto"/>
          <w:spacing w:val="-4"/>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成本指标共计</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提升业务保障能力指标，预期指标是有效提升，实际完成值是有效提升，指标完成率是100%，达到单位履职能力对社会带来的影响预期目标；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保障单位防护措施指标，预期指标是有效保障，实际完成值是有效提升，指标完成率是100%，达到单位履职能力对社会带来的影响预期目标；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提升职工工作积极性指标，预期指标是有效提升，实际完成值是有效提升，指标完成率是100%，达到单位履职能力对社会带来的影响预期目标。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0"/>
          <w:rFonts w:hint="eastAsia" w:ascii="仿宋_GB2312" w:hAnsi="仿宋_GB2312" w:eastAsia="仿宋_GB2312" w:cs="仿宋_GB2312"/>
          <w:b w:val="0"/>
          <w:bCs w:val="0"/>
          <w:color w:val="auto"/>
          <w:spacing w:val="-4"/>
          <w:sz w:val="32"/>
          <w:szCs w:val="32"/>
          <w:highlight w:val="none"/>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保障单位日常工作正常开展指标，预期指标是持续保障，实际完成值是持续保障，指标完成率是100%，实现部门绩效长效机制建设，提高工作效率目标。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个，达到预期目标，</w:t>
      </w: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受益职工满意度（%）指标，预期指标是大于等于95%，实际完成值是100%，指标完成率是100%，达到部门（单位）服务对象对部门履职效果的满意度。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满意度指标共计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0"/>
          <w:rFonts w:hint="eastAsia" w:ascii="仿宋_GB2312" w:hAnsi="仿宋_GB2312" w:eastAsia="仿宋_GB2312" w:cs="仿宋_GB2312"/>
          <w:b w:val="0"/>
          <w:bCs w:val="0"/>
          <w:color w:val="auto"/>
          <w:spacing w:val="-4"/>
          <w:sz w:val="32"/>
          <w:szCs w:val="32"/>
          <w:highlight w:val="none"/>
        </w:rPr>
        <w:t>，服务对象满意度指标完成。</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6" w:name="_Toc22800_WPSOffice_Level1"/>
      <w:r>
        <w:rPr>
          <w:rStyle w:val="10"/>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7" w:name="_Toc29546_WPSOffice_Level1"/>
      <w:r>
        <w:rPr>
          <w:rStyle w:val="10"/>
          <w:rFonts w:hint="eastAsia" w:ascii="仿宋_GB2312" w:hAnsi="仿宋_GB2312" w:eastAsia="仿宋_GB2312" w:cs="仿宋_GB2312"/>
          <w:b/>
          <w:bCs/>
          <w:spacing w:val="-4"/>
          <w:sz w:val="32"/>
          <w:szCs w:val="32"/>
          <w:highlight w:val="none"/>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进一步完善绩效指标，提高整体绩效目标质量，提升预算精细化管理水平。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val="0"/>
          <w:bCs w:val="0"/>
          <w:spacing w:val="-4"/>
          <w:sz w:val="32"/>
          <w:szCs w:val="32"/>
          <w:highlight w:val="none"/>
          <w:lang w:val="en-US" w:eastAsia="zh-CN"/>
        </w:rPr>
        <w:t>（</w:t>
      </w:r>
      <w:r>
        <w:rPr>
          <w:rStyle w:val="10"/>
          <w:rFonts w:hint="eastAsia" w:ascii="仿宋_GB2312" w:hAnsi="仿宋_GB2312" w:eastAsia="仿宋_GB2312" w:cs="仿宋_GB2312"/>
          <w:b/>
          <w:bCs/>
          <w:spacing w:val="-4"/>
          <w:sz w:val="32"/>
          <w:szCs w:val="32"/>
          <w:highlight w:val="none"/>
          <w:lang w:val="en-US" w:eastAsia="zh-CN"/>
        </w:rPr>
        <w:t>二）建议</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加强绩效业务学习及培训，提高财务人员绩效管理意识，进一步加强预算绩效管理工作，优化项目支出绩效指标体系，完善预算绩效管理制度，有效推动我单位下一年度预算绩效管理工作常态化、规范化。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借助第三方专业机构力量，提高绩效管理业务水平、实际工作能力，贯彻落实全面预算绩效管理工作，建立全过程预算绩效管理链条，将绩效各个环节紧密贯通。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8F8465B"/>
    <w:rsid w:val="098A3C0A"/>
    <w:rsid w:val="0A9A7091"/>
    <w:rsid w:val="10FE60D7"/>
    <w:rsid w:val="12B253A7"/>
    <w:rsid w:val="175D58E3"/>
    <w:rsid w:val="18061B60"/>
    <w:rsid w:val="18AD4DC5"/>
    <w:rsid w:val="190C3DF8"/>
    <w:rsid w:val="19F83E30"/>
    <w:rsid w:val="1B403139"/>
    <w:rsid w:val="1C6D319F"/>
    <w:rsid w:val="1D4D74D6"/>
    <w:rsid w:val="1DE32CFD"/>
    <w:rsid w:val="1F1A602A"/>
    <w:rsid w:val="1F2854B6"/>
    <w:rsid w:val="20F77D9A"/>
    <w:rsid w:val="21C768CD"/>
    <w:rsid w:val="22E14253"/>
    <w:rsid w:val="232C65A9"/>
    <w:rsid w:val="23F209A3"/>
    <w:rsid w:val="2403516E"/>
    <w:rsid w:val="256A2A9E"/>
    <w:rsid w:val="2805537E"/>
    <w:rsid w:val="289437EE"/>
    <w:rsid w:val="2DDD563A"/>
    <w:rsid w:val="2EBF757D"/>
    <w:rsid w:val="31B83F5F"/>
    <w:rsid w:val="328E2AB6"/>
    <w:rsid w:val="329B12EA"/>
    <w:rsid w:val="33A83F87"/>
    <w:rsid w:val="355C2B3F"/>
    <w:rsid w:val="35F12468"/>
    <w:rsid w:val="36851B5C"/>
    <w:rsid w:val="37D360CA"/>
    <w:rsid w:val="38CB5066"/>
    <w:rsid w:val="3D2504CF"/>
    <w:rsid w:val="3F301058"/>
    <w:rsid w:val="417A34F9"/>
    <w:rsid w:val="418810F4"/>
    <w:rsid w:val="41A37673"/>
    <w:rsid w:val="42C30950"/>
    <w:rsid w:val="433E4B13"/>
    <w:rsid w:val="45A65C7F"/>
    <w:rsid w:val="468C2A4A"/>
    <w:rsid w:val="46AD2493"/>
    <w:rsid w:val="46EC7F14"/>
    <w:rsid w:val="48AF4C7F"/>
    <w:rsid w:val="4A81677A"/>
    <w:rsid w:val="4DA177B2"/>
    <w:rsid w:val="4DF36D4F"/>
    <w:rsid w:val="501B7C76"/>
    <w:rsid w:val="504D5CCF"/>
    <w:rsid w:val="521E0628"/>
    <w:rsid w:val="533A7469"/>
    <w:rsid w:val="53526129"/>
    <w:rsid w:val="565F61A9"/>
    <w:rsid w:val="57232FC4"/>
    <w:rsid w:val="572D2326"/>
    <w:rsid w:val="57365691"/>
    <w:rsid w:val="57A92CDE"/>
    <w:rsid w:val="59EE1E48"/>
    <w:rsid w:val="5A377819"/>
    <w:rsid w:val="5A490F5C"/>
    <w:rsid w:val="5BD21464"/>
    <w:rsid w:val="5BDE2B83"/>
    <w:rsid w:val="5C454E0D"/>
    <w:rsid w:val="6008790F"/>
    <w:rsid w:val="61635F72"/>
    <w:rsid w:val="618606C5"/>
    <w:rsid w:val="63E114D3"/>
    <w:rsid w:val="6AD46D46"/>
    <w:rsid w:val="6BC46560"/>
    <w:rsid w:val="6DE07909"/>
    <w:rsid w:val="6E58438A"/>
    <w:rsid w:val="6E9D5508"/>
    <w:rsid w:val="71EB22B3"/>
    <w:rsid w:val="72010FA6"/>
    <w:rsid w:val="748A4F72"/>
    <w:rsid w:val="75664078"/>
    <w:rsid w:val="761E4132"/>
    <w:rsid w:val="78061A79"/>
    <w:rsid w:val="78FC6406"/>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24</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2022-03-23T09:21:24Z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93A81874799145DA97D641A1D550EE50</vt:lpwstr>
  </property>
</Properties>
</file>