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仿宋_GB2312" w:hAnsi="仿宋_GB2312" w:eastAsia="仿宋_GB2312" w:cs="仿宋_GB2312"/>
          <w:color w:val="000000" w:themeColor="text1"/>
          <w:sz w:val="32"/>
          <w:szCs w:val="32"/>
          <w:lang w:bidi="ar"/>
          <w14:textFill>
            <w14:solidFill>
              <w14:schemeClr w14:val="tx1"/>
            </w14:solidFill>
          </w14:textFill>
        </w:rPr>
      </w:pPr>
    </w:p>
    <w:p>
      <w:pPr>
        <w:spacing w:line="540" w:lineRule="exact"/>
        <w:jc w:val="center"/>
        <w:rPr>
          <w:rFonts w:ascii="仿宋_GB2312" w:hAnsi="仿宋_GB2312" w:eastAsia="仿宋_GB2312" w:cs="仿宋_GB2312"/>
          <w:b/>
          <w:color w:val="000000" w:themeColor="text1"/>
          <w:kern w:val="0"/>
          <w:sz w:val="32"/>
          <w:szCs w:val="32"/>
          <w14:textFill>
            <w14:solidFill>
              <w14:schemeClr w14:val="tx1"/>
            </w14:solidFill>
          </w14:textFill>
        </w:rPr>
      </w:pPr>
    </w:p>
    <w:p>
      <w:pPr>
        <w:spacing w:line="540" w:lineRule="exact"/>
        <w:jc w:val="center"/>
        <w:rPr>
          <w:rFonts w:ascii="仿宋_GB2312" w:hAnsi="仿宋_GB2312" w:eastAsia="仿宋_GB2312" w:cs="仿宋_GB2312"/>
          <w:b/>
          <w:color w:val="000000" w:themeColor="text1"/>
          <w:kern w:val="0"/>
          <w:sz w:val="32"/>
          <w:szCs w:val="32"/>
          <w14:textFill>
            <w14:solidFill>
              <w14:schemeClr w14:val="tx1"/>
            </w14:solidFill>
          </w14:textFill>
        </w:rPr>
      </w:pPr>
    </w:p>
    <w:p>
      <w:pPr>
        <w:spacing w:line="540" w:lineRule="exact"/>
        <w:jc w:val="center"/>
        <w:rPr>
          <w:rFonts w:ascii="仿宋_GB2312" w:hAnsi="仿宋_GB2312" w:eastAsia="仿宋_GB2312" w:cs="仿宋_GB2312"/>
          <w:b/>
          <w:color w:val="000000" w:themeColor="text1"/>
          <w:kern w:val="0"/>
          <w:sz w:val="32"/>
          <w:szCs w:val="32"/>
          <w14:textFill>
            <w14:solidFill>
              <w14:schemeClr w14:val="tx1"/>
            </w14:solidFill>
          </w14:textFill>
        </w:rPr>
      </w:pPr>
    </w:p>
    <w:p>
      <w:pPr>
        <w:spacing w:line="540" w:lineRule="exact"/>
        <w:rPr>
          <w:rFonts w:ascii="仿宋_GB2312" w:hAnsi="仿宋_GB2312" w:eastAsia="仿宋_GB2312" w:cs="仿宋_GB2312"/>
          <w:b/>
          <w:color w:val="000000" w:themeColor="text1"/>
          <w:kern w:val="0"/>
          <w:sz w:val="32"/>
          <w:szCs w:val="32"/>
          <w14:textFill>
            <w14:solidFill>
              <w14:schemeClr w14:val="tx1"/>
            </w14:solidFill>
          </w14:textFill>
        </w:rPr>
      </w:pPr>
    </w:p>
    <w:p>
      <w:pPr>
        <w:spacing w:line="540" w:lineRule="exact"/>
        <w:rPr>
          <w:rFonts w:ascii="仿宋_GB2312" w:hAnsi="仿宋_GB2312" w:eastAsia="仿宋_GB2312" w:cs="仿宋_GB2312"/>
          <w:b/>
          <w:color w:val="000000" w:themeColor="text1"/>
          <w:kern w:val="0"/>
          <w:sz w:val="32"/>
          <w:szCs w:val="32"/>
          <w14:textFill>
            <w14:solidFill>
              <w14:schemeClr w14:val="tx1"/>
            </w14:solidFill>
          </w14:textFill>
        </w:rPr>
      </w:pPr>
    </w:p>
    <w:p>
      <w:pPr>
        <w:spacing w:line="540" w:lineRule="exact"/>
        <w:jc w:val="center"/>
        <w:rPr>
          <w:rFonts w:ascii="仿宋_GB2312" w:hAnsi="仿宋_GB2312" w:eastAsia="仿宋_GB2312" w:cs="仿宋_GB2312"/>
          <w:b/>
          <w:color w:val="000000" w:themeColor="text1"/>
          <w:kern w:val="0"/>
          <w:sz w:val="32"/>
          <w:szCs w:val="32"/>
          <w14:textFill>
            <w14:solidFill>
              <w14:schemeClr w14:val="tx1"/>
            </w14:solidFill>
          </w14:textFill>
        </w:rPr>
      </w:pPr>
    </w:p>
    <w:p>
      <w:pPr>
        <w:spacing w:line="540" w:lineRule="exact"/>
        <w:jc w:val="center"/>
        <w:outlineLvl w:val="0"/>
        <w:rPr>
          <w:rFonts w:ascii="方正小标宋简体" w:hAnsi="方正小标宋简体" w:eastAsia="方正小标宋简体" w:cs="方正小标宋简体"/>
          <w:b/>
          <w:color w:val="000000" w:themeColor="text1"/>
          <w:kern w:val="0"/>
          <w:sz w:val="44"/>
          <w:szCs w:val="44"/>
          <w14:textFill>
            <w14:solidFill>
              <w14:schemeClr w14:val="tx1"/>
            </w14:solidFill>
          </w14:textFill>
        </w:rPr>
      </w:pPr>
      <w:r>
        <w:rPr>
          <w:rFonts w:hint="eastAsia" w:ascii="方正小标宋简体" w:hAnsi="方正小标宋简体" w:eastAsia="方正小标宋简体" w:cs="方正小标宋简体"/>
          <w:b/>
          <w:color w:val="000000" w:themeColor="text1"/>
          <w:kern w:val="0"/>
          <w:sz w:val="44"/>
          <w:szCs w:val="44"/>
          <w14:textFill>
            <w14:solidFill>
              <w14:schemeClr w14:val="tx1"/>
            </w14:solidFill>
          </w14:textFill>
        </w:rPr>
        <w:t>阿克陶</w:t>
      </w:r>
      <w:r>
        <w:rPr>
          <w:rFonts w:hint="eastAsia" w:ascii="方正小标宋简体" w:hAnsi="方正小标宋简体" w:eastAsia="方正小标宋简体" w:cs="方正小标宋简体"/>
          <w:b/>
          <w:color w:val="000000" w:themeColor="text1"/>
          <w:kern w:val="0"/>
          <w:sz w:val="44"/>
          <w:szCs w:val="44"/>
          <w:lang w:eastAsia="zh-Hans"/>
          <w14:textFill>
            <w14:solidFill>
              <w14:schemeClr w14:val="tx1"/>
            </w14:solidFill>
          </w14:textFill>
        </w:rPr>
        <w:t>县</w:t>
      </w:r>
      <w:r>
        <w:rPr>
          <w:rFonts w:hint="eastAsia" w:ascii="方正小标宋简体" w:hAnsi="方正小标宋简体" w:eastAsia="方正小标宋简体" w:cs="方正小标宋简体"/>
          <w:b/>
          <w:color w:val="000000" w:themeColor="text1"/>
          <w:kern w:val="0"/>
          <w:sz w:val="44"/>
          <w:szCs w:val="44"/>
          <w14:textFill>
            <w14:solidFill>
              <w14:schemeClr w14:val="tx1"/>
            </w14:solidFill>
          </w14:textFill>
        </w:rPr>
        <w:t>部门单位整体支出绩效</w:t>
      </w:r>
    </w:p>
    <w:p>
      <w:pPr>
        <w:spacing w:line="540" w:lineRule="exact"/>
        <w:jc w:val="center"/>
        <w:outlineLvl w:val="0"/>
        <w:rPr>
          <w:rFonts w:ascii="方正小标宋简体" w:hAnsi="方正小标宋简体" w:eastAsia="方正小标宋简体" w:cs="方正小标宋简体"/>
          <w:b/>
          <w:color w:val="000000" w:themeColor="text1"/>
          <w:kern w:val="0"/>
          <w:sz w:val="44"/>
          <w:szCs w:val="44"/>
          <w14:textFill>
            <w14:solidFill>
              <w14:schemeClr w14:val="tx1"/>
            </w14:solidFill>
          </w14:textFill>
        </w:rPr>
      </w:pPr>
      <w:r>
        <w:rPr>
          <w:rFonts w:hint="eastAsia" w:ascii="方正小标宋简体" w:hAnsi="方正小标宋简体" w:eastAsia="方正小标宋简体" w:cs="方正小标宋简体"/>
          <w:b/>
          <w:color w:val="000000" w:themeColor="text1"/>
          <w:kern w:val="0"/>
          <w:sz w:val="44"/>
          <w:szCs w:val="44"/>
          <w14:textFill>
            <w14:solidFill>
              <w14:schemeClr w14:val="tx1"/>
            </w14:solidFill>
          </w14:textFill>
        </w:rPr>
        <w:t>自评报告</w:t>
      </w:r>
    </w:p>
    <w:p>
      <w:pPr>
        <w:spacing w:line="540" w:lineRule="exact"/>
        <w:jc w:val="center"/>
        <w:rPr>
          <w:rFonts w:ascii="仿宋_GB2312" w:hAnsi="仿宋_GB2312" w:eastAsia="仿宋_GB2312" w:cs="仿宋_GB2312"/>
          <w:b/>
          <w:color w:val="000000" w:themeColor="text1"/>
          <w:kern w:val="0"/>
          <w:sz w:val="32"/>
          <w:szCs w:val="32"/>
          <w14:textFill>
            <w14:solidFill>
              <w14:schemeClr w14:val="tx1"/>
            </w14:solidFill>
          </w14:textFill>
        </w:rPr>
      </w:pPr>
    </w:p>
    <w:p>
      <w:pPr>
        <w:spacing w:line="540" w:lineRule="exact"/>
        <w:jc w:val="center"/>
        <w:outlineLvl w:val="0"/>
        <w:rPr>
          <w:rFonts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  2021  年度）</w:t>
      </w:r>
    </w:p>
    <w:p>
      <w:pPr>
        <w:spacing w:line="540" w:lineRule="exact"/>
        <w:jc w:val="center"/>
        <w:rPr>
          <w:rFonts w:ascii="仿宋_GB2312" w:hAnsi="仿宋_GB2312" w:eastAsia="仿宋_GB2312" w:cs="仿宋_GB2312"/>
          <w:color w:val="000000" w:themeColor="text1"/>
          <w:kern w:val="0"/>
          <w:sz w:val="32"/>
          <w:szCs w:val="32"/>
          <w14:textFill>
            <w14:solidFill>
              <w14:schemeClr w14:val="tx1"/>
            </w14:solidFill>
          </w14:textFill>
        </w:rPr>
      </w:pPr>
    </w:p>
    <w:p>
      <w:pPr>
        <w:spacing w:line="540" w:lineRule="exact"/>
        <w:jc w:val="center"/>
        <w:rPr>
          <w:rFonts w:ascii="仿宋_GB2312" w:hAnsi="仿宋_GB2312" w:eastAsia="仿宋_GB2312" w:cs="仿宋_GB2312"/>
          <w:color w:val="000000" w:themeColor="text1"/>
          <w:kern w:val="0"/>
          <w:sz w:val="32"/>
          <w:szCs w:val="32"/>
          <w14:textFill>
            <w14:solidFill>
              <w14:schemeClr w14:val="tx1"/>
            </w14:solidFill>
          </w14:textFill>
        </w:rPr>
      </w:pPr>
    </w:p>
    <w:p>
      <w:pPr>
        <w:spacing w:line="540" w:lineRule="exact"/>
        <w:jc w:val="center"/>
        <w:rPr>
          <w:rFonts w:ascii="仿宋_GB2312" w:hAnsi="仿宋_GB2312" w:eastAsia="仿宋_GB2312" w:cs="仿宋_GB2312"/>
          <w:color w:val="000000" w:themeColor="text1"/>
          <w:kern w:val="0"/>
          <w:sz w:val="32"/>
          <w:szCs w:val="32"/>
          <w14:textFill>
            <w14:solidFill>
              <w14:schemeClr w14:val="tx1"/>
            </w14:solidFill>
          </w14:textFill>
        </w:rPr>
      </w:pPr>
    </w:p>
    <w:p>
      <w:pPr>
        <w:spacing w:line="540" w:lineRule="exact"/>
        <w:jc w:val="center"/>
        <w:rPr>
          <w:rFonts w:ascii="仿宋_GB2312" w:hAnsi="仿宋_GB2312" w:eastAsia="仿宋_GB2312" w:cs="仿宋_GB2312"/>
          <w:color w:val="000000" w:themeColor="text1"/>
          <w:kern w:val="0"/>
          <w:sz w:val="32"/>
          <w:szCs w:val="32"/>
          <w14:textFill>
            <w14:solidFill>
              <w14:schemeClr w14:val="tx1"/>
            </w14:solidFill>
          </w14:textFill>
        </w:rPr>
      </w:pPr>
    </w:p>
    <w:p>
      <w:pPr>
        <w:spacing w:line="540" w:lineRule="exact"/>
        <w:jc w:val="center"/>
        <w:rPr>
          <w:rFonts w:ascii="仿宋_GB2312" w:hAnsi="仿宋_GB2312" w:eastAsia="仿宋_GB2312" w:cs="仿宋_GB2312"/>
          <w:color w:val="000000" w:themeColor="text1"/>
          <w:kern w:val="0"/>
          <w:sz w:val="32"/>
          <w:szCs w:val="32"/>
          <w14:textFill>
            <w14:solidFill>
              <w14:schemeClr w14:val="tx1"/>
            </w14:solidFill>
          </w14:textFill>
        </w:rPr>
      </w:pPr>
    </w:p>
    <w:p>
      <w:pPr>
        <w:spacing w:line="540" w:lineRule="exact"/>
        <w:jc w:val="center"/>
        <w:rPr>
          <w:rFonts w:ascii="仿宋_GB2312" w:hAnsi="仿宋_GB2312" w:eastAsia="仿宋_GB2312" w:cs="仿宋_GB2312"/>
          <w:color w:val="000000" w:themeColor="text1"/>
          <w:kern w:val="0"/>
          <w:sz w:val="32"/>
          <w:szCs w:val="32"/>
          <w14:textFill>
            <w14:solidFill>
              <w14:schemeClr w14:val="tx1"/>
            </w14:solidFill>
          </w14:textFill>
        </w:rPr>
      </w:pPr>
    </w:p>
    <w:p>
      <w:pPr>
        <w:spacing w:line="540" w:lineRule="exact"/>
        <w:rPr>
          <w:rFonts w:ascii="仿宋_GB2312" w:hAnsi="仿宋_GB2312" w:eastAsia="仿宋_GB2312" w:cs="仿宋_GB2312"/>
          <w:color w:val="000000" w:themeColor="text1"/>
          <w:kern w:val="0"/>
          <w:sz w:val="32"/>
          <w:szCs w:val="32"/>
          <w14:textFill>
            <w14:solidFill>
              <w14:schemeClr w14:val="tx1"/>
            </w14:solidFill>
          </w14:textFill>
        </w:rPr>
      </w:pPr>
    </w:p>
    <w:p>
      <w:pPr>
        <w:spacing w:line="700" w:lineRule="exact"/>
        <w:jc w:val="left"/>
        <w:rPr>
          <w:rFonts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  </w:t>
      </w:r>
    </w:p>
    <w:p>
      <w:pPr>
        <w:spacing w:line="700" w:lineRule="exact"/>
        <w:ind w:firstLine="640" w:firstLineChars="200"/>
        <w:jc w:val="left"/>
        <w:rPr>
          <w:rFonts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部门单位名称（公章）：阿克陶县城市管理综合行政执法局</w:t>
      </w:r>
    </w:p>
    <w:p>
      <w:pPr>
        <w:spacing w:line="700" w:lineRule="exact"/>
        <w:ind w:firstLine="640" w:firstLineChars="200"/>
        <w:jc w:val="left"/>
        <w:rPr>
          <w:rFonts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填报时间：2022年3月19日</w:t>
      </w:r>
    </w:p>
    <w:p>
      <w:pPr>
        <w:spacing w:line="700" w:lineRule="exact"/>
        <w:jc w:val="left"/>
        <w:rPr>
          <w:rFonts w:ascii="仿宋_GB2312" w:hAnsi="仿宋_GB2312" w:eastAsia="仿宋_GB2312" w:cs="仿宋_GB2312"/>
          <w:color w:val="000000" w:themeColor="text1"/>
          <w:kern w:val="0"/>
          <w:sz w:val="32"/>
          <w:szCs w:val="32"/>
          <w14:textFill>
            <w14:solidFill>
              <w14:schemeClr w14:val="tx1"/>
            </w14:solidFill>
          </w14:textFill>
        </w:rPr>
      </w:pPr>
    </w:p>
    <w:p>
      <w:pPr>
        <w:pStyle w:val="12"/>
        <w:numPr>
          <w:ilvl w:val="0"/>
          <w:numId w:val="1"/>
        </w:numPr>
        <w:snapToGrid w:val="0"/>
        <w:spacing w:line="540" w:lineRule="exact"/>
        <w:ind w:firstLineChars="0"/>
        <w:outlineLvl w:val="0"/>
        <w:rPr>
          <w:rFonts w:ascii="仿宋_GB2312" w:hAnsi="仿宋_GB2312" w:eastAsia="仿宋_GB2312" w:cs="仿宋_GB2312"/>
          <w:b/>
          <w:color w:val="000000" w:themeColor="text1"/>
          <w:sz w:val="32"/>
          <w:szCs w:val="32"/>
          <w:lang w:bidi="ar"/>
          <w14:textFill>
            <w14:solidFill>
              <w14:schemeClr w14:val="tx1"/>
            </w14:solidFill>
          </w14:textFill>
        </w:rPr>
      </w:pPr>
      <w:bookmarkStart w:id="0" w:name="_Toc23945_WPSOffice_Level1"/>
      <w:r>
        <w:rPr>
          <w:rFonts w:hint="eastAsia" w:ascii="仿宋_GB2312" w:hAnsi="仿宋_GB2312" w:eastAsia="仿宋_GB2312" w:cs="仿宋_GB2312"/>
          <w:b/>
          <w:color w:val="000000" w:themeColor="text1"/>
          <w:sz w:val="32"/>
          <w:szCs w:val="32"/>
          <w:lang w:bidi="ar"/>
          <w14:textFill>
            <w14:solidFill>
              <w14:schemeClr w14:val="tx1"/>
            </w14:solidFill>
          </w14:textFill>
        </w:rPr>
        <w:t>基本概况</w:t>
      </w:r>
      <w:bookmarkEnd w:id="0"/>
    </w:p>
    <w:p>
      <w:pPr>
        <w:pStyle w:val="12"/>
        <w:snapToGrid w:val="0"/>
        <w:spacing w:line="540" w:lineRule="exact"/>
        <w:ind w:firstLine="643"/>
        <w:outlineLvl w:val="1"/>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（一）单位基本情况</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1.部门主要职能</w:t>
      </w:r>
    </w:p>
    <w:p>
      <w:pPr>
        <w:pStyle w:val="3"/>
        <w:ind w:firstLine="560"/>
        <w:rPr>
          <w:rStyle w:val="9"/>
          <w:rFonts w:ascii="仿宋_GB2312" w:hAnsi="仿宋_GB2312" w:eastAsia="仿宋_GB2312" w:cs="仿宋_GB2312"/>
          <w:b w:val="0"/>
          <w:color w:val="000000" w:themeColor="text1"/>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Cs w:val="32"/>
          <w:lang w:bidi="ar"/>
          <w14:textFill>
            <w14:solidFill>
              <w14:schemeClr w14:val="tx1"/>
            </w14:solidFill>
          </w14:textFill>
        </w:rPr>
        <w:t>阿克陶县城市管理综合行政执法局主要职责： 为维护城市环境卫生提供监督检查保障,城市环境卫生设施建设,运营与维护,城市环境卫生监督及辖区内公安交通管理,城市辖区内工商管理,城市环境卫生作业管理。</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2.部门机构设置及人员构成</w:t>
      </w:r>
    </w:p>
    <w:p>
      <w:pPr>
        <w:ind w:firstLine="56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阿克陶县城市管理综合行政执法局是阿克陶县住房和城乡建设局的下属单位，为副科级，二级预算单位。</w:t>
      </w:r>
    </w:p>
    <w:p>
      <w:pPr>
        <w:ind w:firstLine="56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城市管理综合行政执法局无下属预算单位，下设 5 个处室，分别是：办公室 2 人，财务室 3 人，督查室 3 人，1 中队 15 人，2中队 15 人。</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阿克陶县城市管理综合行政执法局编制人数11名，行政17个人，事业1个人，自聘1个人，退休7个人。实有人员26人。</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3.年度重点工作</w:t>
      </w:r>
    </w:p>
    <w:p>
      <w:pPr>
        <w:spacing w:line="50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一是强化干部学习教育，持续聚焦总目标。</w:t>
      </w:r>
    </w:p>
    <w:p>
      <w:pPr>
        <w:spacing w:line="50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二是持续开展群众工作、做好群众的困难帮扶。</w:t>
      </w:r>
    </w:p>
    <w:p>
      <w:pPr>
        <w:spacing w:line="50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三是完善平台建设，努力提升服务水平。</w:t>
      </w:r>
    </w:p>
    <w:p>
      <w:pPr>
        <w:spacing w:line="50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四是持续抓好作风建设，遵守各项党规党纪。</w:t>
      </w:r>
    </w:p>
    <w:p>
      <w:pPr>
        <w:pStyle w:val="12"/>
        <w:snapToGrid w:val="0"/>
        <w:spacing w:line="540" w:lineRule="exact"/>
        <w:ind w:firstLine="643"/>
        <w:outlineLvl w:val="1"/>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（二）决策过程</w:t>
      </w:r>
    </w:p>
    <w:p>
      <w:pPr>
        <w:spacing w:line="50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我单位决策机制根据行政事业单位内部控制体系建设相关要求，逐步完善《阿克陶县城市管理综合行政执法局党支部会议》、《三重一大会议制度》，根据制度规定；凡涉及到单位改革、发展和稳定关系工作人员切身利益的重大问题，均属于重大事项决策的范围；重要人事任免：后备干部推荐、</w:t>
      </w:r>
      <w:r>
        <w:rPr>
          <w:rStyle w:val="9"/>
          <w:rFonts w:hint="eastAsia" w:ascii="仿宋_GB2312" w:hAnsi="仿宋_GB2312" w:eastAsia="仿宋_GB2312" w:cs="仿宋_GB2312"/>
          <w:b w:val="0"/>
          <w:color w:val="000000" w:themeColor="text1"/>
          <w:sz w:val="32"/>
          <w:szCs w:val="32"/>
          <w:lang w:eastAsia="zh-CN" w:bidi="ar"/>
          <w14:textFill>
            <w14:solidFill>
              <w14:schemeClr w14:val="tx1"/>
            </w14:solidFill>
          </w14:textFill>
        </w:rPr>
        <w:t>选拔</w:t>
      </w:r>
      <w:bookmarkStart w:id="8" w:name="_GoBack"/>
      <w:bookmarkEnd w:id="8"/>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；领导班子工作分工。重要项目安排：大宗办公物资及设备采购等；上级批准的重大或集体考察学习活动项目经费支出。都需进行单位事项决策。</w:t>
      </w:r>
    </w:p>
    <w:p>
      <w:pPr>
        <w:pStyle w:val="12"/>
        <w:snapToGrid w:val="0"/>
        <w:spacing w:line="540" w:lineRule="exact"/>
        <w:ind w:firstLine="643"/>
        <w:outlineLvl w:val="1"/>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（三）项目资金分配</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1.部门（单位）预算编制及分配依据</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基本支出根据财政部门预算编制的相关文件、通知，实行“二上二下”的基本流程进行预算编制，并根据财政部门预算批复、预期绩效目标进行相应分配；由财政部门按照进度每月分期拨付，人员支出按照工资计划发放工资；资金支出时按照我单位内控体系中设定的流程进行申报审批。</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2.分配结果</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eastAsia="zh-Hans"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预算批复的项目支出属于政府采购的，严格按照《中华人民共和国政府采购法》、自治区财政部门印发的《地方预算单位政府集中采购目录及标准指引（2021年版））》规定及本单位内控制度，组织人员制定并申报采购计划，按批复采购方式进行；属于非政府采购的项目，按照“三重一大”制度规定重大项目支出上党组会研究决定。我单位资金分配与绩效目标一致，符合绩效目标合理性。</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3.重点支出保障率</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本年度1个重点项目支出</w:t>
      </w: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我单位本年主要实施1个重点项目，履行了办公楼维修主要职责。</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本年度预算安排的重点项目支出15.8万元，项目总支出37.83万元，重点支出保障率为41.76%。</w:t>
      </w:r>
    </w:p>
    <w:p>
      <w:pPr>
        <w:pStyle w:val="12"/>
        <w:snapToGrid w:val="0"/>
        <w:spacing w:line="540" w:lineRule="exact"/>
        <w:ind w:firstLine="643"/>
        <w:outlineLvl w:val="1"/>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（四）部门单位整体支出规模</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1.预算执行情况</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（1）年初预算执行情况</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我单位年初预算数为319.56万元，实际预算执行数315.95万元，预算执行率为98.87%。</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（2）全年预算执行情况</w:t>
      </w:r>
    </w:p>
    <w:p>
      <w:pPr>
        <w:pStyle w:val="12"/>
        <w:snapToGrid w:val="0"/>
        <w:spacing w:line="540" w:lineRule="exact"/>
        <w:ind w:firstLine="640"/>
        <w:rPr>
          <w:rStyle w:val="9"/>
          <w:rFonts w:ascii="仿宋_GB2312" w:hAnsi="仿宋_GB2312" w:eastAsia="仿宋_GB2312" w:cs="仿宋_GB2312"/>
          <w:b w:val="0"/>
          <w:color w:val="FF0000"/>
          <w:sz w:val="32"/>
          <w:szCs w:val="32"/>
          <w:lang w:bidi="ar"/>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全年预算数为</w:t>
      </w:r>
      <w:r>
        <w:rPr>
          <w:rStyle w:val="9"/>
          <w:rFonts w:ascii="仿宋_GB2312" w:hAnsi="仿宋_GB2312" w:eastAsia="仿宋_GB2312" w:cs="仿宋_GB2312"/>
          <w:b w:val="0"/>
          <w:color w:val="000000" w:themeColor="text1"/>
          <w:sz w:val="32"/>
          <w:szCs w:val="32"/>
          <w:lang w:bidi="ar"/>
          <w14:textFill>
            <w14:solidFill>
              <w14:schemeClr w14:val="tx1"/>
            </w14:solidFill>
          </w14:textFill>
        </w:rPr>
        <w:t>395.87</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万元，全年实际支出资金395.87万元，预算执行率为</w:t>
      </w:r>
      <w:r>
        <w:rPr>
          <w:rStyle w:val="9"/>
          <w:rFonts w:ascii="仿宋_GB2312" w:hAnsi="仿宋_GB2312" w:eastAsia="仿宋_GB2312" w:cs="仿宋_GB2312"/>
          <w:b w:val="0"/>
          <w:color w:val="000000" w:themeColor="text1"/>
          <w:sz w:val="32"/>
          <w:szCs w:val="32"/>
          <w:lang w:bidi="ar"/>
          <w14:textFill>
            <w14:solidFill>
              <w14:schemeClr w14:val="tx1"/>
            </w14:solidFill>
          </w14:textFill>
        </w:rPr>
        <w:t>100</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2.预算调整情况</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我单位年初批复预算数319.56万元，年中调整数</w:t>
      </w:r>
      <w:r>
        <w:rPr>
          <w:rStyle w:val="9"/>
          <w:rFonts w:ascii="仿宋_GB2312" w:hAnsi="仿宋_GB2312" w:eastAsia="仿宋_GB2312" w:cs="仿宋_GB2312"/>
          <w:b w:val="0"/>
          <w:color w:val="000000" w:themeColor="text1"/>
          <w:sz w:val="32"/>
          <w:szCs w:val="32"/>
          <w:lang w:bidi="ar"/>
          <w14:textFill>
            <w14:solidFill>
              <w14:schemeClr w14:val="tx1"/>
            </w14:solidFill>
          </w14:textFill>
        </w:rPr>
        <w:t>76.31</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万元，调整后全年预算数</w:t>
      </w:r>
      <w:r>
        <w:rPr>
          <w:rStyle w:val="9"/>
          <w:rFonts w:ascii="仿宋_GB2312" w:hAnsi="仿宋_GB2312" w:eastAsia="仿宋_GB2312" w:cs="仿宋_GB2312"/>
          <w:b w:val="0"/>
          <w:color w:val="000000" w:themeColor="text1"/>
          <w:sz w:val="32"/>
          <w:szCs w:val="32"/>
          <w:lang w:bidi="ar"/>
          <w14:textFill>
            <w14:solidFill>
              <w14:schemeClr w14:val="tx1"/>
            </w14:solidFill>
          </w14:textFill>
        </w:rPr>
        <w:t>395.87</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万元，预算调整率23.</w:t>
      </w:r>
      <w:r>
        <w:rPr>
          <w:rStyle w:val="9"/>
          <w:rFonts w:ascii="仿宋_GB2312" w:hAnsi="仿宋_GB2312" w:eastAsia="仿宋_GB2312" w:cs="仿宋_GB2312"/>
          <w:b w:val="0"/>
          <w:color w:val="000000" w:themeColor="text1"/>
          <w:sz w:val="32"/>
          <w:szCs w:val="32"/>
          <w:lang w:bidi="ar"/>
          <w14:textFill>
            <w14:solidFill>
              <w14:schemeClr w14:val="tx1"/>
            </w14:solidFill>
          </w14:textFill>
        </w:rPr>
        <w:t>87</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 xml:space="preserve">3.政府采购执行情况 </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年初政府采购预算数为0万元，实际政府采购数为0万元，政府采购执行率为0%。我单位本年度需政府采购的预算数为0万元。</w:t>
      </w:r>
    </w:p>
    <w:p>
      <w:pPr>
        <w:pStyle w:val="12"/>
        <w:snapToGrid w:val="0"/>
        <w:spacing w:line="540" w:lineRule="exact"/>
        <w:ind w:firstLine="643"/>
        <w:outlineLvl w:val="1"/>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（五）评价使用方法和主要内容、涉及范围</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1.评价使用方法</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bookmarkStart w:id="1" w:name="_Hlk49856735"/>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本次评价主要采取比较法和调查法。一是比较法。对项目支出情况及建设后的产出及效果与项目实施计划目标进行比较，分析预计目标的完成程度。二是</w:t>
      </w:r>
      <w:r>
        <w:rPr>
          <w:rStyle w:val="9"/>
          <w:rFonts w:hint="eastAsia" w:ascii="仿宋_GB2312" w:hAnsi="仿宋_GB2312" w:eastAsia="仿宋_GB2312" w:cs="仿宋_GB2312"/>
          <w:b w:val="0"/>
          <w:color w:val="000000" w:themeColor="text1"/>
          <w:sz w:val="32"/>
          <w:szCs w:val="32"/>
          <w:lang w:eastAsia="zh-Hans" w:bidi="ar"/>
          <w14:textFill>
            <w14:solidFill>
              <w14:schemeClr w14:val="tx1"/>
            </w14:solidFill>
          </w14:textFill>
        </w:rPr>
        <w:t>公众评判法</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。通过专家评估、公众问卷及抽样调查等方式进行评判的方法。问卷调查是针对项目区利益相关方实施的调查，并对调查结果进行统计、分析和评定。</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2.评价对象及主要内容</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评价的对象及主要内容为:</w:t>
      </w: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一是</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部门单位整体管理及使用情况，具体涉及预算管理、基本支出和专项支出的管理及使用情况；</w:t>
      </w: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二是</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部门单位整体支出绩效情况，具体涉及部门单位整体支出绩效目标的实现程度，包括是否达到预定产出、效果和效益效率等；</w:t>
      </w: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三是</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部门单位专项组织实施情况，具体涉及专项组织情况分析和相关管理情况；</w:t>
      </w: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四是</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资产管理情况，具体涉及资产管理规范性和资产变动情况。</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3.涉及的范围</w:t>
      </w:r>
      <w:bookmarkEnd w:id="1"/>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评价范围是对本单位整体支出从年度总体绩效目标、产出指标、效益指标、满意度指标等方面进行了全方位、多角度综合评价分析。</w:t>
      </w:r>
    </w:p>
    <w:p>
      <w:pPr>
        <w:pStyle w:val="12"/>
        <w:numPr>
          <w:ilvl w:val="0"/>
          <w:numId w:val="1"/>
        </w:numPr>
        <w:snapToGrid w:val="0"/>
        <w:spacing w:line="540" w:lineRule="exact"/>
        <w:ind w:firstLineChars="0"/>
        <w:outlineLvl w:val="0"/>
        <w:rPr>
          <w:rFonts w:ascii="仿宋_GB2312" w:hAnsi="仿宋_GB2312" w:eastAsia="仿宋_GB2312" w:cs="仿宋_GB2312"/>
          <w:b/>
          <w:color w:val="000000" w:themeColor="text1"/>
          <w:sz w:val="32"/>
          <w:szCs w:val="32"/>
          <w:lang w:bidi="ar"/>
          <w14:textFill>
            <w14:solidFill>
              <w14:schemeClr w14:val="tx1"/>
            </w14:solidFill>
          </w14:textFill>
        </w:rPr>
      </w:pPr>
      <w:bookmarkStart w:id="2" w:name="_Toc32535_WPSOffice_Level1"/>
      <w:r>
        <w:rPr>
          <w:rFonts w:hint="eastAsia" w:ascii="仿宋_GB2312" w:hAnsi="仿宋_GB2312" w:eastAsia="仿宋_GB2312" w:cs="仿宋_GB2312"/>
          <w:b/>
          <w:color w:val="000000" w:themeColor="text1"/>
          <w:sz w:val="32"/>
          <w:szCs w:val="32"/>
          <w:lang w:bidi="ar"/>
          <w14:textFill>
            <w14:solidFill>
              <w14:schemeClr w14:val="tx1"/>
            </w14:solidFill>
          </w14:textFill>
        </w:rPr>
        <w:t>部门单位整体支出管理及使用情况</w:t>
      </w:r>
      <w:bookmarkEnd w:id="2"/>
    </w:p>
    <w:p>
      <w:pPr>
        <w:pStyle w:val="12"/>
        <w:snapToGrid w:val="0"/>
        <w:spacing w:line="540" w:lineRule="exact"/>
        <w:ind w:firstLine="643"/>
        <w:outlineLvl w:val="1"/>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（一）预算管理情况</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1.管理制度健全性</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本单位为加强预算管理，规范财务行为，已制定《阿克陶县城市管理综合行政执法局部门单位预算绩效管理工作实施办法》，《阿克陶县城市管理综合行政执法局财务管理制度》等健全完整的各项管理制度，有效保障了我单位高效的履行工作职能，较好的促进事业发展。</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2.资金使用合规性和安全性</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3.预决算信息公开性</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Fonts w:hint="eastAsia" w:ascii="仿宋" w:hAnsi="仿宋" w:eastAsia="仿宋" w:cs="宋体"/>
          <w:bCs/>
          <w:color w:val="000000" w:themeColor="text1"/>
          <w:sz w:val="32"/>
          <w:szCs w:val="32"/>
          <w:lang w:bidi="ar"/>
          <w14:textFill>
            <w14:solidFill>
              <w14:schemeClr w14:val="tx1"/>
            </w14:solidFill>
          </w14:textFill>
        </w:rPr>
        <w:t>按照阿克陶县财政局预决算信息公开工作要求，我单位在阿克陶县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pPr>
        <w:pStyle w:val="12"/>
        <w:snapToGrid w:val="0"/>
        <w:spacing w:line="540" w:lineRule="exact"/>
        <w:ind w:firstLine="643"/>
        <w:outlineLvl w:val="1"/>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（二）基本支出和使用情况</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1.基本支出和使用情况</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2021年本单位基本支出全年预算总额358.04万元，其中：人员经费</w:t>
      </w:r>
      <w:r>
        <w:rPr>
          <w:rFonts w:hint="eastAsia" w:ascii="仿宋_GB2312" w:hAnsi="宋体" w:eastAsia="仿宋_GB2312" w:cs="宋体"/>
          <w:color w:val="000000" w:themeColor="text1"/>
          <w:kern w:val="0"/>
          <w:sz w:val="32"/>
          <w:szCs w:val="32"/>
          <w14:textFill>
            <w14:solidFill>
              <w14:schemeClr w14:val="tx1"/>
            </w14:solidFill>
          </w14:textFill>
        </w:rPr>
        <w:t>340.89</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万元，公用经费</w:t>
      </w:r>
      <w:r>
        <w:rPr>
          <w:rFonts w:hint="eastAsia" w:ascii="仿宋_GB2312" w:hAnsi="宋体" w:eastAsia="仿宋_GB2312" w:cs="宋体"/>
          <w:color w:val="000000" w:themeColor="text1"/>
          <w:kern w:val="0"/>
          <w:sz w:val="32"/>
          <w:szCs w:val="32"/>
          <w14:textFill>
            <w14:solidFill>
              <w14:schemeClr w14:val="tx1"/>
            </w14:solidFill>
          </w14:textFill>
        </w:rPr>
        <w:t>17.15</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万元。实际支出358.04万元，基本支出预算执行率100%。</w:t>
      </w:r>
    </w:p>
    <w:p>
      <w:pPr>
        <w:pStyle w:val="12"/>
        <w:snapToGrid w:val="0"/>
        <w:spacing w:line="540" w:lineRule="exact"/>
        <w:ind w:firstLine="640"/>
        <w:rPr>
          <w:rStyle w:val="9"/>
          <w:rFonts w:ascii="仿宋_GB2312" w:hAnsi="仿宋_GB2312" w:eastAsia="仿宋_GB2312" w:cs="仿宋_GB2312"/>
          <w:b w:val="0"/>
          <w:color w:val="000000" w:themeColor="text1"/>
          <w:sz w:val="32"/>
          <w:szCs w:val="32"/>
          <w:highlight w:val="yellow"/>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2.三公经费控制情况</w:t>
      </w:r>
    </w:p>
    <w:p>
      <w:pPr>
        <w:pStyle w:val="12"/>
        <w:snapToGrid w:val="0"/>
        <w:spacing w:line="540" w:lineRule="exact"/>
        <w:ind w:firstLine="640"/>
        <w:rPr>
          <w:rFonts w:ascii="仿宋" w:hAnsi="仿宋" w:eastAsia="仿宋" w:cs="宋体"/>
          <w:bCs/>
          <w:color w:val="000000" w:themeColor="text1"/>
          <w:sz w:val="32"/>
          <w:szCs w:val="32"/>
          <w:lang w:bidi="ar"/>
          <w14:textFill>
            <w14:solidFill>
              <w14:schemeClr w14:val="tx1"/>
            </w14:solidFill>
          </w14:textFill>
        </w:rPr>
      </w:pPr>
      <w:r>
        <w:rPr>
          <w:rFonts w:hint="eastAsia" w:ascii="仿宋" w:hAnsi="仿宋" w:eastAsia="仿宋" w:cs="宋体"/>
          <w:bCs/>
          <w:color w:val="000000" w:themeColor="text1"/>
          <w:sz w:val="32"/>
          <w:szCs w:val="32"/>
          <w:lang w:bidi="ar"/>
          <w14:textFill>
            <w14:solidFill>
              <w14:schemeClr w14:val="tx1"/>
            </w14:solidFill>
          </w14:textFill>
        </w:rPr>
        <w:t>我单位坚决贯彻落实中央、自治区、阿克陶</w:t>
      </w:r>
      <w:r>
        <w:rPr>
          <w:rFonts w:hint="eastAsia" w:ascii="仿宋" w:hAnsi="仿宋" w:eastAsia="仿宋" w:cs="宋体"/>
          <w:bCs/>
          <w:color w:val="000000" w:themeColor="text1"/>
          <w:sz w:val="32"/>
          <w:szCs w:val="32"/>
          <w:lang w:eastAsia="zh-Hans" w:bidi="ar"/>
          <w14:textFill>
            <w14:solidFill>
              <w14:schemeClr w14:val="tx1"/>
            </w14:solidFill>
          </w14:textFill>
        </w:rPr>
        <w:t>县</w:t>
      </w:r>
      <w:r>
        <w:rPr>
          <w:rFonts w:hint="eastAsia" w:ascii="仿宋" w:hAnsi="仿宋" w:eastAsia="仿宋" w:cs="宋体"/>
          <w:bCs/>
          <w:color w:val="000000" w:themeColor="text1"/>
          <w:sz w:val="32"/>
          <w:szCs w:val="32"/>
          <w:lang w:bidi="ar"/>
          <w14:textFill>
            <w14:solidFill>
              <w14:schemeClr w14:val="tx1"/>
            </w14:solidFill>
          </w14:textFill>
        </w:rPr>
        <w:t>厉行勤俭办公的工作要求，提倡本单位全体干部职工，勤俭节约，切实降低行政运行成本，确保每年“三公经费”只减不增。2021年“三公经费”预算为3.65万元，实际支出3.57万元，“三公经费”控制率为97.81%，其中：因公出国（境）费预算为0万元，实际支出0万元；公务接待费预算为0万元，实际支出0万元；公务用车购置费预算为0万元，实际支出0万元；公务用车运行维护费预算为3.65万元，实际支出3.57万元，公务用车运行维护费控制率97.81%，符合财政部门本年预算要求和相关管理制度要求。</w:t>
      </w:r>
    </w:p>
    <w:p>
      <w:pPr>
        <w:pStyle w:val="12"/>
        <w:snapToGrid w:val="0"/>
        <w:spacing w:line="540" w:lineRule="exact"/>
        <w:ind w:firstLine="643"/>
        <w:outlineLvl w:val="1"/>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（三）专项支出管理和使用情况</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专项资金的使用符合国家法规和财务管理制度，专项资金拨付有完整的审批程序和手续，符合项目预算批复或合同规定的用途，不存在截留、挤占、挪用、虚列支出等情况。</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2021年本单位安排专项支出预算总额37.83万元，实际支出</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37.83</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万元，专项支出预算执行率</w:t>
      </w:r>
      <w:r>
        <w:rPr>
          <w:rStyle w:val="9"/>
          <w:rFonts w:ascii="仿宋_GB2312" w:hAnsi="仿宋_GB2312" w:eastAsia="仿宋_GB2312" w:cs="仿宋_GB2312"/>
          <w:b w:val="0"/>
          <w:color w:val="000000" w:themeColor="text1"/>
          <w:sz w:val="32"/>
          <w:szCs w:val="32"/>
          <w:lang w:bidi="ar"/>
          <w14:textFill>
            <w14:solidFill>
              <w14:schemeClr w14:val="tx1"/>
            </w14:solidFill>
          </w14:textFill>
        </w:rPr>
        <w:t>100</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2021年本单位共有3个资金项目，其中1个属经常性项目、2个属当年度新增项目，已完成项目2个、未完成项目1个。</w:t>
      </w:r>
    </w:p>
    <w:p>
      <w:pPr>
        <w:snapToGrid w:val="0"/>
        <w:spacing w:line="540" w:lineRule="exact"/>
        <w:ind w:left="648"/>
        <w:outlineLvl w:val="0"/>
        <w:rPr>
          <w:rFonts w:ascii="仿宋_GB2312" w:hAnsi="仿宋_GB2312" w:eastAsia="仿宋_GB2312" w:cs="仿宋_GB2312"/>
          <w:b/>
          <w:color w:val="000000" w:themeColor="text1"/>
          <w:sz w:val="32"/>
          <w:szCs w:val="32"/>
          <w:lang w:bidi="ar"/>
          <w14:textFill>
            <w14:solidFill>
              <w14:schemeClr w14:val="tx1"/>
            </w14:solidFill>
          </w14:textFill>
        </w:rPr>
      </w:pPr>
      <w:bookmarkStart w:id="3" w:name="_Toc1734_WPSOffice_Level1"/>
      <w:r>
        <w:rPr>
          <w:rFonts w:hint="eastAsia" w:ascii="仿宋_GB2312" w:hAnsi="仿宋_GB2312" w:eastAsia="仿宋_GB2312" w:cs="仿宋_GB2312"/>
          <w:b/>
          <w:color w:val="000000" w:themeColor="text1"/>
          <w:sz w:val="32"/>
          <w:szCs w:val="32"/>
          <w:lang w:bidi="ar"/>
          <w14:textFill>
            <w14:solidFill>
              <w14:schemeClr w14:val="tx1"/>
            </w14:solidFill>
          </w14:textFill>
        </w:rPr>
        <w:t>三、部门单位专项组织实施情况</w:t>
      </w:r>
      <w:bookmarkEnd w:id="3"/>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本年我单位供实施3个项目，金额37.83万元，分别为访惠聚工作经费项目，17.14万元；原社区管委会办公楼维修费项目，15.8万元；公共场所安全器材及维修经费项目，4.89万元；</w:t>
      </w:r>
    </w:p>
    <w:p>
      <w:pPr>
        <w:pStyle w:val="12"/>
        <w:snapToGrid w:val="0"/>
        <w:spacing w:line="540" w:lineRule="exact"/>
        <w:ind w:firstLine="627"/>
        <w:outlineLvl w:val="1"/>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Cs w:val="0"/>
          <w:color w:val="000000" w:themeColor="text1"/>
          <w:spacing w:val="-4"/>
          <w:sz w:val="32"/>
          <w:szCs w:val="32"/>
          <w14:textFill>
            <w14:solidFill>
              <w14:schemeClr w14:val="tx1"/>
            </w14:solidFill>
          </w14:textFill>
        </w:rPr>
        <w:t>（一）城市管理综合执法局专项组织情况分析</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1.前期准备</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我单位成立专项支出绩效评价小组，成员如下：</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王建国任评价组组长，绩效评价工作职责为负责全盘工作。</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柳荣川任评价组副组长，绩效评价工作职责为为对项目实施情况进行实地调查。</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买买提江，贾正栋，热娜古丽，吐尔荪阿依，白龙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2.组织实施</w:t>
      </w:r>
    </w:p>
    <w:p>
      <w:pPr>
        <w:pStyle w:val="12"/>
        <w:snapToGrid w:val="0"/>
        <w:spacing w:line="540" w:lineRule="exact"/>
        <w:ind w:firstLine="640"/>
        <w:outlineLvl w:val="2"/>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ascii="仿宋_GB2312" w:hAnsi="仿宋_GB2312" w:eastAsia="仿宋_GB2312" w:cs="仿宋_GB2312"/>
          <w:color w:val="000000" w:themeColor="text1"/>
          <w:spacing w:val="-4"/>
          <w:sz w:val="32"/>
          <w:szCs w:val="32"/>
          <w14:textFill>
            <w14:solidFill>
              <w14:schemeClr w14:val="tx1"/>
            </w14:solidFill>
          </w14:textFill>
        </w:rPr>
        <w:t>3</w:t>
      </w: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.项目绩效情况</w:t>
      </w:r>
    </w:p>
    <w:p>
      <w:pPr>
        <w:pStyle w:val="12"/>
        <w:snapToGrid w:val="0"/>
        <w:spacing w:line="540" w:lineRule="exact"/>
        <w:ind w:firstLine="640"/>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2</w:t>
      </w:r>
      <w:r>
        <w:rPr>
          <w:rStyle w:val="9"/>
          <w:rFonts w:ascii="仿宋_GB2312" w:hAnsi="仿宋_GB2312" w:eastAsia="仿宋_GB2312" w:cs="仿宋_GB2312"/>
          <w:b w:val="0"/>
          <w:color w:val="000000" w:themeColor="text1"/>
          <w:sz w:val="32"/>
          <w:szCs w:val="32"/>
          <w:lang w:bidi="ar"/>
          <w14:textFill>
            <w14:solidFill>
              <w14:schemeClr w14:val="tx1"/>
            </w14:solidFill>
          </w14:textFill>
        </w:rPr>
        <w:t>021</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年本单位实施3个项目分别为访惠聚工作经费项目；原社区管委会办公楼维修费项目；公共场所安全器材及维修经费项目；以上项目均已完成。</w:t>
      </w:r>
    </w:p>
    <w:p>
      <w:pPr>
        <w:pStyle w:val="12"/>
        <w:snapToGrid w:val="0"/>
        <w:spacing w:line="540" w:lineRule="exact"/>
        <w:ind w:firstLine="627"/>
        <w:outlineLvl w:val="1"/>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（二）专项管理情况分析</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1.项目资金情况</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该项目预算资金37.83万元，实际到位37.83万元，实际支出37.83万元。到位足额及时，预算编制依据充分，预算编制准确，资金不存在截留、挪用，支付审批合规、不存在用途改变、范围超支和虚列项目支出等情况；本项目严格按照《阿克陶县城市管理综合行政执法局财务管理制度》执行项目资金，实行专账核算、逐级审批。认真落实项目资金的使用各项管理制度，确保专款专用，及时拨付到位。</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2.项目实施情况</w:t>
      </w:r>
    </w:p>
    <w:p>
      <w:pPr>
        <w:pStyle w:val="12"/>
        <w:snapToGrid w:val="0"/>
        <w:spacing w:line="540" w:lineRule="exact"/>
        <w:ind w:firstLine="627"/>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项目组织情况：</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pStyle w:val="12"/>
        <w:snapToGrid w:val="0"/>
        <w:spacing w:line="540" w:lineRule="exact"/>
        <w:ind w:firstLine="627"/>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项目管理情况：</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根据《项目绩效管理办法》及单位相关项目管理制度的规定，对项目的实施进行监督管理。建立健全项目后续各项监督管理制度，确保项目正常运转，长期发挥效益。</w:t>
      </w:r>
    </w:p>
    <w:p>
      <w:pPr>
        <w:pStyle w:val="12"/>
        <w:snapToGrid w:val="0"/>
        <w:spacing w:line="540" w:lineRule="exact"/>
        <w:ind w:firstLine="627"/>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项目监管情况：</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不定期对项目进度和质量等进行监督检查，并且组织开展多种形式的监督检查，以加强日常监管为主，自查、随机抽查、专项检查等方式进行。对检查中发现的问题，及时纠正。</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3.项目绩效情况</w:t>
      </w:r>
    </w:p>
    <w:p>
      <w:pPr>
        <w:pStyle w:val="12"/>
        <w:snapToGrid w:val="0"/>
        <w:spacing w:line="540" w:lineRule="exact"/>
        <w:ind w:firstLine="627"/>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成本控制情况：</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严格按照相关的专项资金管理办法，实行多重审批控制专项经费的支出。</w:t>
      </w:r>
    </w:p>
    <w:p>
      <w:pPr>
        <w:pStyle w:val="12"/>
        <w:snapToGrid w:val="0"/>
        <w:spacing w:line="540" w:lineRule="exact"/>
        <w:ind w:firstLine="627"/>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成本节约情况：</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项目根据实际情况做出合理预算，支出严格控制在预算范围内，本着节约成本，防止资源浪费的原则将项目成效最大化。</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4.项目效率性</w:t>
      </w:r>
    </w:p>
    <w:p>
      <w:pPr>
        <w:pStyle w:val="12"/>
        <w:snapToGrid w:val="0"/>
        <w:spacing w:line="540" w:lineRule="exact"/>
        <w:ind w:firstLine="627"/>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项目实施进度：</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项目实施紧扣各个环节，逐步推进，及时与职能部门跟踪项目进展，加强项目督办，充分调动职能部门的积极性，加大项目投入工作的力度，加快项目实施进度。</w:t>
      </w:r>
    </w:p>
    <w:p>
      <w:pPr>
        <w:pStyle w:val="12"/>
        <w:snapToGrid w:val="0"/>
        <w:spacing w:line="540" w:lineRule="exact"/>
        <w:ind w:firstLine="627"/>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项目完成质量：</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项目严格按照年度预期目标执行，项目完成质量达标。</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5.项目效益性</w:t>
      </w:r>
    </w:p>
    <w:p>
      <w:pPr>
        <w:pStyle w:val="12"/>
        <w:snapToGrid w:val="0"/>
        <w:spacing w:line="540" w:lineRule="exact"/>
        <w:ind w:firstLine="627"/>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预期目标完成程度：</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按预定目标完成了年初所设定的各项指标。专项经费实际支出未超出预算规定，保障了专项工作的开展。</w:t>
      </w:r>
    </w:p>
    <w:p>
      <w:pPr>
        <w:pStyle w:val="12"/>
        <w:snapToGrid w:val="0"/>
        <w:spacing w:line="540" w:lineRule="exact"/>
        <w:ind w:left="319" w:leftChars="152" w:firstLine="313" w:firstLineChars="100"/>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项目实施对效益的影响：</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项目的实施有效提升了培训人员的爱国主义意识，持续保障了培训工作的顺利开展。</w:t>
      </w:r>
    </w:p>
    <w:p>
      <w:pPr>
        <w:pStyle w:val="12"/>
        <w:numPr>
          <w:ilvl w:val="0"/>
          <w:numId w:val="2"/>
        </w:numPr>
        <w:snapToGrid w:val="0"/>
        <w:spacing w:line="540" w:lineRule="exact"/>
        <w:ind w:firstLineChars="0"/>
        <w:outlineLvl w:val="0"/>
        <w:rPr>
          <w:rStyle w:val="9"/>
          <w:rFonts w:ascii="仿宋_GB2312" w:hAnsi="仿宋_GB2312" w:eastAsia="仿宋_GB2312" w:cs="仿宋_GB2312"/>
          <w:color w:val="000000" w:themeColor="text1"/>
          <w:spacing w:val="-4"/>
          <w:sz w:val="32"/>
          <w:szCs w:val="32"/>
          <w14:textFill>
            <w14:solidFill>
              <w14:schemeClr w14:val="tx1"/>
            </w14:solidFill>
          </w14:textFill>
        </w:rPr>
      </w:pPr>
      <w:bookmarkStart w:id="4" w:name="_Toc27846_WPSOffice_Level1"/>
      <w:r>
        <w:rPr>
          <w:rStyle w:val="9"/>
          <w:rFonts w:hint="eastAsia" w:ascii="仿宋_GB2312" w:hAnsi="仿宋_GB2312" w:eastAsia="仿宋_GB2312" w:cs="仿宋_GB2312"/>
          <w:color w:val="000000" w:themeColor="text1"/>
          <w:spacing w:val="-4"/>
          <w:sz w:val="32"/>
          <w:szCs w:val="32"/>
          <w14:textFill>
            <w14:solidFill>
              <w14:schemeClr w14:val="tx1"/>
            </w14:solidFill>
          </w14:textFill>
        </w:rPr>
        <w:t>资产管理情况</w:t>
      </w:r>
      <w:bookmarkEnd w:id="4"/>
    </w:p>
    <w:p>
      <w:pPr>
        <w:pStyle w:val="12"/>
        <w:tabs>
          <w:tab w:val="left" w:pos="0"/>
        </w:tabs>
        <w:snapToGrid w:val="0"/>
        <w:spacing w:line="540" w:lineRule="exact"/>
        <w:ind w:firstLine="627"/>
        <w:outlineLvl w:val="1"/>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（一）资产管理规范性</w:t>
      </w:r>
    </w:p>
    <w:p>
      <w:pPr>
        <w:pStyle w:val="12"/>
        <w:snapToGrid w:val="0"/>
        <w:spacing w:line="540" w:lineRule="exact"/>
        <w:ind w:firstLine="640"/>
        <w:rPr>
          <w:rFonts w:ascii="仿宋" w:hAnsi="仿宋" w:eastAsia="仿宋" w:cs="宋体"/>
          <w:bCs/>
          <w:color w:val="000000" w:themeColor="text1"/>
          <w:sz w:val="32"/>
          <w:szCs w:val="32"/>
          <w:lang w:bidi="ar"/>
          <w14:textFill>
            <w14:solidFill>
              <w14:schemeClr w14:val="tx1"/>
            </w14:solidFill>
          </w14:textFill>
        </w:rPr>
      </w:pPr>
      <w:r>
        <w:rPr>
          <w:rFonts w:hint="eastAsia" w:ascii="仿宋" w:hAnsi="仿宋" w:eastAsia="仿宋" w:cs="宋体"/>
          <w:bCs/>
          <w:color w:val="000000" w:themeColor="text1"/>
          <w:sz w:val="32"/>
          <w:szCs w:val="32"/>
          <w:lang w:bidi="ar"/>
          <w14:textFill>
            <w14:solidFill>
              <w14:schemeClr w14:val="tx1"/>
            </w14:solidFill>
          </w14:textFill>
        </w:rPr>
        <w:t>我单位2021年资产合计数为114.19万元，比上年增加62.38万元，主要原因是增加工程保证金，护栏维修费和停车场管理费因没有科目无法缴纳国库，导致货币资金增加；货币资金增加，其中：货币资金70.4万元，比上年增加62.38万元；财政应返还额度0万元，比上年相比无变化；房屋0平方米0万元，比上年减少0万元；车辆4辆21.15万元，与上年相比无变化；在建工程0万元，与上年持平；办公设备及家具22.64万元，与上年相比无变化。我单位本年无资产处置情况（根据单位实际情况修改），资产配置合理，使用规范，安全完整。</w:t>
      </w:r>
    </w:p>
    <w:p>
      <w:pPr>
        <w:pStyle w:val="12"/>
        <w:snapToGrid w:val="0"/>
        <w:spacing w:line="540" w:lineRule="exact"/>
        <w:ind w:firstLine="640"/>
        <w:rPr>
          <w:rFonts w:ascii="仿宋" w:hAnsi="仿宋" w:eastAsia="仿宋" w:cs="宋体"/>
          <w:bCs/>
          <w:color w:val="000000" w:themeColor="text1"/>
          <w:sz w:val="32"/>
          <w:szCs w:val="32"/>
          <w:lang w:bidi="ar"/>
          <w14:textFill>
            <w14:solidFill>
              <w14:schemeClr w14:val="tx1"/>
            </w14:solidFill>
          </w14:textFill>
        </w:rPr>
      </w:pPr>
      <w:r>
        <w:rPr>
          <w:rFonts w:hint="eastAsia" w:ascii="仿宋" w:hAnsi="仿宋" w:eastAsia="仿宋" w:cs="宋体"/>
          <w:bCs/>
          <w:color w:val="000000" w:themeColor="text1"/>
          <w:sz w:val="32"/>
          <w:szCs w:val="32"/>
          <w:lang w:bidi="ar"/>
          <w14:textFill>
            <w14:solidFill>
              <w14:schemeClr w14:val="tx1"/>
            </w14:solidFill>
          </w14:textFill>
        </w:rPr>
        <w:t>1.资产管理情况。</w:t>
      </w:r>
    </w:p>
    <w:p>
      <w:pPr>
        <w:pStyle w:val="12"/>
        <w:snapToGrid w:val="0"/>
        <w:spacing w:line="540" w:lineRule="exact"/>
        <w:ind w:firstLine="640"/>
        <w:rPr>
          <w:rFonts w:ascii="仿宋" w:hAnsi="仿宋" w:eastAsia="仿宋" w:cs="宋体"/>
          <w:bCs/>
          <w:color w:val="000000" w:themeColor="text1"/>
          <w:sz w:val="32"/>
          <w:szCs w:val="32"/>
          <w:lang w:bidi="ar"/>
          <w14:textFill>
            <w14:solidFill>
              <w14:schemeClr w14:val="tx1"/>
            </w14:solidFill>
          </w14:textFill>
        </w:rPr>
      </w:pPr>
      <w:r>
        <w:rPr>
          <w:rFonts w:hint="eastAsia" w:ascii="仿宋" w:hAnsi="仿宋" w:eastAsia="仿宋" w:cs="宋体"/>
          <w:bCs/>
          <w:color w:val="000000" w:themeColor="text1"/>
          <w:sz w:val="32"/>
          <w:szCs w:val="32"/>
          <w:lang w:bidi="ar"/>
          <w14:textFill>
            <w14:solidFill>
              <w14:schemeClr w14:val="tx1"/>
            </w14:solidFill>
          </w14:textFill>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pStyle w:val="12"/>
        <w:snapToGrid w:val="0"/>
        <w:spacing w:line="540" w:lineRule="exact"/>
        <w:ind w:firstLine="640"/>
        <w:rPr>
          <w:rFonts w:ascii="仿宋" w:hAnsi="仿宋" w:eastAsia="仿宋" w:cs="宋体"/>
          <w:bCs/>
          <w:color w:val="000000" w:themeColor="text1"/>
          <w:sz w:val="32"/>
          <w:szCs w:val="32"/>
          <w:lang w:bidi="ar"/>
          <w14:textFill>
            <w14:solidFill>
              <w14:schemeClr w14:val="tx1"/>
            </w14:solidFill>
          </w14:textFill>
        </w:rPr>
      </w:pPr>
      <w:r>
        <w:rPr>
          <w:rFonts w:hint="eastAsia" w:ascii="仿宋" w:hAnsi="仿宋" w:eastAsia="仿宋" w:cs="宋体"/>
          <w:bCs/>
          <w:color w:val="000000" w:themeColor="text1"/>
          <w:sz w:val="32"/>
          <w:szCs w:val="32"/>
          <w:lang w:bidi="ar"/>
          <w14:textFill>
            <w14:solidFill>
              <w14:schemeClr w14:val="tx1"/>
            </w14:solidFill>
          </w14:textFill>
        </w:rPr>
        <w:t>2.固定资产利用情况。</w:t>
      </w:r>
    </w:p>
    <w:p>
      <w:pPr>
        <w:pStyle w:val="12"/>
        <w:snapToGrid w:val="0"/>
        <w:spacing w:line="540" w:lineRule="exact"/>
        <w:ind w:firstLine="640"/>
        <w:rPr>
          <w:rFonts w:ascii="仿宋" w:hAnsi="仿宋" w:eastAsia="仿宋" w:cs="宋体"/>
          <w:bCs/>
          <w:color w:val="000000" w:themeColor="text1"/>
          <w:sz w:val="32"/>
          <w:szCs w:val="32"/>
          <w:lang w:bidi="ar"/>
          <w14:textFill>
            <w14:solidFill>
              <w14:schemeClr w14:val="tx1"/>
            </w14:solidFill>
          </w14:textFill>
        </w:rPr>
      </w:pPr>
      <w:r>
        <w:rPr>
          <w:rFonts w:hint="eastAsia" w:ascii="仿宋" w:hAnsi="仿宋" w:eastAsia="仿宋" w:cs="宋体"/>
          <w:bCs/>
          <w:color w:val="000000" w:themeColor="text1"/>
          <w:sz w:val="32"/>
          <w:szCs w:val="32"/>
          <w:lang w:bidi="ar"/>
          <w14:textFill>
            <w14:solidFill>
              <w14:schemeClr w14:val="tx1"/>
            </w14:solidFill>
          </w14:textFill>
        </w:rPr>
        <w:t>我单位固定资产43.79万元,其中:0套房屋0万元，4辆车21.15万元，0个专用设备0万元，240个办公设备26.46万元。目前正在使用的固定资产总额43.79万元，固定资产利用率为100%。</w:t>
      </w:r>
    </w:p>
    <w:p>
      <w:pPr>
        <w:pStyle w:val="12"/>
        <w:snapToGrid w:val="0"/>
        <w:spacing w:line="540" w:lineRule="exact"/>
        <w:ind w:firstLine="624"/>
        <w:rPr>
          <w:rStyle w:val="9"/>
          <w:rFonts w:ascii="仿宋" w:hAnsi="仿宋" w:eastAsia="仿宋"/>
          <w:b w:val="0"/>
          <w:bCs w:val="0"/>
          <w:color w:val="000000" w:themeColor="text1"/>
          <w:spacing w:val="-4"/>
          <w:sz w:val="32"/>
          <w:szCs w:val="32"/>
          <w14:textFill>
            <w14:solidFill>
              <w14:schemeClr w14:val="tx1"/>
            </w14:solidFill>
          </w14:textFill>
        </w:rPr>
      </w:pPr>
      <w:r>
        <w:rPr>
          <w:rStyle w:val="9"/>
          <w:rFonts w:hint="eastAsia" w:ascii="仿宋" w:hAnsi="仿宋" w:eastAsia="仿宋"/>
          <w:b w:val="0"/>
          <w:bCs w:val="0"/>
          <w:color w:val="000000" w:themeColor="text1"/>
          <w:spacing w:val="-4"/>
          <w:sz w:val="32"/>
          <w:szCs w:val="32"/>
          <w14:textFill>
            <w14:solidFill>
              <w14:schemeClr w14:val="tx1"/>
            </w14:solidFill>
          </w14:textFill>
        </w:rPr>
        <w:t>3.流动资产管理情况。</w:t>
      </w:r>
    </w:p>
    <w:p>
      <w:pPr>
        <w:pStyle w:val="12"/>
        <w:snapToGrid w:val="0"/>
        <w:spacing w:line="540" w:lineRule="exact"/>
        <w:ind w:firstLine="624"/>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 w:hAnsi="仿宋" w:eastAsia="仿宋"/>
          <w:b w:val="0"/>
          <w:bCs w:val="0"/>
          <w:color w:val="000000" w:themeColor="text1"/>
          <w:spacing w:val="-4"/>
          <w:sz w:val="32"/>
          <w:szCs w:val="32"/>
          <w14:textFill>
            <w14:solidFill>
              <w14:schemeClr w14:val="tx1"/>
            </w14:solidFill>
          </w14:textFill>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12"/>
        <w:tabs>
          <w:tab w:val="left" w:pos="0"/>
        </w:tabs>
        <w:snapToGrid w:val="0"/>
        <w:spacing w:line="540" w:lineRule="exact"/>
        <w:ind w:firstLine="627"/>
        <w:outlineLvl w:val="1"/>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（二）固定资产利用率</w:t>
      </w:r>
    </w:p>
    <w:p>
      <w:pPr>
        <w:pStyle w:val="12"/>
        <w:tabs>
          <w:tab w:val="left" w:pos="0"/>
        </w:tabs>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截止本年度固定资产账面净值17.33万元，年末实际在用固定资产43.79万元，固定资产利用率为39.57%。</w:t>
      </w:r>
    </w:p>
    <w:p>
      <w:pPr>
        <w:pStyle w:val="12"/>
        <w:numPr>
          <w:ilvl w:val="0"/>
          <w:numId w:val="2"/>
        </w:numPr>
        <w:snapToGrid w:val="0"/>
        <w:spacing w:line="540" w:lineRule="exact"/>
        <w:ind w:firstLineChars="0"/>
        <w:outlineLvl w:val="0"/>
        <w:rPr>
          <w:rStyle w:val="9"/>
          <w:rFonts w:ascii="仿宋_GB2312" w:hAnsi="仿宋_GB2312" w:eastAsia="仿宋_GB2312" w:cs="仿宋_GB2312"/>
          <w:color w:val="000000" w:themeColor="text1"/>
          <w:spacing w:val="-4"/>
          <w:sz w:val="32"/>
          <w:szCs w:val="32"/>
          <w14:textFill>
            <w14:solidFill>
              <w14:schemeClr w14:val="tx1"/>
            </w14:solidFill>
          </w14:textFill>
        </w:rPr>
      </w:pPr>
      <w:bookmarkStart w:id="5" w:name="_Toc13582_WPSOffice_Level1"/>
      <w:r>
        <w:rPr>
          <w:rStyle w:val="9"/>
          <w:rFonts w:hint="eastAsia" w:ascii="仿宋_GB2312" w:hAnsi="仿宋_GB2312" w:eastAsia="仿宋_GB2312" w:cs="仿宋_GB2312"/>
          <w:color w:val="000000" w:themeColor="text1"/>
          <w:spacing w:val="-4"/>
          <w:sz w:val="32"/>
          <w:szCs w:val="32"/>
          <w14:textFill>
            <w14:solidFill>
              <w14:schemeClr w14:val="tx1"/>
            </w14:solidFill>
          </w14:textFill>
        </w:rPr>
        <w:t>部门单位整体支出绩效情况</w:t>
      </w:r>
      <w:bookmarkEnd w:id="5"/>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部门单位整体支出自评表，共设置一级指标3个，二级指标9个，三级指标15个。</w:t>
      </w:r>
    </w:p>
    <w:p>
      <w:pPr>
        <w:pStyle w:val="12"/>
        <w:snapToGrid w:val="0"/>
        <w:spacing w:line="540" w:lineRule="exact"/>
        <w:ind w:firstLine="627"/>
        <w:outlineLvl w:val="1"/>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（一）产出指标完成情况分析</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1.产出数量</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保障人员人数指标，预期指标是等于</w:t>
      </w:r>
      <w:r>
        <w:rPr>
          <w:rFonts w:hint="eastAsia" w:ascii="仿宋" w:hAnsi="仿宋" w:eastAsia="仿宋" w:cs="宋体"/>
          <w:bCs/>
          <w:color w:val="000000" w:themeColor="text1"/>
          <w:sz w:val="32"/>
          <w:szCs w:val="32"/>
          <w:lang w:bidi="ar"/>
          <w14:textFill>
            <w14:solidFill>
              <w14:schemeClr w14:val="tx1"/>
            </w14:solidFill>
          </w14:textFill>
        </w:rPr>
        <w:t>28</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人，实际完成值是</w:t>
      </w:r>
      <w:r>
        <w:rPr>
          <w:rFonts w:hint="eastAsia" w:ascii="仿宋" w:hAnsi="仿宋" w:eastAsia="仿宋" w:cs="宋体"/>
          <w:bCs/>
          <w:color w:val="000000" w:themeColor="text1"/>
          <w:sz w:val="32"/>
          <w:szCs w:val="32"/>
          <w:lang w:bidi="ar"/>
          <w14:textFill>
            <w14:solidFill>
              <w14:schemeClr w14:val="tx1"/>
            </w14:solidFill>
          </w14:textFill>
        </w:rPr>
        <w:t>28</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人，指标完成率是</w:t>
      </w:r>
      <w:r>
        <w:rPr>
          <w:rFonts w:hint="eastAsia" w:ascii="仿宋" w:hAnsi="仿宋" w:eastAsia="仿宋" w:cs="宋体"/>
          <w:bCs/>
          <w:color w:val="000000" w:themeColor="text1"/>
          <w:sz w:val="32"/>
          <w:szCs w:val="32"/>
          <w:lang w:bidi="ar"/>
          <w14:textFill>
            <w14:solidFill>
              <w14:schemeClr w14:val="tx1"/>
            </w14:solidFill>
          </w14:textFill>
        </w:rPr>
        <w:t>100</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%，达到预期目标。</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购买保险车辆数指标，预期指标等于5次，实际完成值是4次，指标完成率是80%，未达到预期目标。（未达成预期目标，未完成的原因：车辆保险预算没有做好，钱不够，今后的改进措施：做好年初预算，保证以后车辆保险费够用）</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购买燃油和维修的车辆数指标，预期指标是等于</w:t>
      </w:r>
      <w:r>
        <w:rPr>
          <w:rFonts w:hint="eastAsia" w:ascii="仿宋" w:hAnsi="仿宋" w:eastAsia="仿宋" w:cs="宋体"/>
          <w:bCs/>
          <w:color w:val="000000" w:themeColor="text1"/>
          <w:sz w:val="32"/>
          <w:szCs w:val="32"/>
          <w:lang w:bidi="ar"/>
          <w14:textFill>
            <w14:solidFill>
              <w14:schemeClr w14:val="tx1"/>
            </w14:solidFill>
          </w14:textFill>
        </w:rPr>
        <w:t>5</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辆，实际完成值是5辆，指标完成率是100%，达到预期目标。</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购买办公用品批量指标，预期指标等于6批，实际完成值是6批，指标完成率是100%，达到预期目标。</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数量指标共计</w:t>
      </w:r>
      <w:r>
        <w:rPr>
          <w:rFonts w:hint="eastAsia" w:ascii="仿宋" w:hAnsi="仿宋" w:eastAsia="仿宋" w:cs="宋体"/>
          <w:bCs/>
          <w:color w:val="000000" w:themeColor="text1"/>
          <w:sz w:val="32"/>
          <w:szCs w:val="32"/>
          <w:lang w:bidi="ar"/>
          <w14:textFill>
            <w14:solidFill>
              <w14:schemeClr w14:val="tx1"/>
            </w14:solidFill>
          </w14:textFill>
        </w:rPr>
        <w:t>4</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个，完成</w:t>
      </w:r>
      <w:r>
        <w:rPr>
          <w:rFonts w:hint="eastAsia" w:ascii="仿宋" w:hAnsi="仿宋" w:eastAsia="仿宋" w:cs="宋体"/>
          <w:bCs/>
          <w:color w:val="000000" w:themeColor="text1"/>
          <w:sz w:val="32"/>
          <w:szCs w:val="32"/>
          <w:lang w:bidi="ar"/>
          <w14:textFill>
            <w14:solidFill>
              <w14:schemeClr w14:val="tx1"/>
            </w14:solidFill>
          </w14:textFill>
        </w:rPr>
        <w:t>3</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个，达到预期目标，数量指标完成。</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2.产出质量</w:t>
      </w:r>
    </w:p>
    <w:p>
      <w:pPr>
        <w:pStyle w:val="17"/>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采购合格率指标，预期指标是等于</w:t>
      </w:r>
      <w:r>
        <w:rPr>
          <w:rFonts w:hint="eastAsia" w:ascii="仿宋" w:hAnsi="仿宋" w:eastAsia="仿宋" w:cs="宋体"/>
          <w:bCs/>
          <w:color w:val="000000" w:themeColor="text1"/>
          <w:sz w:val="32"/>
          <w:szCs w:val="32"/>
          <w:lang w:bidi="ar"/>
          <w14:textFill>
            <w14:solidFill>
              <w14:schemeClr w14:val="tx1"/>
            </w14:solidFill>
          </w14:textFill>
        </w:rPr>
        <w:t>100</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%，实际完成值是</w:t>
      </w:r>
      <w:r>
        <w:rPr>
          <w:rFonts w:hint="eastAsia" w:ascii="仿宋" w:hAnsi="仿宋" w:eastAsia="仿宋" w:cs="宋体"/>
          <w:bCs/>
          <w:color w:val="000000" w:themeColor="text1"/>
          <w:sz w:val="32"/>
          <w:szCs w:val="32"/>
          <w:lang w:bidi="ar"/>
          <w14:textFill>
            <w14:solidFill>
              <w14:schemeClr w14:val="tx1"/>
            </w14:solidFill>
          </w14:textFill>
        </w:rPr>
        <w:t>100</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%。指标完成率是100%，达到质量提升及标准。</w:t>
      </w:r>
    </w:p>
    <w:p>
      <w:pPr>
        <w:pStyle w:val="17"/>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资金使用合格率（%），预期指标是等于</w:t>
      </w:r>
      <w:r>
        <w:rPr>
          <w:rFonts w:hint="eastAsia" w:ascii="仿宋" w:hAnsi="仿宋" w:eastAsia="仿宋" w:cs="宋体"/>
          <w:bCs/>
          <w:color w:val="000000" w:themeColor="text1"/>
          <w:sz w:val="32"/>
          <w:szCs w:val="32"/>
          <w:lang w:bidi="ar"/>
          <w14:textFill>
            <w14:solidFill>
              <w14:schemeClr w14:val="tx1"/>
            </w14:solidFill>
          </w14:textFill>
        </w:rPr>
        <w:t>100</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%，实际完成值是</w:t>
      </w:r>
      <w:r>
        <w:rPr>
          <w:rFonts w:hint="eastAsia" w:ascii="仿宋" w:hAnsi="仿宋" w:eastAsia="仿宋" w:cs="宋体"/>
          <w:bCs/>
          <w:color w:val="000000" w:themeColor="text1"/>
          <w:sz w:val="32"/>
          <w:szCs w:val="32"/>
          <w:lang w:bidi="ar"/>
          <w14:textFill>
            <w14:solidFill>
              <w14:schemeClr w14:val="tx1"/>
            </w14:solidFill>
          </w14:textFill>
        </w:rPr>
        <w:t>100</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%。指标完成率是100%，达到质量提升及标准。</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质量指标共计</w:t>
      </w:r>
      <w:r>
        <w:rPr>
          <w:rFonts w:hint="eastAsia" w:ascii="仿宋" w:hAnsi="仿宋" w:eastAsia="仿宋" w:cs="宋体"/>
          <w:bCs/>
          <w:color w:val="000000" w:themeColor="text1"/>
          <w:sz w:val="32"/>
          <w:szCs w:val="32"/>
          <w:lang w:bidi="ar"/>
          <w14:textFill>
            <w14:solidFill>
              <w14:schemeClr w14:val="tx1"/>
            </w14:solidFill>
          </w14:textFill>
        </w:rPr>
        <w:t>2</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个，完成</w:t>
      </w:r>
      <w:r>
        <w:rPr>
          <w:rFonts w:hint="eastAsia" w:ascii="仿宋" w:hAnsi="仿宋" w:eastAsia="仿宋" w:cs="宋体"/>
          <w:bCs/>
          <w:color w:val="000000" w:themeColor="text1"/>
          <w:sz w:val="32"/>
          <w:szCs w:val="32"/>
          <w:lang w:bidi="ar"/>
          <w14:textFill>
            <w14:solidFill>
              <w14:schemeClr w14:val="tx1"/>
            </w14:solidFill>
          </w14:textFill>
        </w:rPr>
        <w:t>2</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个，达到质量提升及标准。质量指标完成。</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3.产出进度</w:t>
      </w:r>
    </w:p>
    <w:p>
      <w:pPr>
        <w:pStyle w:val="17"/>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资金拨付及时率指标，预期指标是等于100%，实际完成值是100%，指标完成率是100%，达到预期目标。</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时效指标共计</w:t>
      </w:r>
      <w:r>
        <w:rPr>
          <w:rFonts w:hint="eastAsia" w:ascii="仿宋" w:hAnsi="仿宋" w:eastAsia="仿宋" w:cs="宋体"/>
          <w:bCs/>
          <w:color w:val="000000" w:themeColor="text1"/>
          <w:sz w:val="32"/>
          <w:szCs w:val="32"/>
          <w:lang w:bidi="ar"/>
          <w14:textFill>
            <w14:solidFill>
              <w14:schemeClr w14:val="tx1"/>
            </w14:solidFill>
          </w14:textFill>
        </w:rPr>
        <w:t>1</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个，完成</w:t>
      </w:r>
      <w:r>
        <w:rPr>
          <w:rFonts w:hint="eastAsia" w:ascii="仿宋" w:hAnsi="仿宋" w:eastAsia="仿宋" w:cs="宋体"/>
          <w:bCs/>
          <w:color w:val="000000" w:themeColor="text1"/>
          <w:sz w:val="32"/>
          <w:szCs w:val="32"/>
          <w:lang w:bidi="ar"/>
          <w14:textFill>
            <w14:solidFill>
              <w14:schemeClr w14:val="tx1"/>
            </w14:solidFill>
          </w14:textFill>
        </w:rPr>
        <w:t>1</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个，达到预期目标，数量指标完成。</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4.产出成本</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人员经费（万元）指标，预期指标是等于295.93万元，实际完成值是295.93万元，指标完成率是100%，达到成本控制及改善目标。</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车辆保险费用（万元）指标，预期指标是等于2.75万元，实际完成值是2.52万元，指标完成率是91.64%，达到成本控制及改善目标。（未达成预期目标，未完成的原因：车辆保险预算没有做好，钱不够，今后的改进措施：做好年初预算，保证以后车辆保险费够用）。</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工作经费（万元）指标，预期指标是等于2.16万元，实际完成值是2.16万元，指标完成率是100%，达到成本控制及改善目标。</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成本指标共计3个，完成2个，达到成本控制及改善目标，成本指标完成。</w:t>
      </w:r>
    </w:p>
    <w:p>
      <w:pPr>
        <w:pStyle w:val="12"/>
        <w:snapToGrid w:val="0"/>
        <w:spacing w:line="540" w:lineRule="exact"/>
        <w:ind w:firstLine="627"/>
        <w:outlineLvl w:val="1"/>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（二）效益指标完成情况分析</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1.项目实施的经济效益分析</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无。</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2.项目实施的社会效益分析</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壮大城管执法队伍力量指标，预期指标是有效壮大，实际完成值是有效壮大，指标完成率是100%，达到单位履职能力对社会带来的影响预期目标。</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提升城市管理执法能力指标，预期指标是有效提升，实际完成值是有效提升，指标完成率是100%，达到单位履职能力对社会带来的影响预期目标。</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社会效益指标共计2个，完成2个，达到单位履职能力对社会带来的影响预期目标，社会效益指标完成。</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3.项目实施的生态效益分析</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无。</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4.项目实施的可持续影响分析</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提升树立良好的社会风气指标，预期指标是有效提升，实际完成值是有效提升，指标完成率是100%，实现部门绩效长效机制建设，提高工作效率目标。</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可持续影响指标共计1个，完成1个，达到预期目标，可持续影响指标完成。</w:t>
      </w:r>
    </w:p>
    <w:p>
      <w:pPr>
        <w:pStyle w:val="12"/>
        <w:snapToGrid w:val="0"/>
        <w:spacing w:line="540" w:lineRule="exact"/>
        <w:ind w:firstLine="627"/>
        <w:outlineLvl w:val="1"/>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（三）满意度指标完成情况分析</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职工满意度指标，预期指标是大于等于95%，实际完成值是98%，指标完成率是100%，达到部门（单位）服务对象对部门履职效果的满意度。</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使用单位满意度指标，预期指标是大于等于95%，实际完成值是96%，指标完成率是100%，达到部门（单位）服务对象对部门履职效果的满意度。</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满意度指标共计2个，完成2个，达到部门（单位）服务对象对部门履职效果的满意度，服务对象满意度指标完成。</w:t>
      </w:r>
    </w:p>
    <w:p>
      <w:pPr>
        <w:pStyle w:val="12"/>
        <w:numPr>
          <w:ilvl w:val="0"/>
          <w:numId w:val="2"/>
        </w:numPr>
        <w:snapToGrid w:val="0"/>
        <w:spacing w:line="540" w:lineRule="exact"/>
        <w:ind w:firstLineChars="0"/>
        <w:outlineLvl w:val="0"/>
        <w:rPr>
          <w:rStyle w:val="9"/>
          <w:rFonts w:ascii="仿宋_GB2312" w:hAnsi="仿宋_GB2312" w:eastAsia="仿宋_GB2312" w:cs="仿宋_GB2312"/>
          <w:color w:val="000000" w:themeColor="text1"/>
          <w:spacing w:val="-4"/>
          <w:sz w:val="32"/>
          <w:szCs w:val="32"/>
          <w14:textFill>
            <w14:solidFill>
              <w14:schemeClr w14:val="tx1"/>
            </w14:solidFill>
          </w14:textFill>
        </w:rPr>
      </w:pPr>
      <w:bookmarkStart w:id="6" w:name="_Toc22800_WPSOffice_Level1"/>
      <w:r>
        <w:rPr>
          <w:rStyle w:val="9"/>
          <w:rFonts w:hint="eastAsia" w:ascii="仿宋_GB2312" w:hAnsi="仿宋_GB2312" w:eastAsia="仿宋_GB2312" w:cs="仿宋_GB2312"/>
          <w:color w:val="000000" w:themeColor="text1"/>
          <w:spacing w:val="-4"/>
          <w:sz w:val="32"/>
          <w:szCs w:val="32"/>
          <w14:textFill>
            <w14:solidFill>
              <w14:schemeClr w14:val="tx1"/>
            </w14:solidFill>
          </w14:textFill>
        </w:rPr>
        <w:t>存在的主要问题</w:t>
      </w:r>
      <w:bookmarkEnd w:id="6"/>
    </w:p>
    <w:p>
      <w:pPr>
        <w:snapToGrid w:val="0"/>
        <w:spacing w:line="540" w:lineRule="exact"/>
        <w:ind w:firstLine="624" w:firstLineChars="200"/>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部分业务人员绩效管理意识有待增强，未能全面深入认识理解绩效管理工作的意义。绩效管理经验不足，预算绩效管理工作有待进一步落实。</w:t>
      </w:r>
    </w:p>
    <w:p>
      <w:pPr>
        <w:snapToGrid w:val="0"/>
        <w:spacing w:line="540" w:lineRule="exact"/>
        <w:ind w:firstLine="624" w:firstLineChars="200"/>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绩效指标的明确性、可衡量性、相关性还需进一步提升。预算精细化管理还需完善，预算编制管理水平仍有进一步提升的空间。</w:t>
      </w:r>
    </w:p>
    <w:p>
      <w:pPr>
        <w:pStyle w:val="12"/>
        <w:numPr>
          <w:ilvl w:val="0"/>
          <w:numId w:val="2"/>
        </w:numPr>
        <w:snapToGrid w:val="0"/>
        <w:spacing w:line="540" w:lineRule="exact"/>
        <w:ind w:firstLineChars="0"/>
        <w:outlineLvl w:val="0"/>
        <w:rPr>
          <w:rStyle w:val="9"/>
          <w:rFonts w:ascii="仿宋_GB2312" w:hAnsi="仿宋_GB2312" w:eastAsia="仿宋_GB2312" w:cs="仿宋_GB2312"/>
          <w:color w:val="000000" w:themeColor="text1"/>
          <w:spacing w:val="-4"/>
          <w:sz w:val="32"/>
          <w:szCs w:val="32"/>
          <w14:textFill>
            <w14:solidFill>
              <w14:schemeClr w14:val="tx1"/>
            </w14:solidFill>
          </w14:textFill>
        </w:rPr>
      </w:pPr>
      <w:bookmarkStart w:id="7" w:name="_Toc29546_WPSOffice_Level1"/>
      <w:r>
        <w:rPr>
          <w:rStyle w:val="9"/>
          <w:rFonts w:hint="eastAsia" w:ascii="仿宋_GB2312" w:hAnsi="仿宋_GB2312" w:eastAsia="仿宋_GB2312" w:cs="仿宋_GB2312"/>
          <w:color w:val="000000" w:themeColor="text1"/>
          <w:spacing w:val="-4"/>
          <w:sz w:val="32"/>
          <w:szCs w:val="32"/>
          <w14:textFill>
            <w14:solidFill>
              <w14:schemeClr w14:val="tx1"/>
            </w14:solidFill>
          </w14:textFill>
        </w:rPr>
        <w:t>改进措施和建议</w:t>
      </w:r>
      <w:bookmarkEnd w:id="7"/>
    </w:p>
    <w:p>
      <w:pPr>
        <w:pStyle w:val="12"/>
        <w:snapToGrid w:val="0"/>
        <w:spacing w:line="540" w:lineRule="exact"/>
        <w:ind w:firstLine="627"/>
        <w:outlineLvl w:val="1"/>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（一）改进措施</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加大绩效工作宣传力度，强化绩效理念。</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完善绩效指标，提高整体绩效目标质量。提升预算精细化管理水平。</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继续完善预算绩效管理相关工作制度，建立全过程预算绩效管理链条，有效贯彻落实全面实施绩效管理的精神。</w:t>
      </w:r>
    </w:p>
    <w:p>
      <w:pPr>
        <w:pStyle w:val="12"/>
        <w:snapToGrid w:val="0"/>
        <w:spacing w:line="540" w:lineRule="exact"/>
        <w:ind w:firstLine="624"/>
        <w:outlineLvl w:val="1"/>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w:t>
      </w: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二）建议</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加强预算绩效目标管理工作。明确预算项目绩效目标编制要求，分类别建立科学合理、细化量化、可比可测预算绩效指标体系，突出结果导向，重点考核实绩。</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加强绩效业务学习及培训，提高业务人员绩效管理意识，进一步加强预算绩效管理工作，优化项目支出绩效指标体系，完善预算绩效管理制度，有效推动我单位下一年度预算绩效管理工作常态化、规范化。</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通过强化专业培训、学习考察、业务交流等措施，帮助和促进本单位现有人员提高绩效管理业务水平、实际工作能力。强化预算绩效执行工作，指定专人负责预算执行监督管理，进一步推动预算绩效管理工作。</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借助第三方专业机构力量，贯彻落实全面预算绩效管理工作，建立全过程预算绩效管理链条，将绩效各个环节紧密贯通。</w:t>
      </w:r>
    </w:p>
    <w:p>
      <w:pPr>
        <w:snapToGrid w:val="0"/>
        <w:spacing w:line="540" w:lineRule="exact"/>
        <w:rPr>
          <w:rStyle w:val="9"/>
          <w:rFonts w:ascii="仿宋_GB2312" w:hAnsi="仿宋_GB2312" w:eastAsia="仿宋_GB2312" w:cs="仿宋_GB2312"/>
          <w:b w:val="0"/>
          <w:color w:val="000000" w:themeColor="text1"/>
          <w:spacing w:val="-4"/>
          <w:sz w:val="32"/>
          <w:szCs w:val="32"/>
          <w14:textFill>
            <w14:solidFill>
              <w14:schemeClr w14:val="tx1"/>
            </w14:solidFill>
          </w14:textFill>
        </w:rPr>
      </w:pPr>
    </w:p>
    <w:sectPr>
      <w:footerReference r:id="rId3" w:type="default"/>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altName w:val="黑体"/>
    <w:panose1 w:val="00000000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A22C4C"/>
    <w:multiLevelType w:val="multilevel"/>
    <w:tmpl w:val="20A22C4C"/>
    <w:lvl w:ilvl="0" w:tentative="0">
      <w:start w:val="4"/>
      <w:numFmt w:val="japaneseCounting"/>
      <w:lvlText w:val="%1、"/>
      <w:lvlJc w:val="left"/>
      <w:pPr>
        <w:ind w:left="1360" w:hanging="720"/>
      </w:pPr>
      <w:rPr>
        <w:rFonts w:hint="default" w:ascii="黑体" w:hAnsi="黑体" w:eastAsia="黑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6D319F"/>
    <w:rsid w:val="000C4E29"/>
    <w:rsid w:val="000D3AFA"/>
    <w:rsid w:val="000E1B81"/>
    <w:rsid w:val="0012092B"/>
    <w:rsid w:val="00141421"/>
    <w:rsid w:val="001707E0"/>
    <w:rsid w:val="00191BA3"/>
    <w:rsid w:val="001C1E1D"/>
    <w:rsid w:val="001D7F79"/>
    <w:rsid w:val="001E750D"/>
    <w:rsid w:val="0022744B"/>
    <w:rsid w:val="00234372"/>
    <w:rsid w:val="00292A50"/>
    <w:rsid w:val="002939FF"/>
    <w:rsid w:val="002F7CCD"/>
    <w:rsid w:val="003F0DB2"/>
    <w:rsid w:val="00424A01"/>
    <w:rsid w:val="00491D09"/>
    <w:rsid w:val="004E1483"/>
    <w:rsid w:val="0054132C"/>
    <w:rsid w:val="005519D7"/>
    <w:rsid w:val="00580BAA"/>
    <w:rsid w:val="00590FAD"/>
    <w:rsid w:val="005B1250"/>
    <w:rsid w:val="006258B7"/>
    <w:rsid w:val="00633862"/>
    <w:rsid w:val="006B4CDA"/>
    <w:rsid w:val="006C5BED"/>
    <w:rsid w:val="006C5D3A"/>
    <w:rsid w:val="006D4FCD"/>
    <w:rsid w:val="006E5B50"/>
    <w:rsid w:val="006F7865"/>
    <w:rsid w:val="00702C52"/>
    <w:rsid w:val="00702D4A"/>
    <w:rsid w:val="007115C8"/>
    <w:rsid w:val="00722C79"/>
    <w:rsid w:val="00724F4D"/>
    <w:rsid w:val="007925C0"/>
    <w:rsid w:val="007D6A0D"/>
    <w:rsid w:val="007E7E99"/>
    <w:rsid w:val="00802CD4"/>
    <w:rsid w:val="00825D99"/>
    <w:rsid w:val="0089387B"/>
    <w:rsid w:val="008E7E52"/>
    <w:rsid w:val="009304D8"/>
    <w:rsid w:val="0093778D"/>
    <w:rsid w:val="0097614B"/>
    <w:rsid w:val="0099431C"/>
    <w:rsid w:val="009F5A38"/>
    <w:rsid w:val="00AA5126"/>
    <w:rsid w:val="00AD16CD"/>
    <w:rsid w:val="00B5590F"/>
    <w:rsid w:val="00B86B60"/>
    <w:rsid w:val="00BA13C5"/>
    <w:rsid w:val="00BD7AB3"/>
    <w:rsid w:val="00BF62C2"/>
    <w:rsid w:val="00C04BE6"/>
    <w:rsid w:val="00C532B7"/>
    <w:rsid w:val="00C77007"/>
    <w:rsid w:val="00CD2F35"/>
    <w:rsid w:val="00CD5A03"/>
    <w:rsid w:val="00D82401"/>
    <w:rsid w:val="00D9126A"/>
    <w:rsid w:val="00D93262"/>
    <w:rsid w:val="00DB1085"/>
    <w:rsid w:val="00E71EE9"/>
    <w:rsid w:val="00EB1FFE"/>
    <w:rsid w:val="00F326C7"/>
    <w:rsid w:val="00F84215"/>
    <w:rsid w:val="00FD0F15"/>
    <w:rsid w:val="00FF2ACD"/>
    <w:rsid w:val="012008EE"/>
    <w:rsid w:val="01CC583F"/>
    <w:rsid w:val="04FF0482"/>
    <w:rsid w:val="05062887"/>
    <w:rsid w:val="05F70F85"/>
    <w:rsid w:val="084208C4"/>
    <w:rsid w:val="098A3C0A"/>
    <w:rsid w:val="0A9A7091"/>
    <w:rsid w:val="10FE60D7"/>
    <w:rsid w:val="175D58E3"/>
    <w:rsid w:val="18061B60"/>
    <w:rsid w:val="190C3DF8"/>
    <w:rsid w:val="19F83E30"/>
    <w:rsid w:val="1B403139"/>
    <w:rsid w:val="1C6D319F"/>
    <w:rsid w:val="1D4D74D6"/>
    <w:rsid w:val="1DE32CFD"/>
    <w:rsid w:val="1F1A602A"/>
    <w:rsid w:val="1F2854B6"/>
    <w:rsid w:val="21C768CD"/>
    <w:rsid w:val="22776641"/>
    <w:rsid w:val="22E14253"/>
    <w:rsid w:val="23F209A3"/>
    <w:rsid w:val="2403516E"/>
    <w:rsid w:val="254C103E"/>
    <w:rsid w:val="256A2A9E"/>
    <w:rsid w:val="2805537E"/>
    <w:rsid w:val="289437EE"/>
    <w:rsid w:val="28A55EB1"/>
    <w:rsid w:val="2EBF757D"/>
    <w:rsid w:val="31B83F5F"/>
    <w:rsid w:val="3278012B"/>
    <w:rsid w:val="328E2AB6"/>
    <w:rsid w:val="329B12EA"/>
    <w:rsid w:val="33A83F87"/>
    <w:rsid w:val="355C2B3F"/>
    <w:rsid w:val="35F12468"/>
    <w:rsid w:val="36851B5C"/>
    <w:rsid w:val="37D360CA"/>
    <w:rsid w:val="38CB5066"/>
    <w:rsid w:val="3A632E5C"/>
    <w:rsid w:val="3A74046E"/>
    <w:rsid w:val="3D6A7D83"/>
    <w:rsid w:val="3F301058"/>
    <w:rsid w:val="417A34F9"/>
    <w:rsid w:val="418810F4"/>
    <w:rsid w:val="41A37673"/>
    <w:rsid w:val="42C30950"/>
    <w:rsid w:val="45A65C7F"/>
    <w:rsid w:val="468C2A4A"/>
    <w:rsid w:val="46AD2493"/>
    <w:rsid w:val="46EC7F14"/>
    <w:rsid w:val="4851401A"/>
    <w:rsid w:val="48AF4C7F"/>
    <w:rsid w:val="4A81677A"/>
    <w:rsid w:val="4B7705C0"/>
    <w:rsid w:val="4DA177B2"/>
    <w:rsid w:val="4DF36D4F"/>
    <w:rsid w:val="501B7C76"/>
    <w:rsid w:val="504D5CCF"/>
    <w:rsid w:val="5095081C"/>
    <w:rsid w:val="533A7469"/>
    <w:rsid w:val="53526129"/>
    <w:rsid w:val="54DB173D"/>
    <w:rsid w:val="565F61A9"/>
    <w:rsid w:val="57232FC4"/>
    <w:rsid w:val="572D2326"/>
    <w:rsid w:val="57365691"/>
    <w:rsid w:val="59EE1E48"/>
    <w:rsid w:val="5A490F5C"/>
    <w:rsid w:val="5BD21464"/>
    <w:rsid w:val="5BDE2B83"/>
    <w:rsid w:val="61635F72"/>
    <w:rsid w:val="618606C5"/>
    <w:rsid w:val="63E114D3"/>
    <w:rsid w:val="6A0B0D54"/>
    <w:rsid w:val="6AD46D46"/>
    <w:rsid w:val="6DE07909"/>
    <w:rsid w:val="6E58438A"/>
    <w:rsid w:val="6E9D5508"/>
    <w:rsid w:val="6FA3087E"/>
    <w:rsid w:val="71EB22B3"/>
    <w:rsid w:val="72010FA6"/>
    <w:rsid w:val="748A4F72"/>
    <w:rsid w:val="75664078"/>
    <w:rsid w:val="761E4132"/>
    <w:rsid w:val="78061A79"/>
    <w:rsid w:val="7BC003CA"/>
    <w:rsid w:val="7CBF4BB4"/>
    <w:rsid w:val="7E5D346D"/>
    <w:rsid w:val="7FDB1E88"/>
    <w:rsid w:val="FFDF9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4"/>
      <w:lang w:val="en-US" w:eastAsia="zh-CN" w:bidi="ar-SA"/>
    </w:rPr>
  </w:style>
  <w:style w:type="paragraph" w:styleId="3">
    <w:name w:val="heading 2"/>
    <w:basedOn w:val="1"/>
    <w:next w:val="1"/>
    <w:unhideWhenUsed/>
    <w:qFormat/>
    <w:uiPriority w:val="0"/>
    <w:pPr>
      <w:keepNext/>
      <w:keepLines/>
      <w:outlineLvl w:val="1"/>
    </w:pPr>
    <w:rPr>
      <w:rFonts w:ascii="Arial" w:hAnsi="Arial" w:eastAsia="楷体"/>
      <w:b/>
      <w:sz w:val="32"/>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8">
    <w:name w:val="Default Paragraph Font"/>
    <w:semiHidden/>
    <w:unhideWhenUsed/>
    <w:uiPriority w:val="1"/>
  </w:style>
  <w:style w:type="table" w:default="1" w:styleId="10">
    <w:name w:val="Normal Table"/>
    <w:semiHidden/>
    <w:unhideWhenUsed/>
    <w:uiPriority w:val="99"/>
    <w:tblPr>
      <w:tblLayout w:type="fixed"/>
      <w:tblCellMar>
        <w:top w:w="0" w:type="dxa"/>
        <w:left w:w="108" w:type="dxa"/>
        <w:bottom w:w="0" w:type="dxa"/>
        <w:right w:w="108" w:type="dxa"/>
      </w:tblCellMar>
    </w:tblPr>
  </w:style>
  <w:style w:type="paragraph" w:styleId="4">
    <w:name w:val="annotation text"/>
    <w:basedOn w:val="1"/>
    <w:unhideWhenUsed/>
    <w:qFormat/>
    <w:uiPriority w:val="99"/>
    <w:pPr>
      <w:jc w:val="left"/>
    </w:pPr>
  </w:style>
  <w:style w:type="paragraph" w:styleId="5">
    <w:name w:val="Body Text"/>
    <w:basedOn w:val="1"/>
    <w:qFormat/>
    <w:uiPriority w:val="0"/>
    <w:pPr>
      <w:spacing w:before="240" w:after="240" w:line="360" w:lineRule="auto"/>
      <w:jc w:val="center"/>
    </w:pPr>
    <w:rPr>
      <w:b/>
      <w:sz w:val="44"/>
    </w:rPr>
  </w:style>
  <w:style w:type="paragraph" w:styleId="6">
    <w:name w:val="footer"/>
    <w:basedOn w:val="1"/>
    <w:link w:val="13"/>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Strong"/>
    <w:basedOn w:val="8"/>
    <w:qFormat/>
    <w:uiPriority w:val="0"/>
    <w:rPr>
      <w:b/>
      <w:bCs/>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2">
    <w:name w:val="列表段落1"/>
    <w:basedOn w:val="1"/>
    <w:unhideWhenUsed/>
    <w:qFormat/>
    <w:uiPriority w:val="99"/>
    <w:pPr>
      <w:ind w:firstLine="420" w:firstLineChars="200"/>
    </w:pPr>
  </w:style>
  <w:style w:type="character" w:customStyle="1" w:styleId="13">
    <w:name w:val="页脚 字符"/>
    <w:basedOn w:val="8"/>
    <w:link w:val="6"/>
    <w:qFormat/>
    <w:uiPriority w:val="99"/>
    <w:rPr>
      <w:sz w:val="18"/>
      <w:szCs w:val="18"/>
    </w:rPr>
  </w:style>
  <w:style w:type="character" w:customStyle="1" w:styleId="14">
    <w:name w:val="页眉 字符"/>
    <w:basedOn w:val="8"/>
    <w:link w:val="7"/>
    <w:qFormat/>
    <w:uiPriority w:val="99"/>
    <w:rPr>
      <w:sz w:val="18"/>
      <w:szCs w:val="18"/>
    </w:rPr>
  </w:style>
  <w:style w:type="paragraph" w:customStyle="1" w:styleId="15">
    <w:name w:val="WPSOffice手动目录 1"/>
    <w:qFormat/>
    <w:uiPriority w:val="0"/>
    <w:rPr>
      <w:rFonts w:asciiTheme="minorHAnsi" w:hAnsiTheme="minorHAnsi" w:eastAsiaTheme="minorEastAsia" w:cstheme="minorBidi"/>
      <w:lang w:val="en-US" w:eastAsia="zh-CN" w:bidi="ar-SA"/>
    </w:rPr>
  </w:style>
  <w:style w:type="paragraph" w:customStyle="1" w:styleId="16">
    <w:name w:val="闻政-正文段落文字"/>
    <w:basedOn w:val="1"/>
    <w:qFormat/>
    <w:uiPriority w:val="3"/>
    <w:pPr>
      <w:spacing w:line="500" w:lineRule="exact"/>
      <w:ind w:firstLine="200"/>
    </w:pPr>
    <w:rPr>
      <w:rFonts w:ascii="Times New Roman" w:hAnsi="Times New Roman" w:cs="Times New Roman"/>
      <w:kern w:val="0"/>
      <w:szCs w:val="28"/>
    </w:rPr>
  </w:style>
  <w:style w:type="paragraph" w:customStyle="1" w:styleId="17">
    <w:name w:val="列表段落11"/>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市直单位</Company>
  <Pages>1</Pages>
  <Words>1097</Words>
  <Characters>6259</Characters>
  <Lines>52</Lines>
  <Paragraphs>14</Paragraphs>
  <TotalTime>16</TotalTime>
  <ScaleCrop>false</ScaleCrop>
  <LinksUpToDate>false</LinksUpToDate>
  <CharactersWithSpaces>7342</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2021-02-24T22:26:00Z</dcterms:created>
  <dc:creator>ght-pc</dc:creator>
  <cp:lastModifiedBy>czjbgs</cp:lastModifiedBy>
  <dcterms:modified xsi:type="dcterms:W3CDTF">2023-12-15T12:54:53Z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F660CCEF2EEF4B33B354BA159702D299</vt:lpwstr>
  </property>
</Properties>
</file>