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阿克陶县奥依塔克镇人民政府部门单位整体支出绩效自评报告</w:t>
      </w:r>
    </w:p>
    <w:p>
      <w:pPr>
        <w:spacing w:line="540" w:lineRule="exact"/>
        <w:jc w:val="center"/>
        <w:outlineLvl w:val="0"/>
        <w:rPr>
          <w:rFonts w:ascii="方正小标宋简体" w:hAnsi="方正小标宋简体" w:eastAsia="方正小标宋简体" w:cs="方正小标宋简体"/>
          <w:b/>
          <w:kern w:val="0"/>
          <w:sz w:val="44"/>
          <w:szCs w:val="44"/>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left="638" w:leftChars="304"/>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部门单位名称（公章）：阿克陶县奥依塔克镇人民政府填报时间：2022年3月14日</w:t>
      </w:r>
    </w:p>
    <w:p>
      <w:pPr>
        <w:pStyle w:val="2"/>
      </w:pPr>
    </w:p>
    <w:p>
      <w:pPr>
        <w:pStyle w:val="11"/>
        <w:numPr>
          <w:ilvl w:val="0"/>
          <w:numId w:val="1"/>
        </w:numPr>
        <w:snapToGrid w:val="0"/>
        <w:spacing w:line="540" w:lineRule="exact"/>
        <w:ind w:firstLineChars="0"/>
        <w:outlineLvl w:val="0"/>
        <w:rPr>
          <w:rFonts w:ascii="仿宋_GB2312" w:hAnsi="仿宋_GB2312" w:eastAsia="仿宋_GB2312" w:cs="仿宋_GB2312"/>
          <w:b/>
          <w:sz w:val="32"/>
          <w:szCs w:val="32"/>
          <w:lang w:bidi="ar"/>
        </w:rPr>
      </w:pPr>
      <w:bookmarkStart w:id="0" w:name="_Toc23945_WPSOffice_Level1"/>
      <w:r>
        <w:rPr>
          <w:rFonts w:hint="eastAsia" w:ascii="仿宋_GB2312" w:hAnsi="仿宋_GB2312" w:eastAsia="仿宋_GB2312" w:cs="仿宋_GB2312"/>
          <w:b/>
          <w:sz w:val="32"/>
          <w:szCs w:val="32"/>
          <w:lang w:bidi="ar"/>
        </w:rPr>
        <w:t>基本概况</w:t>
      </w:r>
      <w:bookmarkEnd w:id="0"/>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（一）单位基本情况</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1.部门主要职能</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（1）贯彻执行党的路线、方针、政策，讨论决定本乡基本经济建设和社会发展中等重大问题，领导乡党政机关和站所和群众组织，加强乡党委自身建设和以党支部为核心的村级组织建设；</w:t>
      </w:r>
      <w:bookmarkStart w:id="9" w:name="_GoBack"/>
      <w:bookmarkEnd w:id="9"/>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（2）加强全乡社会主义民主法治建设和精神文明建设；</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（3）加强民族团结和维护社会稳定；</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（4）领导和管理全乡的经济工作和城乡建设；</w:t>
      </w:r>
    </w:p>
    <w:p>
      <w:pPr>
        <w:widowControl/>
        <w:ind w:firstLine="560"/>
        <w:jc w:val="left"/>
        <w:rPr>
          <w:rStyle w:val="8"/>
          <w:rFonts w:ascii="仿宋_GB2312" w:hAnsi="仿宋_GB2312" w:eastAsia="仿宋_GB2312" w:cs="仿宋_GB2312"/>
          <w:b w:val="0"/>
          <w:bCs w:val="0"/>
          <w:sz w:val="32"/>
          <w:szCs w:val="32"/>
        </w:rPr>
      </w:pPr>
      <w:r>
        <w:rPr>
          <w:rFonts w:hint="eastAsia" w:ascii="仿宋_GB2312" w:hAnsi="仿宋_GB2312" w:eastAsia="仿宋_GB2312" w:cs="仿宋_GB2312"/>
          <w:kern w:val="0"/>
          <w:sz w:val="32"/>
          <w:szCs w:val="32"/>
        </w:rPr>
        <w:t>（5）领导和管理本乡民政、公安、司法、教育、科技、文化、卫生、体育、计划生育、扶贫开发、电力、防病改水，减轻农民负担以及民族宗教事务等工作。</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2.部门机构设置及人员构成</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从预算单位构成看，奥依塔克镇的部门预算包括：奥依塔克镇本级预算及下属9家预算单位在内的汇总预算。</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奥依塔克镇本级下设9个处室，分别是：</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1、奥依塔克镇党委；</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2、奥依塔克镇人民政府；</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3、奥依塔克镇财政所；</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4、奥依塔克镇计生站；</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5、奥依塔克镇农业畜牧业发展服务中心；</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6、奥依塔克镇文化站；</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7、奥依塔克镇社会保障服务中心；</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8、奥依塔克镇食品药品监督所，</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9、奥依塔克镇村镇规划建设发展服务中心。</w:t>
      </w:r>
    </w:p>
    <w:p>
      <w:pPr>
        <w:widowControl/>
        <w:ind w:firstLine="56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本部门中，行政单位2家，参公管理事业单位0 家,事业单位7家。</w:t>
      </w:r>
    </w:p>
    <w:p>
      <w:pPr>
        <w:widowControl/>
        <w:ind w:firstLine="56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人员情况说明：2020年末实有人数为116人，2021年末实有人数为120人。增加4人。主要原因是：年底工作需要人员调动较大。</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3.年度重点工作</w:t>
      </w:r>
    </w:p>
    <w:p>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一、完善制度建设，铸造纪律高墙。进一步建立健全各项制度，从内到外“堵塞”制度漏洞。</w:t>
      </w:r>
    </w:p>
    <w:p>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二、强化理论学习，打造思想阵地。制定学习计划，完善学习制度，把思想建设摆在首位，结合“三会一课”、“党员活动日”等活动，持续深入的学习贯彻落实习近平新时代中国特色社会主义思想，坚定思想信念，增强政治本领。</w:t>
      </w:r>
    </w:p>
    <w:p>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三、严肃查处腐败，持续整顿作风。将继续严格按照县政府及县纪委监委工作要求，坚持以正风肃纪工作为抓手，以问题为导向，着力解决方法不新、标准不高、敬畏缺失、担当不足、纪律松弛、权力意识等方面存在的突出问题，严查工作中的违纪违规行为。</w:t>
      </w:r>
    </w:p>
    <w:p>
      <w:pPr>
        <w:pStyle w:val="11"/>
        <w:snapToGrid w:val="0"/>
        <w:spacing w:line="540" w:lineRule="exact"/>
        <w:ind w:firstLine="640"/>
        <w:rPr>
          <w:rStyle w:val="8"/>
          <w:rFonts w:ascii="仿宋_GB2312" w:hAnsi="仿宋_GB2312" w:eastAsia="仿宋_GB2312" w:cs="仿宋_GB2312"/>
          <w:b w:val="0"/>
          <w:sz w:val="32"/>
          <w:szCs w:val="32"/>
          <w:lang w:bidi="ar"/>
        </w:rPr>
      </w:pP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（二）决策过程</w:t>
      </w:r>
    </w:p>
    <w:p>
      <w:pPr>
        <w:ind w:firstLine="560"/>
        <w:rPr>
          <w:rStyle w:val="8"/>
          <w:rFonts w:ascii="仿宋_GB2312" w:hAnsi="仿宋_GB2312" w:eastAsia="仿宋_GB2312" w:cs="仿宋_GB2312"/>
          <w:b w:val="0"/>
          <w:sz w:val="32"/>
          <w:szCs w:val="32"/>
          <w:lang w:bidi="ar"/>
        </w:rPr>
      </w:pPr>
      <w:r>
        <w:rPr>
          <w:rFonts w:hint="eastAsia" w:ascii="仿宋_GB2312" w:hAnsi="仿宋_GB2312" w:eastAsia="仿宋_GB2312" w:cs="仿宋_GB2312"/>
          <w:sz w:val="32"/>
          <w:szCs w:val="32"/>
        </w:rPr>
        <w:t>我单位决策机制根据行政事业单位内部控制体系建设相关要求，逐步完善《奥依塔克镇内控管理方案》根据制度规定内部控制建设是一项系统工程，也是一项非常紧迫的工作任务。为切实加强对我镇内部控制基础性评价工作的组织领导，抓好《内控规范》的贯彻实施工作，我镇成立内部控制建设领导小组。本镇内部控制建设领导小组由书记任组长，财务分管领导任副组长，内设机构负责人为成员。具体负责本镇内部控制建设工作的组织实施及政策指导、培训学习、信息报送和咨询服务，实行定期例会和重大事项临时会议制度，帮助解决内控制度建设和执行中遇到的实际问题。</w:t>
      </w: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（三）项目资金分配</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1.部门（单位）预算编制及分配依据</w:t>
      </w:r>
    </w:p>
    <w:p>
      <w:pPr>
        <w:widowControl/>
        <w:spacing w:line="520" w:lineRule="atLeast"/>
        <w:ind w:firstLine="960" w:firstLineChars="3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基本支出根据阿克陶县奥依塔克镇2021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tabs>
          <w:tab w:val="left" w:pos="312"/>
        </w:tabs>
        <w:spacing w:line="520" w:lineRule="atLeast"/>
        <w:ind w:firstLine="960" w:firstLineChars="300"/>
        <w:jc w:val="left"/>
        <w:rPr>
          <w:rStyle w:val="8"/>
          <w:rFonts w:ascii="仿宋_GB2312" w:hAnsi="仿宋_GB2312" w:eastAsia="仿宋_GB2312" w:cs="仿宋_GB2312"/>
          <w:b w:val="0"/>
          <w:sz w:val="32"/>
          <w:szCs w:val="32"/>
          <w:lang w:bidi="ar"/>
        </w:rPr>
      </w:pPr>
      <w:r>
        <w:rPr>
          <w:rFonts w:hint="eastAsia" w:ascii="仿宋_GB2312" w:hAnsi="仿宋_GB2312" w:eastAsia="仿宋_GB2312" w:cs="仿宋_GB2312"/>
          <w:sz w:val="32"/>
          <w:szCs w:val="32"/>
        </w:rPr>
        <w:t>2预算批复的项目支出属于政府采购的，严格按照《中华人民共和国政府采购法》、自治区财政部门印发的《地方预算单位政府集中采购目录及标准指引（2020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2.分配结果</w:t>
      </w:r>
    </w:p>
    <w:p>
      <w:pPr>
        <w:widowControl/>
        <w:spacing w:line="520" w:lineRule="atLeast"/>
        <w:ind w:firstLine="960" w:firstLineChars="3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根据阿克陶县奥依塔克镇2021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3.重点支出保障率</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我单位本年主要实施2个重点项目，履行了等提高干部生活质量等职责。</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本年度预算安排的重点项目支出</w:t>
      </w:r>
      <w:r>
        <w:rPr>
          <w:rStyle w:val="8"/>
          <w:rFonts w:ascii="仿宋_GB2312" w:hAnsi="仿宋_GB2312" w:eastAsia="仿宋_GB2312" w:cs="仿宋_GB2312"/>
          <w:b w:val="0"/>
          <w:sz w:val="32"/>
          <w:szCs w:val="32"/>
          <w:lang w:bidi="ar"/>
        </w:rPr>
        <w:t>3.18</w:t>
      </w:r>
      <w:r>
        <w:rPr>
          <w:rStyle w:val="8"/>
          <w:rFonts w:hint="eastAsia" w:ascii="仿宋_GB2312" w:hAnsi="仿宋_GB2312" w:eastAsia="仿宋_GB2312" w:cs="仿宋_GB2312"/>
          <w:b w:val="0"/>
          <w:sz w:val="32"/>
          <w:szCs w:val="32"/>
          <w:lang w:bidi="ar"/>
        </w:rPr>
        <w:t>万元，项目总支出</w:t>
      </w:r>
      <w:r>
        <w:rPr>
          <w:rStyle w:val="8"/>
          <w:rFonts w:ascii="仿宋_GB2312" w:hAnsi="仿宋_GB2312" w:eastAsia="仿宋_GB2312" w:cs="仿宋_GB2312"/>
          <w:b w:val="0"/>
          <w:sz w:val="32"/>
          <w:szCs w:val="32"/>
          <w:lang w:bidi="ar"/>
        </w:rPr>
        <w:t>8</w:t>
      </w:r>
      <w:r>
        <w:rPr>
          <w:rStyle w:val="8"/>
          <w:rFonts w:hint="eastAsia" w:ascii="仿宋_GB2312" w:hAnsi="仿宋_GB2312" w:eastAsia="仿宋_GB2312" w:cs="仿宋_GB2312"/>
          <w:b w:val="0"/>
          <w:sz w:val="32"/>
          <w:szCs w:val="32"/>
          <w:lang w:bidi="ar"/>
        </w:rPr>
        <w:t>万元，重点支出保障率为</w:t>
      </w:r>
      <w:r>
        <w:rPr>
          <w:rStyle w:val="8"/>
          <w:rFonts w:ascii="仿宋_GB2312" w:hAnsi="仿宋_GB2312" w:eastAsia="仿宋_GB2312" w:cs="仿宋_GB2312"/>
          <w:b w:val="0"/>
          <w:sz w:val="32"/>
          <w:szCs w:val="32"/>
          <w:lang w:bidi="ar"/>
        </w:rPr>
        <w:t>39.75</w:t>
      </w:r>
      <w:r>
        <w:rPr>
          <w:rStyle w:val="8"/>
          <w:rFonts w:hint="eastAsia" w:ascii="仿宋_GB2312" w:hAnsi="仿宋_GB2312" w:eastAsia="仿宋_GB2312" w:cs="仿宋_GB2312"/>
          <w:b w:val="0"/>
          <w:sz w:val="32"/>
          <w:szCs w:val="32"/>
          <w:lang w:bidi="ar"/>
        </w:rPr>
        <w:t>%。</w:t>
      </w: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（四）部门单位整体支出规模</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1.预算执行情况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（1）年初预算执行情况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我单位年初预算数为2050.7万元，实际预算执行数2041.6万元，预算执行率为99.56%。</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（2）全年预算执行情况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全年预算数为</w:t>
      </w:r>
      <w:r>
        <w:rPr>
          <w:rStyle w:val="8"/>
          <w:rFonts w:ascii="仿宋_GB2312" w:hAnsi="仿宋_GB2312" w:eastAsia="仿宋_GB2312" w:cs="仿宋_GB2312"/>
          <w:b w:val="0"/>
          <w:sz w:val="32"/>
          <w:szCs w:val="32"/>
          <w:lang w:bidi="ar"/>
        </w:rPr>
        <w:t>4236.34</w:t>
      </w:r>
      <w:r>
        <w:rPr>
          <w:rStyle w:val="8"/>
          <w:rFonts w:hint="eastAsia" w:ascii="仿宋_GB2312" w:hAnsi="仿宋_GB2312" w:eastAsia="仿宋_GB2312" w:cs="仿宋_GB2312"/>
          <w:b w:val="0"/>
          <w:sz w:val="32"/>
          <w:szCs w:val="32"/>
          <w:lang w:bidi="ar"/>
        </w:rPr>
        <w:t>万元，全年实际支出资金4236.34万元，预算执行率为10</w:t>
      </w:r>
      <w:r>
        <w:rPr>
          <w:rStyle w:val="8"/>
          <w:rFonts w:ascii="仿宋_GB2312" w:hAnsi="仿宋_GB2312" w:eastAsia="仿宋_GB2312" w:cs="仿宋_GB2312"/>
          <w:b w:val="0"/>
          <w:sz w:val="32"/>
          <w:szCs w:val="32"/>
          <w:lang w:bidi="ar"/>
        </w:rPr>
        <w:t>0</w:t>
      </w:r>
      <w:r>
        <w:rPr>
          <w:rStyle w:val="8"/>
          <w:rFonts w:hint="eastAsia" w:ascii="仿宋_GB2312" w:hAnsi="仿宋_GB2312" w:eastAsia="仿宋_GB2312" w:cs="仿宋_GB2312"/>
          <w:b w:val="0"/>
          <w:sz w:val="32"/>
          <w:szCs w:val="32"/>
          <w:lang w:bidi="ar"/>
        </w:rPr>
        <w:t>%。</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2.预算调整情况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我单位年初批复预算数2050.7万元，年中调整数4236.34元，调整后全年预算数4236.34万元，预算调整率为</w:t>
      </w:r>
      <w:r>
        <w:rPr>
          <w:rStyle w:val="8"/>
          <w:rFonts w:ascii="仿宋_GB2312" w:hAnsi="仿宋_GB2312" w:eastAsia="仿宋_GB2312" w:cs="仿宋_GB2312"/>
          <w:b w:val="0"/>
          <w:sz w:val="32"/>
          <w:szCs w:val="32"/>
          <w:lang w:bidi="ar"/>
        </w:rPr>
        <w:t>51.59</w:t>
      </w:r>
      <w:r>
        <w:rPr>
          <w:rStyle w:val="8"/>
          <w:rFonts w:hint="eastAsia" w:ascii="仿宋_GB2312" w:hAnsi="仿宋_GB2312" w:eastAsia="仿宋_GB2312" w:cs="仿宋_GB2312"/>
          <w:b w:val="0"/>
          <w:sz w:val="32"/>
          <w:szCs w:val="32"/>
          <w:lang w:bidi="ar"/>
        </w:rPr>
        <w:t>%。</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 xml:space="preserve">3.政府采购执行情况 </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我单位本年度需政府采购的预算数为0万元。</w:t>
      </w: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（五）评价使用方法和主要内容、涉及范围</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1.评价使用方法</w:t>
      </w:r>
    </w:p>
    <w:p>
      <w:pPr>
        <w:pStyle w:val="11"/>
        <w:snapToGrid w:val="0"/>
        <w:spacing w:line="540" w:lineRule="exact"/>
        <w:ind w:firstLine="640"/>
        <w:rPr>
          <w:rStyle w:val="8"/>
          <w:rFonts w:ascii="仿宋_GB2312" w:hAnsi="仿宋_GB2312" w:eastAsia="仿宋_GB2312" w:cs="仿宋_GB2312"/>
          <w:b w:val="0"/>
          <w:sz w:val="32"/>
          <w:szCs w:val="32"/>
          <w:lang w:bidi="ar"/>
        </w:rPr>
      </w:pPr>
      <w:bookmarkStart w:id="1" w:name="_Hlk49856735"/>
      <w:r>
        <w:rPr>
          <w:rStyle w:val="8"/>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8"/>
          <w:rFonts w:hint="eastAsia" w:ascii="仿宋_GB2312" w:hAnsi="仿宋_GB2312" w:eastAsia="仿宋_GB2312" w:cs="仿宋_GB2312"/>
          <w:b w:val="0"/>
          <w:sz w:val="32"/>
          <w:szCs w:val="32"/>
          <w:lang w:eastAsia="zh-Hans" w:bidi="ar"/>
        </w:rPr>
        <w:t>公众评判法</w:t>
      </w:r>
      <w:r>
        <w:rPr>
          <w:rStyle w:val="8"/>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2.评价对象及主要内容</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评价的对象及主要内容为:</w:t>
      </w:r>
      <w:r>
        <w:rPr>
          <w:rStyle w:val="8"/>
          <w:rFonts w:hint="eastAsia" w:ascii="仿宋_GB2312" w:hAnsi="仿宋_GB2312" w:eastAsia="仿宋_GB2312" w:cs="仿宋_GB2312"/>
          <w:bCs w:val="0"/>
          <w:sz w:val="32"/>
          <w:szCs w:val="32"/>
          <w:lang w:bidi="ar"/>
        </w:rPr>
        <w:t>一是</w:t>
      </w:r>
      <w:r>
        <w:rPr>
          <w:rStyle w:val="8"/>
          <w:rFonts w:hint="eastAsia" w:ascii="仿宋_GB2312" w:hAnsi="仿宋_GB2312" w:eastAsia="仿宋_GB2312" w:cs="仿宋_GB2312"/>
          <w:b w:val="0"/>
          <w:sz w:val="32"/>
          <w:szCs w:val="32"/>
          <w:lang w:bidi="ar"/>
        </w:rPr>
        <w:t>部门单位整体管理及使用情况，具体涉及预算管理、基本支出和专项支出的管理及使用情况；</w:t>
      </w:r>
      <w:r>
        <w:rPr>
          <w:rStyle w:val="8"/>
          <w:rFonts w:hint="eastAsia" w:ascii="仿宋_GB2312" w:hAnsi="仿宋_GB2312" w:eastAsia="仿宋_GB2312" w:cs="仿宋_GB2312"/>
          <w:bCs w:val="0"/>
          <w:sz w:val="32"/>
          <w:szCs w:val="32"/>
          <w:lang w:bidi="ar"/>
        </w:rPr>
        <w:t>二是</w:t>
      </w:r>
      <w:r>
        <w:rPr>
          <w:rStyle w:val="8"/>
          <w:rFonts w:hint="eastAsia" w:ascii="仿宋_GB2312" w:hAnsi="仿宋_GB2312" w:eastAsia="仿宋_GB2312" w:cs="仿宋_GB2312"/>
          <w:b w:val="0"/>
          <w:sz w:val="32"/>
          <w:szCs w:val="32"/>
          <w:lang w:bidi="ar"/>
        </w:rPr>
        <w:t>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sz w:val="32"/>
          <w:szCs w:val="32"/>
          <w:lang w:bidi="ar"/>
        </w:rPr>
        <w:t>三是</w:t>
      </w:r>
      <w:r>
        <w:rPr>
          <w:rStyle w:val="8"/>
          <w:rFonts w:hint="eastAsia" w:ascii="仿宋_GB2312" w:hAnsi="仿宋_GB2312" w:eastAsia="仿宋_GB2312" w:cs="仿宋_GB2312"/>
          <w:b w:val="0"/>
          <w:sz w:val="32"/>
          <w:szCs w:val="32"/>
          <w:lang w:bidi="ar"/>
        </w:rPr>
        <w:t>部门单位专项组织实施情况，具体涉及专项组织情况分析和相关管理情况；</w:t>
      </w:r>
      <w:r>
        <w:rPr>
          <w:rStyle w:val="8"/>
          <w:rFonts w:hint="eastAsia" w:ascii="仿宋_GB2312" w:hAnsi="仿宋_GB2312" w:eastAsia="仿宋_GB2312" w:cs="仿宋_GB2312"/>
          <w:bCs w:val="0"/>
          <w:sz w:val="32"/>
          <w:szCs w:val="32"/>
          <w:lang w:bidi="ar"/>
        </w:rPr>
        <w:t>四是</w:t>
      </w:r>
      <w:r>
        <w:rPr>
          <w:rStyle w:val="8"/>
          <w:rFonts w:hint="eastAsia" w:ascii="仿宋_GB2312" w:hAnsi="仿宋_GB2312" w:eastAsia="仿宋_GB2312" w:cs="仿宋_GB2312"/>
          <w:b w:val="0"/>
          <w:sz w:val="32"/>
          <w:szCs w:val="32"/>
          <w:lang w:bidi="ar"/>
        </w:rPr>
        <w:t>资产管理情况，具体涉及资产管理规范性和资产变动情况。</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3.涉及的范围</w:t>
      </w:r>
      <w:bookmarkEnd w:id="1"/>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评价范围是对本单位整体支出从年度总体绩效目标、产出指标、效益指标、满意度指标等方面进行了全方位、多角度综合评价分析。</w:t>
      </w:r>
    </w:p>
    <w:p>
      <w:pPr>
        <w:pStyle w:val="11"/>
        <w:numPr>
          <w:ilvl w:val="0"/>
          <w:numId w:val="1"/>
        </w:numPr>
        <w:snapToGrid w:val="0"/>
        <w:spacing w:line="540" w:lineRule="exact"/>
        <w:ind w:firstLineChars="0"/>
        <w:outlineLvl w:val="0"/>
        <w:rPr>
          <w:rFonts w:ascii="仿宋_GB2312" w:hAnsi="仿宋_GB2312" w:eastAsia="仿宋_GB2312" w:cs="仿宋_GB2312"/>
          <w:b/>
          <w:sz w:val="32"/>
          <w:szCs w:val="32"/>
          <w:lang w:bidi="ar"/>
        </w:rPr>
      </w:pPr>
      <w:bookmarkStart w:id="2" w:name="_Toc32535_WPSOffice_Level1"/>
      <w:r>
        <w:rPr>
          <w:rFonts w:hint="eastAsia" w:ascii="仿宋_GB2312" w:hAnsi="仿宋_GB2312" w:eastAsia="仿宋_GB2312" w:cs="仿宋_GB2312"/>
          <w:b/>
          <w:sz w:val="32"/>
          <w:szCs w:val="32"/>
          <w:lang w:bidi="ar"/>
        </w:rPr>
        <w:t>部门单位整体支出管理及使用情况</w:t>
      </w:r>
      <w:bookmarkEnd w:id="2"/>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（一）预算管理情况</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1.管理制度健全性</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单位为加强预算管理，规范财务行为，已制定《阿克陶县奥依塔克镇人民政府部门单位预算绩效管理工作实施办法》，《阿克陶县奥依塔克镇人民政府单位财务管理制度》等健全完整的各项管理制度，有效保障了我单位高效的履行工作职能，较好的促进事业发展。</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2.资金使用合规性和安全性</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3.预决算信息公开性</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（二）基本支出和使用情况</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1.基本支出和使用情况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2021年本单位基本支出全年预算总额2498.98万元，其中：人员经费2326.12万元，公用经费168.86万元。实际支出2459.4万元，基本支出预算执行率98.42%。</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snapToGrid w:val="0"/>
        <w:spacing w:line="540" w:lineRule="exact"/>
        <w:ind w:firstLine="640"/>
        <w:outlineLvl w:val="2"/>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2.三公经费控制情况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坚决贯彻落实中央、自治区、阿克陶县县厉行勤俭办公的工作要求，提倡本单位全体干部职工，勤俭节约，切实降低行政运行成本，确保每年“三公经费”只减不增。2021年“三公经费”预算为5.01万元，实际支出1.25万元，“三公经费”控制率为25%，其中：因公出国（境）费预算为0万元，实际支出0万元；公务接待费预算为0万元，实际支出0万元；公务用车购置费预算为0万元，实际支出0万元；公务用车运行维护费预算为1.25万元，实际支出1.25万元，公务用车运行维护费控制率100%，符合财政部门本年预算要求和相关管理制度要求。</w:t>
      </w:r>
    </w:p>
    <w:p>
      <w:pPr>
        <w:pStyle w:val="11"/>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（三）专项支出管理和使用情况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2021年本单位安排专项支出预算总额1715.4万元，实际支出1715.4万元，专项支出预算执行率100%。</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2021年本单位共有29个资金项目，其中19个属经常性项目、10个属当年度新增项目，已完成项目</w:t>
      </w:r>
      <w:r>
        <w:rPr>
          <w:rStyle w:val="8"/>
          <w:rFonts w:ascii="仿宋_GB2312" w:hAnsi="仿宋_GB2312" w:eastAsia="仿宋_GB2312" w:cs="仿宋_GB2312"/>
          <w:b w:val="0"/>
          <w:sz w:val="32"/>
          <w:szCs w:val="32"/>
          <w:lang w:bidi="ar"/>
        </w:rPr>
        <w:t>29</w:t>
      </w:r>
      <w:r>
        <w:rPr>
          <w:rStyle w:val="8"/>
          <w:rFonts w:hint="eastAsia" w:ascii="仿宋_GB2312" w:hAnsi="仿宋_GB2312" w:eastAsia="仿宋_GB2312" w:cs="仿宋_GB2312"/>
          <w:b w:val="0"/>
          <w:sz w:val="32"/>
          <w:szCs w:val="32"/>
          <w:lang w:bidi="ar"/>
        </w:rPr>
        <w:t>个。</w:t>
      </w:r>
    </w:p>
    <w:p>
      <w:pPr>
        <w:snapToGrid w:val="0"/>
        <w:spacing w:line="540" w:lineRule="exact"/>
        <w:ind w:left="648"/>
        <w:outlineLvl w:val="0"/>
        <w:rPr>
          <w:rFonts w:ascii="仿宋_GB2312" w:hAnsi="仿宋_GB2312" w:eastAsia="仿宋_GB2312" w:cs="仿宋_GB2312"/>
          <w:b/>
          <w:sz w:val="32"/>
          <w:szCs w:val="32"/>
          <w:lang w:bidi="ar"/>
        </w:rPr>
      </w:pPr>
      <w:bookmarkStart w:id="3" w:name="_Toc1734_WPSOffice_Level1"/>
      <w:r>
        <w:rPr>
          <w:rFonts w:hint="eastAsia" w:ascii="仿宋_GB2312" w:hAnsi="仿宋_GB2312" w:eastAsia="仿宋_GB2312" w:cs="仿宋_GB2312"/>
          <w:b/>
          <w:sz w:val="32"/>
          <w:szCs w:val="32"/>
          <w:lang w:bidi="ar"/>
        </w:rPr>
        <w:t>三、部门单位专项组织实施情况</w:t>
      </w:r>
      <w:bookmarkEnd w:id="3"/>
    </w:p>
    <w:p>
      <w:pPr>
        <w:pStyle w:val="11"/>
        <w:snapToGrid w:val="0"/>
        <w:spacing w:line="540" w:lineRule="exact"/>
        <w:ind w:firstLine="640"/>
        <w:rPr>
          <w:rStyle w:val="8"/>
          <w:rFonts w:ascii="仿宋_GB2312" w:hAnsi="仿宋_GB2312" w:eastAsia="仿宋_GB2312" w:cs="仿宋_GB2312"/>
          <w:bCs w:val="0"/>
          <w:spacing w:val="-4"/>
          <w:sz w:val="32"/>
          <w:szCs w:val="32"/>
        </w:rPr>
      </w:pPr>
      <w:bookmarkStart w:id="4" w:name="_Hlk101547628"/>
      <w:r>
        <w:rPr>
          <w:rStyle w:val="8"/>
          <w:rFonts w:hint="eastAsia" w:ascii="仿宋_GB2312" w:hAnsi="仿宋_GB2312" w:eastAsia="仿宋_GB2312" w:cs="仿宋_GB2312"/>
          <w:b w:val="0"/>
          <w:sz w:val="32"/>
          <w:szCs w:val="32"/>
          <w:lang w:bidi="ar"/>
        </w:rPr>
        <w:t>本年我单位实施专项项目29个，涉及金额1715.4万元，其中：地区本级专项项目29个涉及金额1715.4万元.</w:t>
      </w:r>
    </w:p>
    <w:bookmarkEnd w:id="4"/>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（一）项目专项组织情况分析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我单位成立专项支出绩效评价小组，成员如下：</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杨成伟任评价组组长，绩效评价工作职责为负责全盘工作。</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邓炳红、李萍任评价组副组长，绩效评价工作职责为为对项目实施情况进行实地调查。</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侯茹彬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1"/>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该项目预算资金</w:t>
      </w:r>
      <w:r>
        <w:rPr>
          <w:rStyle w:val="8"/>
          <w:rFonts w:hint="eastAsia" w:ascii="仿宋_GB2312" w:hAnsi="仿宋_GB2312" w:eastAsia="仿宋_GB2312" w:cs="仿宋_GB2312"/>
          <w:b w:val="0"/>
          <w:sz w:val="32"/>
          <w:szCs w:val="32"/>
          <w:lang w:bidi="ar"/>
        </w:rPr>
        <w:t>1715.4</w:t>
      </w:r>
      <w:r>
        <w:rPr>
          <w:rStyle w:val="8"/>
          <w:rFonts w:hint="eastAsia" w:ascii="仿宋_GB2312" w:hAnsi="仿宋_GB2312" w:eastAsia="仿宋_GB2312" w:cs="仿宋_GB2312"/>
          <w:b w:val="0"/>
          <w:bCs w:val="0"/>
          <w:spacing w:val="-4"/>
          <w:sz w:val="32"/>
          <w:szCs w:val="32"/>
        </w:rPr>
        <w:t>万元，实际到位</w:t>
      </w:r>
      <w:r>
        <w:rPr>
          <w:rStyle w:val="8"/>
          <w:rFonts w:hint="eastAsia" w:ascii="仿宋_GB2312" w:hAnsi="仿宋_GB2312" w:eastAsia="仿宋_GB2312" w:cs="仿宋_GB2312"/>
          <w:b w:val="0"/>
          <w:sz w:val="32"/>
          <w:szCs w:val="32"/>
          <w:lang w:bidi="ar"/>
        </w:rPr>
        <w:t>1715.4</w:t>
      </w:r>
      <w:r>
        <w:rPr>
          <w:rStyle w:val="8"/>
          <w:rFonts w:hint="eastAsia" w:ascii="仿宋_GB2312" w:hAnsi="仿宋_GB2312" w:eastAsia="仿宋_GB2312" w:cs="仿宋_GB2312"/>
          <w:b w:val="0"/>
          <w:bCs w:val="0"/>
          <w:spacing w:val="-4"/>
          <w:sz w:val="32"/>
          <w:szCs w:val="32"/>
        </w:rPr>
        <w:t>万元，实际支出</w:t>
      </w:r>
      <w:r>
        <w:rPr>
          <w:rStyle w:val="8"/>
          <w:rFonts w:hint="eastAsia" w:ascii="仿宋_GB2312" w:hAnsi="仿宋_GB2312" w:eastAsia="仿宋_GB2312" w:cs="仿宋_GB2312"/>
          <w:b w:val="0"/>
          <w:sz w:val="32"/>
          <w:szCs w:val="32"/>
          <w:lang w:bidi="ar"/>
        </w:rPr>
        <w:t>1715.4</w:t>
      </w:r>
      <w:r>
        <w:rPr>
          <w:rStyle w:val="8"/>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奥依塔克镇人民政府单位财务管理制度》执行项目资金，实行专账核算、逐级审批。认真落实项目资金的使用各项管理制度，确保专款专用，及时拨付到位。</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项目组织情况：</w:t>
      </w:r>
      <w:r>
        <w:rPr>
          <w:rStyle w:val="8"/>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项目管理情况：</w:t>
      </w:r>
      <w:r>
        <w:rPr>
          <w:rStyle w:val="8"/>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项目监管情况：</w:t>
      </w:r>
      <w:r>
        <w:rPr>
          <w:rStyle w:val="8"/>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成本控制情况：</w:t>
      </w:r>
      <w:r>
        <w:rPr>
          <w:rStyle w:val="8"/>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成本节约情况：</w:t>
      </w:r>
      <w:r>
        <w:rPr>
          <w:rStyle w:val="8"/>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项目实施进度：</w:t>
      </w:r>
      <w:r>
        <w:rPr>
          <w:rStyle w:val="8"/>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项目完成质量：</w:t>
      </w:r>
      <w:r>
        <w:rPr>
          <w:rStyle w:val="8"/>
          <w:rFonts w:hint="eastAsia" w:ascii="仿宋_GB2312" w:hAnsi="仿宋_GB2312" w:eastAsia="仿宋_GB2312" w:cs="仿宋_GB2312"/>
          <w:b w:val="0"/>
          <w:bCs w:val="0"/>
          <w:spacing w:val="-4"/>
          <w:sz w:val="32"/>
          <w:szCs w:val="32"/>
        </w:rPr>
        <w:t>项目严格按照年度预期目标执行，项目完成质量达标。</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预期目标完成程度：</w:t>
      </w:r>
      <w:r>
        <w:rPr>
          <w:rStyle w:val="8"/>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1"/>
        <w:snapToGrid w:val="0"/>
        <w:spacing w:line="540" w:lineRule="exact"/>
        <w:ind w:left="319" w:leftChars="152" w:firstLine="313" w:firstLineChars="1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项目实施对效益的影响：</w:t>
      </w:r>
      <w:r>
        <w:rPr>
          <w:rStyle w:val="8"/>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1"/>
        <w:numPr>
          <w:ilvl w:val="0"/>
          <w:numId w:val="2"/>
        </w:numPr>
        <w:snapToGrid w:val="0"/>
        <w:spacing w:line="540" w:lineRule="exact"/>
        <w:ind w:firstLineChars="0"/>
        <w:outlineLvl w:val="0"/>
        <w:rPr>
          <w:rStyle w:val="8"/>
          <w:rFonts w:ascii="仿宋_GB2312" w:hAnsi="仿宋_GB2312" w:eastAsia="仿宋_GB2312" w:cs="仿宋_GB2312"/>
          <w:spacing w:val="-4"/>
          <w:sz w:val="32"/>
          <w:szCs w:val="32"/>
        </w:rPr>
      </w:pPr>
      <w:bookmarkStart w:id="5" w:name="_Toc27846_WPSOffice_Level1"/>
      <w:r>
        <w:rPr>
          <w:rStyle w:val="8"/>
          <w:rFonts w:hint="eastAsia" w:ascii="仿宋_GB2312" w:hAnsi="仿宋_GB2312" w:eastAsia="仿宋_GB2312" w:cs="仿宋_GB2312"/>
          <w:spacing w:val="-4"/>
          <w:sz w:val="32"/>
          <w:szCs w:val="32"/>
        </w:rPr>
        <w:t>资产管理情况</w:t>
      </w:r>
      <w:bookmarkEnd w:id="5"/>
    </w:p>
    <w:p>
      <w:pPr>
        <w:pStyle w:val="11"/>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（一）资产管理规范性</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2021年资产合计数为4135.47万元，比上年增加2539.87万元，主要原因是行业部门调拨固定资产，固定资产总额增加，其中：货币资金185.3万元，比上年减少620.52万元；财政应返还额度0万元，比上年相比无变化；房屋32244.82平方米2389.15万元，比上年增加1388.39万元；车辆10辆93.12万元，与上年相比无变化。我单位本年无资产处置情况，资产配置合理，使用规范，安全完整。</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1.资产管理情况。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2.固定资产利用情况。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我单位固定资产3226.07万元,其中:29套房屋3130.47万元，10辆车93.12万元，2个专用设备2.48万元，目前正在使用的固定资产总额4188.5万元，固定资产利用率为100%。</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3.流动资产管理情况。</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1"/>
        <w:tabs>
          <w:tab w:val="left" w:pos="0"/>
        </w:tabs>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截止本年度固定资产账面净值3226.07万元，年末实际在用固定资产3226.07万元，固定资产利用率为100%。</w:t>
      </w:r>
    </w:p>
    <w:p>
      <w:pPr>
        <w:pStyle w:val="11"/>
        <w:numPr>
          <w:ilvl w:val="0"/>
          <w:numId w:val="2"/>
        </w:numPr>
        <w:snapToGrid w:val="0"/>
        <w:spacing w:line="540" w:lineRule="exact"/>
        <w:ind w:firstLineChars="0"/>
        <w:outlineLvl w:val="0"/>
        <w:rPr>
          <w:rStyle w:val="8"/>
          <w:rFonts w:ascii="仿宋_GB2312" w:hAnsi="仿宋_GB2312" w:eastAsia="仿宋_GB2312" w:cs="仿宋_GB2312"/>
          <w:spacing w:val="-4"/>
          <w:sz w:val="32"/>
          <w:szCs w:val="32"/>
        </w:rPr>
      </w:pPr>
      <w:bookmarkStart w:id="6" w:name="_Toc13582_WPSOffice_Level1"/>
      <w:r>
        <w:rPr>
          <w:rStyle w:val="8"/>
          <w:rFonts w:hint="eastAsia" w:ascii="仿宋_GB2312" w:hAnsi="仿宋_GB2312" w:eastAsia="仿宋_GB2312" w:cs="仿宋_GB2312"/>
          <w:spacing w:val="-4"/>
          <w:sz w:val="32"/>
          <w:szCs w:val="32"/>
        </w:rPr>
        <w:t>部门单位整体支出绩效情况</w:t>
      </w:r>
      <w:bookmarkEnd w:id="6"/>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部门单位整体支出自评表，共设置一级指标3个，二级指标7个，三级指标28个。</w:t>
      </w:r>
    </w:p>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1.产出数量</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保障人员人数指标，预期指标是大于等于</w:t>
      </w:r>
      <w:r>
        <w:rPr>
          <w:rFonts w:hint="eastAsia" w:ascii="仿宋" w:hAnsi="仿宋" w:eastAsia="仿宋" w:cs="宋体"/>
          <w:bCs/>
          <w:sz w:val="32"/>
          <w:szCs w:val="32"/>
          <w:lang w:bidi="ar"/>
        </w:rPr>
        <w:t>116</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120</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保障公益性岗位人员（人）指标，预期指标是等于</w:t>
      </w:r>
      <w:r>
        <w:rPr>
          <w:rFonts w:hint="eastAsia" w:ascii="仿宋" w:hAnsi="仿宋" w:eastAsia="仿宋" w:cs="宋体"/>
          <w:bCs/>
          <w:sz w:val="32"/>
          <w:szCs w:val="32"/>
          <w:lang w:bidi="ar"/>
        </w:rPr>
        <w:t>23</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23</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保障车辆数（辆）指标，预期指标是等于</w:t>
      </w:r>
      <w:r>
        <w:rPr>
          <w:rFonts w:hint="eastAsia" w:ascii="仿宋" w:hAnsi="仿宋" w:eastAsia="仿宋" w:cs="宋体"/>
          <w:bCs/>
          <w:sz w:val="32"/>
          <w:szCs w:val="32"/>
          <w:lang w:bidi="ar"/>
        </w:rPr>
        <w:t>9辆</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9辆</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执法行动次数（次/年）指标，预期指标是等于</w:t>
      </w:r>
      <w:r>
        <w:rPr>
          <w:rFonts w:hint="eastAsia" w:ascii="仿宋" w:hAnsi="仿宋" w:eastAsia="仿宋" w:cs="宋体"/>
          <w:bCs/>
          <w:sz w:val="32"/>
          <w:szCs w:val="32"/>
          <w:lang w:bidi="ar"/>
        </w:rPr>
        <w:t>25次</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25次</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办理案件次数（次/年）指标，预期指标是等于</w:t>
      </w:r>
      <w:r>
        <w:rPr>
          <w:rFonts w:hint="eastAsia" w:ascii="仿宋" w:hAnsi="仿宋" w:eastAsia="仿宋" w:cs="宋体"/>
          <w:bCs/>
          <w:sz w:val="32"/>
          <w:szCs w:val="32"/>
          <w:lang w:bidi="ar"/>
        </w:rPr>
        <w:t>12次</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12次</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保障供暖覆盖面积（平方米）指标，预期指标是等于</w:t>
      </w:r>
      <w:r>
        <w:rPr>
          <w:rFonts w:hint="eastAsia" w:ascii="仿宋" w:hAnsi="仿宋" w:eastAsia="仿宋" w:cs="宋体"/>
          <w:bCs/>
          <w:sz w:val="32"/>
          <w:szCs w:val="32"/>
          <w:lang w:bidi="ar"/>
        </w:rPr>
        <w:t>9067㎡</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9067㎡</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保障用餐职工人员（人）指标，预期指标是大于等于</w:t>
      </w:r>
      <w:r>
        <w:rPr>
          <w:rFonts w:hint="eastAsia" w:ascii="仿宋" w:hAnsi="仿宋" w:eastAsia="仿宋" w:cs="宋体"/>
          <w:bCs/>
          <w:sz w:val="32"/>
          <w:szCs w:val="32"/>
          <w:lang w:bidi="ar"/>
        </w:rPr>
        <w:t>85</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90</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食材采购次数（次/月）指标，预期指标是大于等于</w:t>
      </w:r>
      <w:r>
        <w:rPr>
          <w:rFonts w:hint="eastAsia" w:ascii="仿宋" w:hAnsi="仿宋" w:eastAsia="仿宋" w:cs="宋体"/>
          <w:bCs/>
          <w:sz w:val="32"/>
          <w:szCs w:val="32"/>
          <w:lang w:bidi="ar"/>
        </w:rPr>
        <w:t>6</w:t>
      </w:r>
      <w:r>
        <w:rPr>
          <w:rStyle w:val="8"/>
          <w:rFonts w:hint="eastAsia" w:ascii="仿宋_GB2312" w:hAnsi="仿宋_GB2312" w:eastAsia="仿宋_GB2312" w:cs="仿宋_GB2312"/>
          <w:b w:val="0"/>
          <w:bCs w:val="0"/>
          <w:spacing w:val="-4"/>
          <w:sz w:val="32"/>
          <w:szCs w:val="32"/>
        </w:rPr>
        <w:t>次，实际完成值是</w:t>
      </w:r>
      <w:r>
        <w:rPr>
          <w:rFonts w:hint="eastAsia" w:ascii="仿宋" w:hAnsi="仿宋" w:eastAsia="仿宋" w:cs="宋体"/>
          <w:bCs/>
          <w:sz w:val="32"/>
          <w:szCs w:val="32"/>
          <w:lang w:bidi="ar"/>
        </w:rPr>
        <w:t>7次</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政府采购次数（次/年）指标，预期指标是大于等于</w:t>
      </w:r>
      <w:r>
        <w:rPr>
          <w:rFonts w:hint="eastAsia" w:ascii="仿宋" w:hAnsi="仿宋" w:eastAsia="仿宋" w:cs="宋体"/>
          <w:bCs/>
          <w:sz w:val="32"/>
          <w:szCs w:val="32"/>
          <w:lang w:bidi="ar"/>
        </w:rPr>
        <w:t>10次</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11次</w:t>
      </w:r>
      <w:r>
        <w:rPr>
          <w:rStyle w:val="8"/>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%，达到预期目标。数量指标共计</w:t>
      </w:r>
      <w:r>
        <w:rPr>
          <w:rFonts w:hint="eastAsia" w:ascii="仿宋" w:hAnsi="仿宋" w:eastAsia="仿宋" w:cs="宋体"/>
          <w:bCs/>
          <w:sz w:val="32"/>
          <w:szCs w:val="32"/>
          <w:lang w:bidi="ar"/>
        </w:rPr>
        <w:t>9</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9</w:t>
      </w:r>
      <w:r>
        <w:rPr>
          <w:rStyle w:val="8"/>
          <w:rFonts w:hint="eastAsia" w:ascii="仿宋_GB2312" w:hAnsi="仿宋_GB2312" w:eastAsia="仿宋_GB2312" w:cs="仿宋_GB2312"/>
          <w:b w:val="0"/>
          <w:bCs w:val="0"/>
          <w:spacing w:val="-4"/>
          <w:sz w:val="32"/>
          <w:szCs w:val="32"/>
        </w:rPr>
        <w:t>个，达到预期目标，数量指标完成。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2.产出质量</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资金使用合规率（%）指标，预期指标是等于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 xml:space="preserve">%，指标完成率是100%，达到质量提升及标准。 </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案件办结率（%）指标，预期指标是等于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%，指标完成率是100%，达到质量提升及标准。</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保障供暖温度（℃）指标，预期指标是大于等于</w:t>
      </w:r>
      <w:r>
        <w:rPr>
          <w:rFonts w:hint="eastAsia" w:ascii="仿宋" w:hAnsi="仿宋" w:eastAsia="仿宋" w:cs="宋体"/>
          <w:bCs/>
          <w:sz w:val="32"/>
          <w:szCs w:val="32"/>
          <w:lang w:bidi="ar"/>
        </w:rPr>
        <w:t>20℃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21℃</w:t>
      </w:r>
      <w:r>
        <w:rPr>
          <w:rStyle w:val="8"/>
          <w:rFonts w:hint="eastAsia" w:ascii="仿宋_GB2312" w:hAnsi="仿宋_GB2312" w:eastAsia="仿宋_GB2312" w:cs="仿宋_GB2312"/>
          <w:b w:val="0"/>
          <w:bCs w:val="0"/>
          <w:spacing w:val="-4"/>
          <w:sz w:val="32"/>
          <w:szCs w:val="32"/>
        </w:rPr>
        <w:t>，指标完成率是100%，达到质量提升及标准。</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购买食材质量合格率（%）指标，预期指标是大于等于</w:t>
      </w:r>
      <w:r>
        <w:rPr>
          <w:rFonts w:hint="eastAsia" w:ascii="仿宋" w:hAnsi="仿宋" w:eastAsia="仿宋" w:cs="宋体"/>
          <w:bCs/>
          <w:sz w:val="32"/>
          <w:szCs w:val="32"/>
          <w:lang w:bidi="ar"/>
        </w:rPr>
        <w:t>98</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99</w:t>
      </w:r>
      <w:r>
        <w:rPr>
          <w:rStyle w:val="8"/>
          <w:rFonts w:hint="eastAsia" w:ascii="仿宋_GB2312" w:hAnsi="仿宋_GB2312" w:eastAsia="仿宋_GB2312" w:cs="仿宋_GB2312"/>
          <w:b w:val="0"/>
          <w:bCs w:val="0"/>
          <w:spacing w:val="-4"/>
          <w:sz w:val="32"/>
          <w:szCs w:val="32"/>
        </w:rPr>
        <w:t>%，指标完成率是100%，达到质量提升及标准。</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购置质量合格率（%）指标，预期指标是等于</w:t>
      </w:r>
      <w:r>
        <w:rPr>
          <w:rFonts w:hint="eastAsia" w:ascii="仿宋" w:hAnsi="仿宋" w:eastAsia="仿宋" w:cs="宋体"/>
          <w:bCs/>
          <w:sz w:val="32"/>
          <w:szCs w:val="32"/>
          <w:lang w:bidi="ar"/>
        </w:rPr>
        <w:t>98</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98</w:t>
      </w:r>
      <w:r>
        <w:rPr>
          <w:rStyle w:val="8"/>
          <w:rFonts w:hint="eastAsia" w:ascii="仿宋_GB2312" w:hAnsi="仿宋_GB2312" w:eastAsia="仿宋_GB2312" w:cs="仿宋_GB2312"/>
          <w:b w:val="0"/>
          <w:bCs w:val="0"/>
          <w:spacing w:val="-4"/>
          <w:sz w:val="32"/>
          <w:szCs w:val="32"/>
        </w:rPr>
        <w:t>%，指标完成率是100%，达到质量提升及标准。</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购置验收通过率（%）指标，预期指标是等于</w:t>
      </w:r>
      <w:r>
        <w:rPr>
          <w:rFonts w:hint="eastAsia" w:ascii="仿宋" w:hAnsi="仿宋" w:eastAsia="仿宋" w:cs="宋体"/>
          <w:bCs/>
          <w:sz w:val="32"/>
          <w:szCs w:val="32"/>
          <w:lang w:bidi="ar"/>
        </w:rPr>
        <w:t>98</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98</w:t>
      </w:r>
      <w:r>
        <w:rPr>
          <w:rStyle w:val="8"/>
          <w:rFonts w:hint="eastAsia" w:ascii="仿宋_GB2312" w:hAnsi="仿宋_GB2312" w:eastAsia="仿宋_GB2312" w:cs="仿宋_GB2312"/>
          <w:b w:val="0"/>
          <w:bCs w:val="0"/>
          <w:spacing w:val="-4"/>
          <w:sz w:val="32"/>
          <w:szCs w:val="32"/>
        </w:rPr>
        <w:t>%，指标完成率是100%，达到质量提升及标准。</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6</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6</w:t>
      </w:r>
      <w:r>
        <w:rPr>
          <w:rStyle w:val="8"/>
          <w:rFonts w:hint="eastAsia" w:ascii="仿宋_GB2312" w:hAnsi="仿宋_GB2312" w:eastAsia="仿宋_GB2312" w:cs="仿宋_GB2312"/>
          <w:b w:val="0"/>
          <w:bCs w:val="0"/>
          <w:spacing w:val="-4"/>
          <w:sz w:val="32"/>
          <w:szCs w:val="32"/>
        </w:rPr>
        <w:t>个，达到质量提升及标准。质量指标完成。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案件办理时限（月）指标，预期指标是等于3个月，实际完成值是3个月，指标完成率是100%，达到预期目标。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供暖期限（月）指标，预期指标是等于5个月，实际完成值是5个月，指标完成率是100%，达到预期目标。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资金拨付及时率（%）指标，预期指标是等于100%，实际完成值是100%，指标完成率是100%，达到预期目标。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完成政府采购时限（月）指标，预期指标是等于12个月，实际完成值是12个月，指标完成率是100%，达到预期目标。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lang w:bidi="ar"/>
        </w:rPr>
        <w:t>4</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4</w:t>
      </w:r>
      <w:r>
        <w:rPr>
          <w:rStyle w:val="8"/>
          <w:rFonts w:hint="eastAsia" w:ascii="仿宋_GB2312" w:hAnsi="仿宋_GB2312" w:eastAsia="仿宋_GB2312" w:cs="仿宋_GB2312"/>
          <w:b w:val="0"/>
          <w:bCs w:val="0"/>
          <w:spacing w:val="-4"/>
          <w:sz w:val="32"/>
          <w:szCs w:val="32"/>
        </w:rPr>
        <w:t>个，达达到预期目标，数量指标完成。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经费资金总金额指标，预期指标是等于41.5万元，实际完成值是37.22万元，指标完成率是89.69%，达到成本控制及改善目标。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工资资金总金额指标，预期指标是等于2001.2万元，实际完成值是2001.2万元，指标完成率是100%，达到成本控制及改善目标。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项目资金总金额指标，预期指标是等于8万元，实际完成值是3.18万元，指标完成率是39.75%，达到成本控制及改善目标。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成本指标共计3个，完成3个，达到成本控制及改善目标，成本指标完成。</w:t>
      </w:r>
    </w:p>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错案率（%）指标，预期指标是0%，实际完成值是0%，指标完成率是100%，达到单位履职能力对社会带来的影响预期目标。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提高职工办事效率指标，预期指标是有效提高，实际完成值是有效提高，指标完成率是100%，达到单位履职能力对社会带来的影响预期目标。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业务保障能力提升情况指标，预期指标是有效提升，实际完成值是有效提升，指标完成率是100%，达到单位履职能力对社会带来的影响预期目标。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社会效益指标共计3个，完成3个，达到单位履职能力对社会带来的影响预期目标，社会效益指标完成。</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1"/>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减少违法违纪行为指标，预期指标是持续保障，实际完成值是有效减少，指标完成率是100%，实现部门绩效长效机制建设，提高工作效率目标。</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单位人员满意度指标，预期指标是等于95%，实际完成值是95%，指标完成率是100%，达到部门（单位）服务对象对部门履职效果的满意度。</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1"/>
        <w:numPr>
          <w:ilvl w:val="0"/>
          <w:numId w:val="2"/>
        </w:numPr>
        <w:snapToGrid w:val="0"/>
        <w:spacing w:line="540" w:lineRule="exact"/>
        <w:ind w:firstLineChars="0"/>
        <w:outlineLvl w:val="0"/>
        <w:rPr>
          <w:rStyle w:val="8"/>
          <w:rFonts w:ascii="仿宋_GB2312" w:hAnsi="仿宋_GB2312" w:eastAsia="仿宋_GB2312" w:cs="仿宋_GB2312"/>
          <w:spacing w:val="-4"/>
          <w:sz w:val="32"/>
          <w:szCs w:val="32"/>
        </w:rPr>
      </w:pPr>
      <w:bookmarkStart w:id="7" w:name="_Toc22800_WPSOffice_Level1"/>
      <w:r>
        <w:rPr>
          <w:rStyle w:val="8"/>
          <w:rFonts w:hint="eastAsia" w:ascii="仿宋_GB2312" w:hAnsi="仿宋_GB2312" w:eastAsia="仿宋_GB2312" w:cs="仿宋_GB2312"/>
          <w:spacing w:val="-4"/>
          <w:sz w:val="32"/>
          <w:szCs w:val="32"/>
        </w:rPr>
        <w:t>存在的主要问题</w:t>
      </w:r>
      <w:bookmarkEnd w:id="7"/>
    </w:p>
    <w:p>
      <w:pPr>
        <w:snapToGrid w:val="0"/>
        <w:spacing w:line="54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snapToGrid w:val="0"/>
        <w:spacing w:line="540" w:lineRule="exact"/>
        <w:ind w:firstLine="624" w:firstLineChars="200"/>
      </w:pPr>
      <w:r>
        <w:rPr>
          <w:rStyle w:val="8"/>
          <w:rFonts w:hint="eastAsia" w:ascii="仿宋_GB2312" w:hAnsi="仿宋_GB2312" w:eastAsia="仿宋_GB2312" w:cs="仿宋_GB2312"/>
          <w:b w:val="0"/>
          <w:bCs w:val="0"/>
          <w:spacing w:val="-4"/>
          <w:sz w:val="32"/>
          <w:szCs w:val="32"/>
        </w:rPr>
        <w:t>我单位2021年项目支出中伙食费补助预算金额6万元，实际到位资金6万元，实际支出金额1.51万元。我单位伙食补助费项目已经完成，但是由于供应商未开票，导致无法形成支出，我单位将催促对方开票，收到发票后立即申请资金支付。</w:t>
      </w:r>
    </w:p>
    <w:p>
      <w:pPr>
        <w:pStyle w:val="11"/>
        <w:numPr>
          <w:ilvl w:val="0"/>
          <w:numId w:val="2"/>
        </w:numPr>
        <w:snapToGrid w:val="0"/>
        <w:spacing w:line="540" w:lineRule="exact"/>
        <w:ind w:firstLineChars="0"/>
        <w:outlineLvl w:val="0"/>
        <w:rPr>
          <w:rStyle w:val="8"/>
          <w:rFonts w:ascii="仿宋_GB2312" w:hAnsi="仿宋_GB2312" w:eastAsia="仿宋_GB2312" w:cs="仿宋_GB2312"/>
          <w:spacing w:val="-4"/>
          <w:sz w:val="32"/>
          <w:szCs w:val="32"/>
        </w:rPr>
      </w:pPr>
      <w:bookmarkStart w:id="8" w:name="_Toc29546_WPSOffice_Level1"/>
      <w:r>
        <w:rPr>
          <w:rStyle w:val="8"/>
          <w:rFonts w:hint="eastAsia" w:ascii="仿宋_GB2312" w:hAnsi="仿宋_GB2312" w:eastAsia="仿宋_GB2312" w:cs="仿宋_GB2312"/>
          <w:spacing w:val="-4"/>
          <w:sz w:val="32"/>
          <w:szCs w:val="32"/>
        </w:rPr>
        <w:t>改进措施和建议</w:t>
      </w:r>
      <w:bookmarkEnd w:id="8"/>
    </w:p>
    <w:p>
      <w:pPr>
        <w:pStyle w:val="11"/>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snapToGrid w:val="0"/>
        <w:spacing w:line="54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本级及所属单位绩效自评结果的审核工作，对本级及所属单位自评工作开展情况作出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pPr>
        <w:pStyle w:val="11"/>
        <w:snapToGrid w:val="0"/>
        <w:spacing w:line="540" w:lineRule="exact"/>
        <w:ind w:firstLine="624"/>
        <w:outlineLvl w:val="1"/>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spacing w:val="-4"/>
          <w:sz w:val="32"/>
          <w:szCs w:val="32"/>
        </w:rPr>
        <w:t>二）建议</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8"/>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92D39"/>
    <w:rsid w:val="001C1E1D"/>
    <w:rsid w:val="001E750D"/>
    <w:rsid w:val="0022744B"/>
    <w:rsid w:val="00232600"/>
    <w:rsid w:val="00234372"/>
    <w:rsid w:val="00262A63"/>
    <w:rsid w:val="00292A50"/>
    <w:rsid w:val="002939FF"/>
    <w:rsid w:val="002F7CCD"/>
    <w:rsid w:val="00315F5B"/>
    <w:rsid w:val="00374A88"/>
    <w:rsid w:val="003F0DB2"/>
    <w:rsid w:val="00424A01"/>
    <w:rsid w:val="00491D09"/>
    <w:rsid w:val="004E1483"/>
    <w:rsid w:val="0054132C"/>
    <w:rsid w:val="005B1250"/>
    <w:rsid w:val="006258B7"/>
    <w:rsid w:val="00633862"/>
    <w:rsid w:val="00660F1F"/>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23E92"/>
    <w:rsid w:val="00AA5126"/>
    <w:rsid w:val="00AD0892"/>
    <w:rsid w:val="00AD16CD"/>
    <w:rsid w:val="00B5590F"/>
    <w:rsid w:val="00B86B60"/>
    <w:rsid w:val="00BA13C5"/>
    <w:rsid w:val="00BD7AB3"/>
    <w:rsid w:val="00BF62C2"/>
    <w:rsid w:val="00C624B3"/>
    <w:rsid w:val="00C77007"/>
    <w:rsid w:val="00CD2F35"/>
    <w:rsid w:val="00CD5A03"/>
    <w:rsid w:val="00CF175C"/>
    <w:rsid w:val="00D82401"/>
    <w:rsid w:val="00D9126A"/>
    <w:rsid w:val="00D93262"/>
    <w:rsid w:val="00DB1085"/>
    <w:rsid w:val="00E22FCF"/>
    <w:rsid w:val="00EB1FFE"/>
    <w:rsid w:val="00F326C7"/>
    <w:rsid w:val="00F84215"/>
    <w:rsid w:val="00FF2ACD"/>
    <w:rsid w:val="012008EE"/>
    <w:rsid w:val="01CC583F"/>
    <w:rsid w:val="04FF0482"/>
    <w:rsid w:val="05062887"/>
    <w:rsid w:val="05F70F85"/>
    <w:rsid w:val="084208C4"/>
    <w:rsid w:val="098A3C0A"/>
    <w:rsid w:val="0A9A7091"/>
    <w:rsid w:val="0ED6506E"/>
    <w:rsid w:val="10FE60D7"/>
    <w:rsid w:val="14E428A3"/>
    <w:rsid w:val="175D58E3"/>
    <w:rsid w:val="18061B60"/>
    <w:rsid w:val="190C3DF8"/>
    <w:rsid w:val="19F83E30"/>
    <w:rsid w:val="1B403139"/>
    <w:rsid w:val="1C6D319F"/>
    <w:rsid w:val="1D4D74D6"/>
    <w:rsid w:val="1DE32CFD"/>
    <w:rsid w:val="1F1A602A"/>
    <w:rsid w:val="1F2854B6"/>
    <w:rsid w:val="1FD00C5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0222CE6"/>
    <w:rsid w:val="417A34F9"/>
    <w:rsid w:val="418810F4"/>
    <w:rsid w:val="41A37673"/>
    <w:rsid w:val="42C30950"/>
    <w:rsid w:val="432E289B"/>
    <w:rsid w:val="434E5AC4"/>
    <w:rsid w:val="45A65C7F"/>
    <w:rsid w:val="468C2A4A"/>
    <w:rsid w:val="46AD2493"/>
    <w:rsid w:val="46EC7F14"/>
    <w:rsid w:val="48AF4C7F"/>
    <w:rsid w:val="4A60152B"/>
    <w:rsid w:val="4A81677A"/>
    <w:rsid w:val="4DA177B2"/>
    <w:rsid w:val="4DF36D4F"/>
    <w:rsid w:val="501B7C76"/>
    <w:rsid w:val="504D5CCF"/>
    <w:rsid w:val="533A7469"/>
    <w:rsid w:val="53526129"/>
    <w:rsid w:val="565F61A9"/>
    <w:rsid w:val="57232FC4"/>
    <w:rsid w:val="572D2326"/>
    <w:rsid w:val="57365691"/>
    <w:rsid w:val="58226349"/>
    <w:rsid w:val="59EE1E48"/>
    <w:rsid w:val="5A490F5C"/>
    <w:rsid w:val="5BD21464"/>
    <w:rsid w:val="5BDE2B83"/>
    <w:rsid w:val="60B116A2"/>
    <w:rsid w:val="61635F72"/>
    <w:rsid w:val="618606C5"/>
    <w:rsid w:val="63E114D3"/>
    <w:rsid w:val="655425D3"/>
    <w:rsid w:val="6AD46D46"/>
    <w:rsid w:val="6DE07909"/>
    <w:rsid w:val="6E58438A"/>
    <w:rsid w:val="6E9D5508"/>
    <w:rsid w:val="71EB22B3"/>
    <w:rsid w:val="72010FA6"/>
    <w:rsid w:val="748A4F72"/>
    <w:rsid w:val="75664078"/>
    <w:rsid w:val="761E4132"/>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列表段落1"/>
    <w:basedOn w:val="1"/>
    <w:unhideWhenUsed/>
    <w:qFormat/>
    <w:uiPriority w:val="99"/>
    <w:pPr>
      <w:ind w:firstLine="420" w:firstLineChars="200"/>
    </w:pPr>
  </w:style>
  <w:style w:type="character" w:customStyle="1" w:styleId="12">
    <w:name w:val="页脚 字符"/>
    <w:basedOn w:val="7"/>
    <w:link w:val="5"/>
    <w:qFormat/>
    <w:uiPriority w:val="99"/>
    <w:rPr>
      <w:sz w:val="18"/>
      <w:szCs w:val="18"/>
    </w:rPr>
  </w:style>
  <w:style w:type="character" w:customStyle="1" w:styleId="13">
    <w:name w:val="页眉 字符"/>
    <w:basedOn w:val="7"/>
    <w:link w:val="6"/>
    <w:qFormat/>
    <w:uiPriority w:val="99"/>
    <w:rPr>
      <w:sz w:val="18"/>
      <w:szCs w:val="18"/>
    </w:rPr>
  </w:style>
  <w:style w:type="paragraph" w:customStyle="1" w:styleId="14">
    <w:name w:val="WPSOffice手动目录 1"/>
    <w:qFormat/>
    <w:uiPriority w:val="0"/>
    <w:rPr>
      <w:rFonts w:asciiTheme="minorHAnsi" w:hAnsiTheme="minorHAnsi" w:eastAsiaTheme="minorEastAsia" w:cstheme="minorBidi"/>
      <w:lang w:val="en-US" w:eastAsia="zh-CN" w:bidi="ar-SA"/>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18</Pages>
  <Words>1265</Words>
  <Characters>7213</Characters>
  <Lines>60</Lines>
  <Paragraphs>16</Paragraphs>
  <TotalTime>0</TotalTime>
  <ScaleCrop>false</ScaleCrop>
  <LinksUpToDate>false</LinksUpToDate>
  <CharactersWithSpaces>8462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2025-01-21T09:08:28Z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D3A216D2B8124B088C07AD4D1B4FBE8C</vt:lpwstr>
  </property>
</Properties>
</file>