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仿宋_GB2312" w:hAnsi="仿宋_GB2312" w:eastAsia="仿宋_GB2312" w:cs="仿宋_GB2312"/>
          <w:color w:val="333333"/>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hint="eastAsia"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阿克陶县部门单位整体支出绩效</w:t>
      </w:r>
    </w:p>
    <w:p>
      <w:pPr>
        <w:spacing w:line="540" w:lineRule="exact"/>
        <w:jc w:val="center"/>
        <w:outlineLvl w:val="0"/>
        <w:rPr>
          <w:rFonts w:hint="eastAsia"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自评报告</w:t>
      </w: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2021  年度）</w:t>
      </w: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rPr>
          <w:rFonts w:ascii="仿宋_GB2312" w:hAnsi="仿宋_GB2312" w:eastAsia="仿宋_GB2312" w:cs="仿宋_GB2312"/>
          <w:kern w:val="0"/>
          <w:sz w:val="32"/>
          <w:szCs w:val="32"/>
        </w:rPr>
      </w:pPr>
    </w:p>
    <w:p>
      <w:pPr>
        <w:spacing w:line="700" w:lineRule="exact"/>
        <w:jc w:val="left"/>
        <w:rPr>
          <w:rFonts w:ascii="仿宋_GB2312" w:hAnsi="仿宋_GB2312" w:eastAsia="仿宋_GB2312" w:cs="仿宋_GB2312"/>
          <w:kern w:val="0"/>
          <w:sz w:val="32"/>
          <w:szCs w:val="32"/>
        </w:rPr>
      </w:pPr>
    </w:p>
    <w:p>
      <w:pPr>
        <w:spacing w:line="70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部门单位名称（公章）：阿克陶县巴仁乡人民政府</w:t>
      </w:r>
    </w:p>
    <w:p>
      <w:pPr>
        <w:spacing w:line="70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  2022  年 4 月  11 日</w:t>
      </w:r>
    </w:p>
    <w:p>
      <w:pPr>
        <w:pStyle w:val="2"/>
      </w:pPr>
    </w:p>
    <w:p>
      <w:pPr>
        <w:pStyle w:val="13"/>
        <w:numPr>
          <w:ilvl w:val="0"/>
          <w:numId w:val="1"/>
        </w:numPr>
        <w:snapToGrid w:val="0"/>
        <w:spacing w:line="540" w:lineRule="exact"/>
        <w:ind w:firstLineChars="0"/>
        <w:outlineLvl w:val="0"/>
        <w:rPr>
          <w:rFonts w:ascii="仿宋_GB2312" w:hAnsi="仿宋_GB2312" w:eastAsia="仿宋_GB2312" w:cs="仿宋_GB2312"/>
          <w:b/>
          <w:sz w:val="32"/>
          <w:szCs w:val="32"/>
        </w:rPr>
      </w:pPr>
      <w:bookmarkStart w:id="0" w:name="_Toc23945_WPSOffice_Level1"/>
      <w:r>
        <w:rPr>
          <w:rFonts w:hint="eastAsia" w:ascii="仿宋_GB2312" w:hAnsi="仿宋_GB2312" w:eastAsia="仿宋_GB2312" w:cs="仿宋_GB2312"/>
          <w:b/>
          <w:sz w:val="32"/>
          <w:szCs w:val="32"/>
        </w:rPr>
        <w:t>基本概况</w:t>
      </w:r>
      <w:bookmarkEnd w:id="0"/>
    </w:p>
    <w:p>
      <w:pPr>
        <w:pStyle w:val="13"/>
        <w:snapToGrid w:val="0"/>
        <w:spacing w:line="540" w:lineRule="exact"/>
        <w:ind w:firstLine="640"/>
        <w:outlineLvl w:val="1"/>
        <w:rPr>
          <w:rStyle w:val="10"/>
          <w:rFonts w:ascii="仿宋_GB2312" w:hAnsi="仿宋_GB2312" w:eastAsia="仿宋_GB2312" w:cs="仿宋_GB2312"/>
          <w:bCs w:val="0"/>
          <w:sz w:val="32"/>
          <w:szCs w:val="32"/>
        </w:rPr>
      </w:pPr>
      <w:r>
        <w:rPr>
          <w:rStyle w:val="10"/>
          <w:rFonts w:hint="eastAsia" w:ascii="仿宋_GB2312" w:hAnsi="仿宋_GB2312" w:eastAsia="仿宋_GB2312" w:cs="仿宋_GB2312"/>
          <w:bCs w:val="0"/>
          <w:sz w:val="32"/>
          <w:szCs w:val="32"/>
        </w:rPr>
        <w:t>（一）单位基本情况</w:t>
      </w:r>
    </w:p>
    <w:p>
      <w:pPr>
        <w:pStyle w:val="13"/>
        <w:snapToGrid w:val="0"/>
        <w:spacing w:line="540" w:lineRule="exact"/>
        <w:ind w:firstLine="640"/>
        <w:outlineLvl w:val="2"/>
        <w:rPr>
          <w:rStyle w:val="10"/>
          <w:rFonts w:ascii="仿宋_GB2312" w:hAnsi="仿宋_GB2312" w:eastAsia="仿宋_GB2312" w:cs="仿宋_GB2312"/>
          <w:bCs w:val="0"/>
          <w:sz w:val="32"/>
          <w:szCs w:val="32"/>
        </w:rPr>
      </w:pPr>
      <w:r>
        <w:rPr>
          <w:rStyle w:val="10"/>
          <w:rFonts w:hint="eastAsia" w:ascii="仿宋_GB2312" w:hAnsi="仿宋_GB2312" w:eastAsia="仿宋_GB2312" w:cs="仿宋_GB2312"/>
          <w:bCs w:val="0"/>
          <w:sz w:val="32"/>
          <w:szCs w:val="32"/>
        </w:rPr>
        <w:t>1.部门主要职能</w:t>
      </w:r>
    </w:p>
    <w:p>
      <w:pPr>
        <w:pStyle w:val="13"/>
        <w:snapToGrid w:val="0"/>
        <w:spacing w:line="540" w:lineRule="exact"/>
        <w:ind w:firstLine="64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1）贯彻执行党的路线、方针、政策，讨论决定本乡基本经济建设和社会发展中等重大问题，领导乡党政机关和站所和群众组织，加强乡党委自身建设和以党支部为核心的村级组织建设（2）加强全乡社会主义民主法治建设和精神文明建设（3）加强民族团结和维护社会稳定（4）领导和管理全乡的经济工作和城乡建设；（5）领导和管理本乡民政、公安、司法、教育、科技、文化、卫生、体育、计划生育、扶贫开发、电力、防病改水，减轻农民负担以及民族宗教事务等工作。</w:t>
      </w:r>
    </w:p>
    <w:p>
      <w:pPr>
        <w:pStyle w:val="13"/>
        <w:snapToGrid w:val="0"/>
        <w:spacing w:line="540" w:lineRule="exact"/>
        <w:ind w:firstLine="64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坚持以执法办案为核心，不断提高司法保障和服务水</w:t>
      </w:r>
      <w:bookmarkStart w:id="8" w:name="_GoBack"/>
      <w:bookmarkEnd w:id="8"/>
      <w:r>
        <w:rPr>
          <w:rStyle w:val="10"/>
          <w:rFonts w:hint="eastAsia" w:ascii="仿宋_GB2312" w:hAnsi="仿宋_GB2312" w:eastAsia="仿宋_GB2312" w:cs="仿宋_GB2312"/>
          <w:b w:val="0"/>
          <w:sz w:val="32"/>
          <w:szCs w:val="32"/>
        </w:rPr>
        <w:t>平，加强自身队伍建设，确保各项资金效益得到充分发挥。</w:t>
      </w:r>
    </w:p>
    <w:p>
      <w:pPr>
        <w:pStyle w:val="13"/>
        <w:snapToGrid w:val="0"/>
        <w:spacing w:line="540" w:lineRule="exact"/>
        <w:ind w:firstLine="640"/>
        <w:outlineLvl w:val="2"/>
        <w:rPr>
          <w:rStyle w:val="10"/>
          <w:rFonts w:ascii="仿宋_GB2312" w:hAnsi="仿宋_GB2312" w:eastAsia="仿宋_GB2312" w:cs="仿宋_GB2312"/>
          <w:bCs w:val="0"/>
          <w:sz w:val="32"/>
          <w:szCs w:val="32"/>
        </w:rPr>
      </w:pPr>
      <w:r>
        <w:rPr>
          <w:rStyle w:val="10"/>
          <w:rFonts w:hint="eastAsia" w:ascii="仿宋_GB2312" w:hAnsi="仿宋_GB2312" w:eastAsia="仿宋_GB2312" w:cs="仿宋_GB2312"/>
          <w:bCs w:val="0"/>
          <w:sz w:val="32"/>
          <w:szCs w:val="32"/>
        </w:rPr>
        <w:t>2.部门机构设置及人员构成</w:t>
      </w:r>
    </w:p>
    <w:p>
      <w:pPr>
        <w:pStyle w:val="18"/>
        <w:snapToGrid w:val="0"/>
        <w:spacing w:line="540" w:lineRule="exact"/>
        <w:ind w:firstLine="64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阿克陶县巴仁乡2021年部门决算报表编制范围的单位共计9个，其中：行政单位2个，全额拨款事业单位7个。分别是：1、阿克陶县巴仁乡党委；2、阿克陶县巴仁乡人民政府；3、喀阿克陶县巴仁乡财政所；4、阿克陶县巴仁乡计生站；5、阿克陶县巴仁乡农业畜牧业发展服务中心；6、阿克陶县巴仁乡文化站；7、阿克陶县巴仁乡社会保障服务中心；8、阿克陶县巴仁乡食品药品监督所；9阿克陶县巴仁乡国土所。</w:t>
      </w:r>
    </w:p>
    <w:p>
      <w:pPr>
        <w:pStyle w:val="18"/>
        <w:snapToGrid w:val="0"/>
        <w:spacing w:line="540" w:lineRule="exact"/>
        <w:ind w:firstLine="64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阿克陶县巴仁乡单位编制数共164人，其中：行政编制82人，行政工勤编制3人、事业编制79人；截止2021年12月底部门实有人数255人，其中：行政编制182人、事业编制73人。</w:t>
      </w:r>
    </w:p>
    <w:p>
      <w:pPr>
        <w:pStyle w:val="13"/>
        <w:snapToGrid w:val="0"/>
        <w:spacing w:line="540" w:lineRule="exact"/>
        <w:ind w:firstLine="640"/>
        <w:outlineLvl w:val="2"/>
      </w:pPr>
      <w:r>
        <w:rPr>
          <w:rStyle w:val="10"/>
          <w:rFonts w:hint="eastAsia" w:ascii="仿宋_GB2312" w:hAnsi="仿宋_GB2312" w:eastAsia="仿宋_GB2312" w:cs="仿宋_GB2312"/>
          <w:bCs w:val="0"/>
          <w:sz w:val="32"/>
          <w:szCs w:val="32"/>
        </w:rPr>
        <w:t>3.年度重点工作</w:t>
      </w:r>
    </w:p>
    <w:p>
      <w:pPr>
        <w:pStyle w:val="8"/>
        <w:shd w:val="clear" w:color="auto" w:fill="FFFFFF"/>
        <w:spacing w:before="0" w:beforeAutospacing="0" w:after="0" w:afterAutospacing="0" w:line="560" w:lineRule="exact"/>
        <w:ind w:left="559" w:leftChars="266"/>
        <w:rPr>
          <w:rStyle w:val="10"/>
          <w:rFonts w:ascii="仿宋_GB2312" w:hAnsi="仿宋_GB2312" w:eastAsia="仿宋_GB2312" w:cs="仿宋_GB2312"/>
          <w:b w:val="0"/>
          <w:kern w:val="2"/>
          <w:sz w:val="32"/>
          <w:szCs w:val="32"/>
        </w:rPr>
      </w:pPr>
      <w:r>
        <w:rPr>
          <w:rStyle w:val="10"/>
          <w:rFonts w:hint="eastAsia" w:ascii="仿宋_GB2312" w:hAnsi="仿宋_GB2312" w:eastAsia="仿宋_GB2312" w:cs="仿宋_GB2312"/>
          <w:b w:val="0"/>
          <w:kern w:val="2"/>
          <w:sz w:val="32"/>
          <w:szCs w:val="32"/>
        </w:rPr>
        <w:t>目标1：保障人员工资，按时足额发放。</w:t>
      </w:r>
    </w:p>
    <w:p>
      <w:pPr>
        <w:pStyle w:val="8"/>
        <w:shd w:val="clear" w:color="auto" w:fill="FFFFFF"/>
        <w:spacing w:before="0" w:beforeAutospacing="0" w:after="0" w:afterAutospacing="0" w:line="560" w:lineRule="exact"/>
        <w:ind w:left="559" w:leftChars="266"/>
        <w:rPr>
          <w:rStyle w:val="10"/>
          <w:rFonts w:ascii="仿宋_GB2312" w:hAnsi="仿宋_GB2312" w:eastAsia="仿宋_GB2312" w:cs="仿宋_GB2312"/>
          <w:b w:val="0"/>
          <w:kern w:val="2"/>
          <w:sz w:val="32"/>
          <w:szCs w:val="32"/>
        </w:rPr>
      </w:pPr>
      <w:r>
        <w:rPr>
          <w:rStyle w:val="10"/>
          <w:rFonts w:hint="eastAsia" w:ascii="仿宋_GB2312" w:hAnsi="仿宋_GB2312" w:eastAsia="仿宋_GB2312" w:cs="仿宋_GB2312"/>
          <w:b w:val="0"/>
          <w:kern w:val="2"/>
          <w:sz w:val="32"/>
          <w:szCs w:val="32"/>
        </w:rPr>
        <w:t>目标2：保障单位各项工作正常运转。执行本乡经济和社会发展计划、预算，管理本乡经济、教育、文化、卫生体育事业和财政、民政、国土、计划生育等工作。维护正当经济权益，取缔非法经济活动，维护社会稳定。目标3: 保障纪检办案工作顺利进行和开支。</w:t>
      </w:r>
    </w:p>
    <w:p>
      <w:pPr>
        <w:pStyle w:val="8"/>
        <w:shd w:val="clear" w:color="auto" w:fill="FFFFFF"/>
        <w:spacing w:before="0" w:beforeAutospacing="0" w:after="0" w:afterAutospacing="0" w:line="560" w:lineRule="exact"/>
        <w:ind w:firstLine="640" w:firstLineChars="200"/>
        <w:rPr>
          <w:rStyle w:val="10"/>
          <w:rFonts w:ascii="仿宋_GB2312" w:hAnsi="仿宋_GB2312" w:eastAsia="仿宋_GB2312" w:cs="仿宋_GB2312"/>
          <w:b w:val="0"/>
          <w:kern w:val="2"/>
          <w:sz w:val="32"/>
          <w:szCs w:val="32"/>
        </w:rPr>
      </w:pPr>
      <w:r>
        <w:rPr>
          <w:rStyle w:val="10"/>
          <w:rFonts w:hint="eastAsia" w:ascii="仿宋_GB2312" w:hAnsi="仿宋_GB2312" w:eastAsia="仿宋_GB2312" w:cs="仿宋_GB2312"/>
          <w:b w:val="0"/>
          <w:kern w:val="2"/>
          <w:sz w:val="32"/>
          <w:szCs w:val="32"/>
        </w:rPr>
        <w:t>目标4：保障公务用车车辆维护</w:t>
      </w:r>
    </w:p>
    <w:p>
      <w:pPr>
        <w:pStyle w:val="13"/>
        <w:snapToGrid w:val="0"/>
        <w:spacing w:line="540" w:lineRule="exact"/>
        <w:ind w:firstLine="640"/>
        <w:outlineLvl w:val="1"/>
      </w:pPr>
      <w:r>
        <w:rPr>
          <w:rStyle w:val="10"/>
          <w:rFonts w:hint="eastAsia" w:ascii="仿宋_GB2312" w:hAnsi="仿宋_GB2312" w:eastAsia="仿宋_GB2312" w:cs="仿宋_GB2312"/>
          <w:bCs w:val="0"/>
          <w:sz w:val="32"/>
          <w:szCs w:val="32"/>
        </w:rPr>
        <w:t>（二）决策过程</w:t>
      </w:r>
    </w:p>
    <w:p>
      <w:pPr>
        <w:pStyle w:val="18"/>
        <w:snapToGrid w:val="0"/>
        <w:spacing w:line="540" w:lineRule="exact"/>
        <w:ind w:firstLine="64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我单位决策机制根据行政事业单位内部控制体系建设相关要求，逐步完善《</w:t>
      </w:r>
      <w:r>
        <w:rPr>
          <w:rStyle w:val="10"/>
          <w:rFonts w:hint="eastAsia" w:ascii="仿宋_GB2312" w:hAnsi="仿宋_GB2312" w:eastAsia="仿宋_GB2312" w:cs="仿宋_GB2312"/>
          <w:b w:val="0"/>
          <w:sz w:val="28"/>
          <w:szCs w:val="28"/>
        </w:rPr>
        <w:t>阿克陶县巴仁乡</w:t>
      </w:r>
      <w:r>
        <w:rPr>
          <w:rStyle w:val="10"/>
          <w:rFonts w:hint="eastAsia" w:ascii="仿宋_GB2312" w:hAnsi="仿宋_GB2312" w:eastAsia="仿宋_GB2312" w:cs="仿宋_GB2312"/>
          <w:b w:val="0"/>
          <w:sz w:val="32"/>
          <w:szCs w:val="32"/>
        </w:rPr>
        <w:t>办公会议议事规则》、《三重一大会议制度》，根据制度规定“讨论决定发展战略、规划和年度计划；研究决定单位重点工作、重点任务、重大目标及上级部门交办的重要事项；审定干部职工的推荐、提名、任免和领导班子建设中的重要事项；讨论处理重大突发事件；其他需要提交研究的重大事项等。”进行单位事项决策。</w:t>
      </w:r>
    </w:p>
    <w:p>
      <w:pPr>
        <w:pStyle w:val="13"/>
        <w:snapToGrid w:val="0"/>
        <w:spacing w:line="540" w:lineRule="exact"/>
        <w:ind w:firstLine="640"/>
        <w:outlineLvl w:val="1"/>
        <w:rPr>
          <w:rStyle w:val="10"/>
          <w:rFonts w:ascii="仿宋_GB2312" w:hAnsi="仿宋_GB2312" w:eastAsia="仿宋_GB2312" w:cs="仿宋_GB2312"/>
          <w:bCs w:val="0"/>
          <w:sz w:val="32"/>
          <w:szCs w:val="32"/>
        </w:rPr>
      </w:pPr>
      <w:r>
        <w:rPr>
          <w:rStyle w:val="10"/>
          <w:rFonts w:hint="eastAsia" w:ascii="仿宋_GB2312" w:hAnsi="仿宋_GB2312" w:eastAsia="仿宋_GB2312" w:cs="仿宋_GB2312"/>
          <w:bCs w:val="0"/>
          <w:sz w:val="32"/>
          <w:szCs w:val="32"/>
        </w:rPr>
        <w:t>（三）项目资金分配</w:t>
      </w:r>
    </w:p>
    <w:p>
      <w:pPr>
        <w:pStyle w:val="13"/>
        <w:snapToGrid w:val="0"/>
        <w:spacing w:line="540" w:lineRule="exact"/>
        <w:ind w:firstLine="640"/>
        <w:outlineLvl w:val="2"/>
        <w:rPr>
          <w:rStyle w:val="10"/>
          <w:rFonts w:ascii="仿宋_GB2312" w:hAnsi="仿宋_GB2312" w:eastAsia="仿宋_GB2312" w:cs="仿宋_GB2312"/>
          <w:bCs w:val="0"/>
          <w:sz w:val="32"/>
          <w:szCs w:val="32"/>
        </w:rPr>
      </w:pPr>
      <w:r>
        <w:rPr>
          <w:rStyle w:val="10"/>
          <w:rFonts w:hint="eastAsia" w:ascii="仿宋_GB2312" w:hAnsi="仿宋_GB2312" w:eastAsia="仿宋_GB2312" w:cs="仿宋_GB2312"/>
          <w:bCs w:val="0"/>
          <w:sz w:val="32"/>
          <w:szCs w:val="32"/>
        </w:rPr>
        <w:t>1.部门（单位）预算编制及分配依据</w:t>
      </w:r>
    </w:p>
    <w:p>
      <w:pPr>
        <w:widowControl/>
        <w:spacing w:line="520" w:lineRule="atLeast"/>
        <w:ind w:firstLine="960" w:firstLineChars="300"/>
        <w:jc w:val="left"/>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基本支出根据阿克陶县巴仁乡人民政府2021年部门预算进行预算编制，并根据财政部门预算批复、预期绩效目标进行相应分配；由财政部门按照进度每月分期拨付，人员支出按照工资计划发放工资；资金支出时按照我单位内控体系中设定的流程进行申报审批。</w:t>
      </w:r>
    </w:p>
    <w:p>
      <w:pPr>
        <w:pStyle w:val="13"/>
        <w:snapToGrid w:val="0"/>
        <w:spacing w:line="540" w:lineRule="exact"/>
        <w:ind w:firstLine="640"/>
        <w:outlineLvl w:val="2"/>
        <w:rPr>
          <w:rStyle w:val="10"/>
          <w:rFonts w:ascii="仿宋_GB2312" w:hAnsi="仿宋_GB2312" w:eastAsia="仿宋_GB2312" w:cs="仿宋_GB2312"/>
          <w:bCs w:val="0"/>
          <w:sz w:val="32"/>
          <w:szCs w:val="32"/>
        </w:rPr>
      </w:pPr>
      <w:r>
        <w:rPr>
          <w:rStyle w:val="10"/>
          <w:rFonts w:hint="eastAsia" w:ascii="仿宋_GB2312" w:hAnsi="仿宋_GB2312" w:eastAsia="仿宋_GB2312" w:cs="仿宋_GB2312"/>
          <w:bCs w:val="0"/>
          <w:sz w:val="32"/>
          <w:szCs w:val="32"/>
        </w:rPr>
        <w:t>2.分配结果</w:t>
      </w:r>
    </w:p>
    <w:p>
      <w:pPr>
        <w:widowControl/>
        <w:spacing w:line="520" w:lineRule="atLeast"/>
        <w:ind w:firstLine="960" w:firstLineChars="300"/>
        <w:jc w:val="left"/>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预算批复的项目支出属于政府采购的，严格按照《中华人民共和国政府采购法》、自治区财政部门印发的《地方预算单位政府集中采购目录及标准指引（2021年版））》规定及本单位内控制度，组织人员制定并申报采购计划，按批复采购方式进行；属于非政府采购的项目，按照“三重一大”制度规定重大项目支出上党组会研究决定。</w:t>
      </w:r>
    </w:p>
    <w:p>
      <w:pPr>
        <w:pStyle w:val="13"/>
        <w:snapToGrid w:val="0"/>
        <w:spacing w:line="540" w:lineRule="exact"/>
        <w:ind w:firstLine="640"/>
        <w:outlineLvl w:val="2"/>
        <w:rPr>
          <w:rStyle w:val="10"/>
          <w:rFonts w:ascii="仿宋_GB2312" w:hAnsi="仿宋_GB2312" w:eastAsia="仿宋_GB2312" w:cs="仿宋_GB2312"/>
          <w:bCs w:val="0"/>
          <w:sz w:val="32"/>
          <w:szCs w:val="32"/>
        </w:rPr>
      </w:pPr>
      <w:r>
        <w:rPr>
          <w:rStyle w:val="10"/>
          <w:rFonts w:hint="eastAsia" w:ascii="仿宋_GB2312" w:hAnsi="仿宋_GB2312" w:eastAsia="仿宋_GB2312" w:cs="仿宋_GB2312"/>
          <w:bCs w:val="0"/>
          <w:sz w:val="32"/>
          <w:szCs w:val="32"/>
        </w:rPr>
        <w:t>3.重点支出保障率</w:t>
      </w:r>
    </w:p>
    <w:p>
      <w:pPr>
        <w:pStyle w:val="13"/>
        <w:snapToGrid w:val="0"/>
        <w:spacing w:line="540" w:lineRule="exact"/>
        <w:ind w:firstLine="64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我单位本年主要实施取暖费、伙食费、纪检经费等重点项目，履行了经济建设等主要职责。</w:t>
      </w:r>
    </w:p>
    <w:p>
      <w:pPr>
        <w:pStyle w:val="13"/>
        <w:snapToGrid w:val="0"/>
        <w:spacing w:line="540" w:lineRule="exact"/>
        <w:ind w:firstLine="64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本年度预算安排的重点项目支出111.2万元，项目总支出79.05万元，重点支出保障率为71.09%。</w:t>
      </w:r>
    </w:p>
    <w:p>
      <w:pPr>
        <w:pStyle w:val="13"/>
        <w:snapToGrid w:val="0"/>
        <w:spacing w:line="540" w:lineRule="exact"/>
        <w:ind w:firstLine="640"/>
        <w:outlineLvl w:val="1"/>
        <w:rPr>
          <w:rStyle w:val="10"/>
          <w:rFonts w:ascii="仿宋_GB2312" w:hAnsi="仿宋_GB2312" w:eastAsia="仿宋_GB2312" w:cs="仿宋_GB2312"/>
          <w:bCs w:val="0"/>
          <w:sz w:val="32"/>
          <w:szCs w:val="32"/>
        </w:rPr>
      </w:pPr>
      <w:r>
        <w:rPr>
          <w:rStyle w:val="10"/>
          <w:rFonts w:hint="eastAsia" w:ascii="仿宋_GB2312" w:hAnsi="仿宋_GB2312" w:eastAsia="仿宋_GB2312" w:cs="仿宋_GB2312"/>
          <w:bCs w:val="0"/>
          <w:sz w:val="32"/>
          <w:szCs w:val="32"/>
        </w:rPr>
        <w:t>（四）部门单位整体支出规模</w:t>
      </w:r>
    </w:p>
    <w:p>
      <w:pPr>
        <w:pStyle w:val="13"/>
        <w:snapToGrid w:val="0"/>
        <w:spacing w:line="540" w:lineRule="exact"/>
        <w:ind w:firstLine="640"/>
        <w:outlineLvl w:val="2"/>
        <w:rPr>
          <w:rStyle w:val="10"/>
          <w:rFonts w:ascii="仿宋_GB2312" w:hAnsi="仿宋_GB2312" w:eastAsia="仿宋_GB2312" w:cs="仿宋_GB2312"/>
          <w:bCs w:val="0"/>
          <w:sz w:val="32"/>
          <w:szCs w:val="32"/>
        </w:rPr>
      </w:pPr>
      <w:r>
        <w:rPr>
          <w:rStyle w:val="10"/>
          <w:rFonts w:hint="eastAsia" w:ascii="仿宋_GB2312" w:hAnsi="仿宋_GB2312" w:eastAsia="仿宋_GB2312" w:cs="仿宋_GB2312"/>
          <w:bCs w:val="0"/>
          <w:sz w:val="32"/>
          <w:szCs w:val="32"/>
        </w:rPr>
        <w:t>1.预算执行情况</w:t>
      </w:r>
    </w:p>
    <w:p>
      <w:pPr>
        <w:pStyle w:val="13"/>
        <w:snapToGrid w:val="0"/>
        <w:spacing w:line="540" w:lineRule="exact"/>
        <w:ind w:firstLine="64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（1）年初预算执行情况</w:t>
      </w:r>
    </w:p>
    <w:p>
      <w:pPr>
        <w:pStyle w:val="13"/>
        <w:snapToGrid w:val="0"/>
        <w:spacing w:line="540" w:lineRule="exact"/>
        <w:ind w:firstLine="64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我单位年初预算数为</w:t>
      </w:r>
      <w:r>
        <w:rPr>
          <w:rStyle w:val="10"/>
          <w:rFonts w:ascii="仿宋_GB2312" w:hAnsi="仿宋_GB2312" w:eastAsia="仿宋_GB2312" w:cs="仿宋_GB2312"/>
          <w:b w:val="0"/>
          <w:sz w:val="32"/>
          <w:szCs w:val="32"/>
        </w:rPr>
        <w:t>4649.54</w:t>
      </w:r>
      <w:r>
        <w:rPr>
          <w:rStyle w:val="10"/>
          <w:rFonts w:hint="eastAsia" w:ascii="仿宋_GB2312" w:hAnsi="仿宋_GB2312" w:eastAsia="仿宋_GB2312" w:cs="仿宋_GB2312"/>
          <w:b w:val="0"/>
          <w:sz w:val="32"/>
          <w:szCs w:val="32"/>
        </w:rPr>
        <w:t>万元，实际预算执行数</w:t>
      </w:r>
      <w:r>
        <w:rPr>
          <w:rStyle w:val="10"/>
          <w:rFonts w:ascii="仿宋_GB2312" w:hAnsi="仿宋_GB2312" w:eastAsia="仿宋_GB2312" w:cs="仿宋_GB2312"/>
          <w:b w:val="0"/>
          <w:sz w:val="32"/>
          <w:szCs w:val="32"/>
        </w:rPr>
        <w:t>4617.39</w:t>
      </w:r>
      <w:r>
        <w:rPr>
          <w:rStyle w:val="10"/>
          <w:rFonts w:hint="eastAsia" w:ascii="仿宋_GB2312" w:hAnsi="仿宋_GB2312" w:eastAsia="仿宋_GB2312" w:cs="仿宋_GB2312"/>
          <w:b w:val="0"/>
          <w:sz w:val="32"/>
          <w:szCs w:val="32"/>
        </w:rPr>
        <w:t>万元，预算执行率为</w:t>
      </w:r>
      <w:r>
        <w:rPr>
          <w:rStyle w:val="10"/>
          <w:rFonts w:ascii="仿宋_GB2312" w:hAnsi="仿宋_GB2312" w:eastAsia="仿宋_GB2312" w:cs="仿宋_GB2312"/>
          <w:b w:val="0"/>
          <w:sz w:val="32"/>
          <w:szCs w:val="32"/>
        </w:rPr>
        <w:t>99.3</w:t>
      </w:r>
      <w:r>
        <w:rPr>
          <w:rStyle w:val="10"/>
          <w:rFonts w:hint="eastAsia" w:ascii="仿宋_GB2312" w:hAnsi="仿宋_GB2312" w:eastAsia="仿宋_GB2312" w:cs="仿宋_GB2312"/>
          <w:b w:val="0"/>
          <w:sz w:val="32"/>
          <w:szCs w:val="32"/>
        </w:rPr>
        <w:t>%。</w:t>
      </w:r>
    </w:p>
    <w:p>
      <w:pPr>
        <w:pStyle w:val="13"/>
        <w:snapToGrid w:val="0"/>
        <w:spacing w:line="540" w:lineRule="exact"/>
        <w:ind w:firstLine="64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（2）全年预算执行情况</w:t>
      </w:r>
    </w:p>
    <w:p>
      <w:pPr>
        <w:pStyle w:val="13"/>
        <w:snapToGrid w:val="0"/>
        <w:spacing w:line="540" w:lineRule="exact"/>
        <w:ind w:firstLine="64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全年预算数为</w:t>
      </w:r>
      <w:r>
        <w:rPr>
          <w:rStyle w:val="10"/>
          <w:rFonts w:ascii="仿宋_GB2312" w:hAnsi="仿宋_GB2312" w:eastAsia="仿宋_GB2312" w:cs="仿宋_GB2312"/>
          <w:b w:val="0"/>
          <w:sz w:val="32"/>
          <w:szCs w:val="32"/>
        </w:rPr>
        <w:t>16670.59</w:t>
      </w:r>
      <w:r>
        <w:rPr>
          <w:rStyle w:val="10"/>
          <w:rFonts w:hint="eastAsia" w:ascii="仿宋_GB2312" w:hAnsi="仿宋_GB2312" w:eastAsia="仿宋_GB2312" w:cs="仿宋_GB2312"/>
          <w:b w:val="0"/>
          <w:sz w:val="32"/>
          <w:szCs w:val="32"/>
        </w:rPr>
        <w:t>万元，全年实际支出资金</w:t>
      </w:r>
      <w:r>
        <w:rPr>
          <w:rStyle w:val="10"/>
          <w:rFonts w:ascii="仿宋_GB2312" w:hAnsi="仿宋_GB2312" w:eastAsia="仿宋_GB2312" w:cs="仿宋_GB2312"/>
          <w:b w:val="0"/>
          <w:sz w:val="32"/>
          <w:szCs w:val="32"/>
        </w:rPr>
        <w:t>16283.95</w:t>
      </w:r>
      <w:r>
        <w:rPr>
          <w:rStyle w:val="10"/>
          <w:rFonts w:hint="eastAsia" w:ascii="仿宋_GB2312" w:hAnsi="仿宋_GB2312" w:eastAsia="仿宋_GB2312" w:cs="仿宋_GB2312"/>
          <w:b w:val="0"/>
          <w:sz w:val="32"/>
          <w:szCs w:val="32"/>
        </w:rPr>
        <w:t>万元，预算执行率为</w:t>
      </w:r>
      <w:r>
        <w:rPr>
          <w:rStyle w:val="10"/>
          <w:rFonts w:ascii="仿宋_GB2312" w:hAnsi="仿宋_GB2312" w:eastAsia="仿宋_GB2312" w:cs="仿宋_GB2312"/>
          <w:b w:val="0"/>
          <w:sz w:val="32"/>
          <w:szCs w:val="32"/>
        </w:rPr>
        <w:t>97.68</w:t>
      </w:r>
      <w:r>
        <w:rPr>
          <w:rStyle w:val="10"/>
          <w:rFonts w:hint="eastAsia" w:ascii="仿宋_GB2312" w:hAnsi="仿宋_GB2312" w:eastAsia="仿宋_GB2312" w:cs="仿宋_GB2312"/>
          <w:b w:val="0"/>
          <w:sz w:val="32"/>
          <w:szCs w:val="32"/>
        </w:rPr>
        <w:t>%。</w:t>
      </w:r>
    </w:p>
    <w:p>
      <w:pPr>
        <w:pStyle w:val="13"/>
        <w:snapToGrid w:val="0"/>
        <w:spacing w:line="540" w:lineRule="exact"/>
        <w:ind w:firstLine="640"/>
        <w:outlineLvl w:val="2"/>
        <w:rPr>
          <w:rStyle w:val="10"/>
          <w:rFonts w:ascii="仿宋_GB2312" w:hAnsi="仿宋_GB2312" w:eastAsia="仿宋_GB2312" w:cs="仿宋_GB2312"/>
          <w:bCs w:val="0"/>
          <w:sz w:val="32"/>
          <w:szCs w:val="32"/>
        </w:rPr>
      </w:pPr>
      <w:r>
        <w:rPr>
          <w:rStyle w:val="10"/>
          <w:rFonts w:hint="eastAsia" w:ascii="仿宋_GB2312" w:hAnsi="仿宋_GB2312" w:eastAsia="仿宋_GB2312" w:cs="仿宋_GB2312"/>
          <w:bCs w:val="0"/>
          <w:sz w:val="32"/>
          <w:szCs w:val="32"/>
        </w:rPr>
        <w:t>2.预算调整情况</w:t>
      </w:r>
    </w:p>
    <w:p>
      <w:pPr>
        <w:pStyle w:val="13"/>
        <w:snapToGrid w:val="0"/>
        <w:spacing w:line="540" w:lineRule="exact"/>
        <w:ind w:firstLine="64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我单位年初批复预算数</w:t>
      </w:r>
      <w:r>
        <w:rPr>
          <w:rStyle w:val="10"/>
          <w:rFonts w:ascii="仿宋_GB2312" w:hAnsi="仿宋_GB2312" w:eastAsia="仿宋_GB2312" w:cs="仿宋_GB2312"/>
          <w:b w:val="0"/>
          <w:sz w:val="32"/>
          <w:szCs w:val="32"/>
        </w:rPr>
        <w:t>4649.54</w:t>
      </w:r>
      <w:r>
        <w:rPr>
          <w:rStyle w:val="10"/>
          <w:rFonts w:hint="eastAsia" w:ascii="仿宋_GB2312" w:hAnsi="仿宋_GB2312" w:eastAsia="仿宋_GB2312" w:cs="仿宋_GB2312"/>
          <w:b w:val="0"/>
          <w:sz w:val="32"/>
          <w:szCs w:val="32"/>
        </w:rPr>
        <w:t>万元，年中调整数</w:t>
      </w:r>
      <w:r>
        <w:rPr>
          <w:rStyle w:val="10"/>
          <w:rFonts w:ascii="仿宋_GB2312" w:hAnsi="仿宋_GB2312" w:eastAsia="仿宋_GB2312" w:cs="仿宋_GB2312"/>
          <w:b w:val="0"/>
          <w:sz w:val="32"/>
          <w:szCs w:val="32"/>
        </w:rPr>
        <w:t>12021.05</w:t>
      </w:r>
      <w:r>
        <w:rPr>
          <w:rStyle w:val="10"/>
          <w:rFonts w:hint="eastAsia" w:ascii="仿宋_GB2312" w:hAnsi="仿宋_GB2312" w:eastAsia="仿宋_GB2312" w:cs="仿宋_GB2312"/>
          <w:b w:val="0"/>
          <w:sz w:val="32"/>
          <w:szCs w:val="32"/>
        </w:rPr>
        <w:t>万元，调整后全年预算数</w:t>
      </w:r>
      <w:r>
        <w:rPr>
          <w:rStyle w:val="10"/>
          <w:rFonts w:ascii="仿宋_GB2312" w:hAnsi="仿宋_GB2312" w:eastAsia="仿宋_GB2312" w:cs="仿宋_GB2312"/>
          <w:b w:val="0"/>
          <w:sz w:val="32"/>
          <w:szCs w:val="32"/>
        </w:rPr>
        <w:t>16670.59</w:t>
      </w:r>
      <w:r>
        <w:rPr>
          <w:rStyle w:val="10"/>
          <w:rFonts w:hint="eastAsia" w:ascii="仿宋_GB2312" w:hAnsi="仿宋_GB2312" w:eastAsia="仿宋_GB2312" w:cs="仿宋_GB2312"/>
          <w:b w:val="0"/>
          <w:sz w:val="32"/>
          <w:szCs w:val="32"/>
        </w:rPr>
        <w:t>万元，预算调整率</w:t>
      </w:r>
      <w:r>
        <w:rPr>
          <w:rStyle w:val="10"/>
          <w:rFonts w:ascii="仿宋_GB2312" w:hAnsi="仿宋_GB2312" w:eastAsia="仿宋_GB2312" w:cs="仿宋_GB2312"/>
          <w:b w:val="0"/>
          <w:sz w:val="32"/>
          <w:szCs w:val="32"/>
        </w:rPr>
        <w:t>258.54</w:t>
      </w:r>
      <w:r>
        <w:rPr>
          <w:rStyle w:val="10"/>
          <w:rFonts w:hint="eastAsia" w:ascii="仿宋_GB2312" w:hAnsi="仿宋_GB2312" w:eastAsia="仿宋_GB2312" w:cs="仿宋_GB2312"/>
          <w:b w:val="0"/>
          <w:sz w:val="32"/>
          <w:szCs w:val="32"/>
        </w:rPr>
        <w:t>%。</w:t>
      </w:r>
    </w:p>
    <w:p>
      <w:pPr>
        <w:pStyle w:val="13"/>
        <w:snapToGrid w:val="0"/>
        <w:spacing w:line="540" w:lineRule="exact"/>
        <w:ind w:firstLine="640"/>
        <w:rPr>
          <w:rStyle w:val="10"/>
          <w:rFonts w:ascii="仿宋_GB2312" w:hAnsi="仿宋_GB2312" w:eastAsia="仿宋_GB2312" w:cs="仿宋_GB2312"/>
          <w:bCs w:val="0"/>
          <w:sz w:val="32"/>
          <w:szCs w:val="32"/>
        </w:rPr>
      </w:pPr>
      <w:r>
        <w:rPr>
          <w:rStyle w:val="10"/>
          <w:rFonts w:hint="eastAsia" w:ascii="仿宋_GB2312" w:hAnsi="仿宋_GB2312" w:eastAsia="仿宋_GB2312" w:cs="仿宋_GB2312"/>
          <w:bCs w:val="0"/>
          <w:sz w:val="32"/>
          <w:szCs w:val="32"/>
        </w:rPr>
        <w:t>3.政府采购执行情况</w:t>
      </w:r>
    </w:p>
    <w:p>
      <w:pPr>
        <w:pStyle w:val="13"/>
        <w:snapToGrid w:val="0"/>
        <w:spacing w:line="540" w:lineRule="exact"/>
        <w:ind w:firstLine="64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年初政府采购预算数为0万元，实际政府采购数为0万元，政府采购执行率为0%。</w:t>
      </w:r>
    </w:p>
    <w:p>
      <w:pPr>
        <w:pStyle w:val="13"/>
        <w:snapToGrid w:val="0"/>
        <w:spacing w:line="540" w:lineRule="exact"/>
        <w:ind w:firstLine="640"/>
        <w:outlineLvl w:val="1"/>
        <w:rPr>
          <w:rStyle w:val="10"/>
          <w:rFonts w:ascii="仿宋_GB2312" w:hAnsi="仿宋_GB2312" w:eastAsia="仿宋_GB2312" w:cs="仿宋_GB2312"/>
          <w:bCs w:val="0"/>
          <w:sz w:val="32"/>
          <w:szCs w:val="32"/>
        </w:rPr>
      </w:pPr>
      <w:r>
        <w:rPr>
          <w:rStyle w:val="10"/>
          <w:rFonts w:hint="eastAsia" w:ascii="仿宋_GB2312" w:hAnsi="仿宋_GB2312" w:eastAsia="仿宋_GB2312" w:cs="仿宋_GB2312"/>
          <w:bCs w:val="0"/>
          <w:sz w:val="32"/>
          <w:szCs w:val="32"/>
        </w:rPr>
        <w:t>（五）评价使用方法和主要内容、涉及范围</w:t>
      </w:r>
    </w:p>
    <w:p>
      <w:pPr>
        <w:pStyle w:val="13"/>
        <w:snapToGrid w:val="0"/>
        <w:spacing w:line="540" w:lineRule="exact"/>
        <w:ind w:firstLine="640"/>
        <w:outlineLvl w:val="2"/>
        <w:rPr>
          <w:rStyle w:val="10"/>
          <w:rFonts w:ascii="仿宋_GB2312" w:hAnsi="仿宋_GB2312" w:eastAsia="仿宋_GB2312" w:cs="仿宋_GB2312"/>
          <w:bCs w:val="0"/>
          <w:sz w:val="32"/>
          <w:szCs w:val="32"/>
        </w:rPr>
      </w:pPr>
      <w:r>
        <w:rPr>
          <w:rStyle w:val="10"/>
          <w:rFonts w:hint="eastAsia" w:ascii="仿宋_GB2312" w:hAnsi="仿宋_GB2312" w:eastAsia="仿宋_GB2312" w:cs="仿宋_GB2312"/>
          <w:bCs w:val="0"/>
          <w:sz w:val="32"/>
          <w:szCs w:val="32"/>
        </w:rPr>
        <w:t>1.评价使用方法</w:t>
      </w:r>
    </w:p>
    <w:p>
      <w:pPr>
        <w:pStyle w:val="13"/>
        <w:snapToGrid w:val="0"/>
        <w:spacing w:line="540" w:lineRule="exact"/>
        <w:ind w:firstLine="640"/>
        <w:rPr>
          <w:rStyle w:val="10"/>
          <w:rFonts w:ascii="仿宋_GB2312" w:hAnsi="仿宋_GB2312" w:eastAsia="仿宋_GB2312" w:cs="仿宋_GB2312"/>
          <w:b w:val="0"/>
          <w:sz w:val="32"/>
          <w:szCs w:val="32"/>
        </w:rPr>
      </w:pPr>
      <w:bookmarkStart w:id="1" w:name="_Hlk49856735"/>
      <w:r>
        <w:rPr>
          <w:rStyle w:val="10"/>
          <w:rFonts w:hint="eastAsia" w:ascii="仿宋_GB2312" w:hAnsi="仿宋_GB2312" w:eastAsia="仿宋_GB2312" w:cs="仿宋_GB2312"/>
          <w:b w:val="0"/>
          <w:sz w:val="32"/>
          <w:szCs w:val="32"/>
        </w:rPr>
        <w:t>本次评价主要采取比较法和调查法。一是比较法。对项目支出情况及建设后的产出及效果与项目实施计划目标进行比较，分析预计目标的完成程度。二是公众评判法。通过专家评估、公众问卷及抽样调查等方式进行评判的方法。问卷调查是针对项目区利益相关方实施的调查，并对调查结果进行统计、分析和评定。</w:t>
      </w:r>
    </w:p>
    <w:p>
      <w:pPr>
        <w:pStyle w:val="13"/>
        <w:snapToGrid w:val="0"/>
        <w:spacing w:line="540" w:lineRule="exact"/>
        <w:ind w:firstLine="640"/>
        <w:outlineLvl w:val="2"/>
        <w:rPr>
          <w:rStyle w:val="10"/>
          <w:rFonts w:ascii="仿宋_GB2312" w:hAnsi="仿宋_GB2312" w:eastAsia="仿宋_GB2312" w:cs="仿宋_GB2312"/>
          <w:bCs w:val="0"/>
          <w:sz w:val="32"/>
          <w:szCs w:val="32"/>
        </w:rPr>
      </w:pPr>
      <w:r>
        <w:rPr>
          <w:rStyle w:val="10"/>
          <w:rFonts w:hint="eastAsia" w:ascii="仿宋_GB2312" w:hAnsi="仿宋_GB2312" w:eastAsia="仿宋_GB2312" w:cs="仿宋_GB2312"/>
          <w:bCs w:val="0"/>
          <w:sz w:val="32"/>
          <w:szCs w:val="32"/>
        </w:rPr>
        <w:t>2.评价对象及主要内容</w:t>
      </w:r>
    </w:p>
    <w:p>
      <w:pPr>
        <w:pStyle w:val="13"/>
        <w:snapToGrid w:val="0"/>
        <w:spacing w:line="540" w:lineRule="exact"/>
        <w:ind w:firstLine="64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评价的对象及主要内容为:</w:t>
      </w:r>
      <w:r>
        <w:rPr>
          <w:rStyle w:val="10"/>
          <w:rFonts w:hint="eastAsia" w:ascii="仿宋_GB2312" w:hAnsi="仿宋_GB2312" w:eastAsia="仿宋_GB2312" w:cs="仿宋_GB2312"/>
          <w:bCs w:val="0"/>
          <w:sz w:val="32"/>
          <w:szCs w:val="32"/>
        </w:rPr>
        <w:t>一是</w:t>
      </w:r>
      <w:r>
        <w:rPr>
          <w:rStyle w:val="10"/>
          <w:rFonts w:hint="eastAsia" w:ascii="仿宋_GB2312" w:hAnsi="仿宋_GB2312" w:eastAsia="仿宋_GB2312" w:cs="仿宋_GB2312"/>
          <w:b w:val="0"/>
          <w:sz w:val="32"/>
          <w:szCs w:val="32"/>
        </w:rPr>
        <w:t>部门单位整体管理及使用情况，具体涉及预算管理、基本支出和专项支出的管理及使用情况；</w:t>
      </w:r>
      <w:r>
        <w:rPr>
          <w:rStyle w:val="10"/>
          <w:rFonts w:hint="eastAsia" w:ascii="仿宋_GB2312" w:hAnsi="仿宋_GB2312" w:eastAsia="仿宋_GB2312" w:cs="仿宋_GB2312"/>
          <w:bCs w:val="0"/>
          <w:sz w:val="32"/>
          <w:szCs w:val="32"/>
        </w:rPr>
        <w:t>二是</w:t>
      </w:r>
      <w:r>
        <w:rPr>
          <w:rStyle w:val="10"/>
          <w:rFonts w:hint="eastAsia" w:ascii="仿宋_GB2312" w:hAnsi="仿宋_GB2312" w:eastAsia="仿宋_GB2312" w:cs="仿宋_GB2312"/>
          <w:b w:val="0"/>
          <w:sz w:val="32"/>
          <w:szCs w:val="32"/>
        </w:rPr>
        <w:t>部门单位整体支出绩效情况，具体涉及部门单位整体支出绩效目标的实现程度，包括是否达到预定产出、效果和效益效率等；</w:t>
      </w:r>
      <w:r>
        <w:rPr>
          <w:rStyle w:val="10"/>
          <w:rFonts w:hint="eastAsia" w:ascii="仿宋_GB2312" w:hAnsi="仿宋_GB2312" w:eastAsia="仿宋_GB2312" w:cs="仿宋_GB2312"/>
          <w:bCs w:val="0"/>
          <w:sz w:val="32"/>
          <w:szCs w:val="32"/>
        </w:rPr>
        <w:t>三是</w:t>
      </w:r>
      <w:r>
        <w:rPr>
          <w:rStyle w:val="10"/>
          <w:rFonts w:hint="eastAsia" w:ascii="仿宋_GB2312" w:hAnsi="仿宋_GB2312" w:eastAsia="仿宋_GB2312" w:cs="仿宋_GB2312"/>
          <w:b w:val="0"/>
          <w:sz w:val="32"/>
          <w:szCs w:val="32"/>
        </w:rPr>
        <w:t>部门单位专项组织实施情况，具体涉及专项组织情况分析和相关管理情况；</w:t>
      </w:r>
      <w:r>
        <w:rPr>
          <w:rStyle w:val="10"/>
          <w:rFonts w:hint="eastAsia" w:ascii="仿宋_GB2312" w:hAnsi="仿宋_GB2312" w:eastAsia="仿宋_GB2312" w:cs="仿宋_GB2312"/>
          <w:bCs w:val="0"/>
          <w:sz w:val="32"/>
          <w:szCs w:val="32"/>
        </w:rPr>
        <w:t>四是</w:t>
      </w:r>
      <w:r>
        <w:rPr>
          <w:rStyle w:val="10"/>
          <w:rFonts w:hint="eastAsia" w:ascii="仿宋_GB2312" w:hAnsi="仿宋_GB2312" w:eastAsia="仿宋_GB2312" w:cs="仿宋_GB2312"/>
          <w:b w:val="0"/>
          <w:sz w:val="32"/>
          <w:szCs w:val="32"/>
        </w:rPr>
        <w:t>资产管理情况，具体涉及资产管理规范性和资产变动情况。</w:t>
      </w:r>
    </w:p>
    <w:p>
      <w:pPr>
        <w:pStyle w:val="13"/>
        <w:snapToGrid w:val="0"/>
        <w:spacing w:line="540" w:lineRule="exact"/>
        <w:ind w:firstLine="640"/>
        <w:outlineLvl w:val="2"/>
        <w:rPr>
          <w:rStyle w:val="10"/>
          <w:rFonts w:ascii="仿宋_GB2312" w:hAnsi="仿宋_GB2312" w:eastAsia="仿宋_GB2312" w:cs="仿宋_GB2312"/>
          <w:bCs w:val="0"/>
          <w:sz w:val="32"/>
          <w:szCs w:val="32"/>
        </w:rPr>
      </w:pPr>
      <w:r>
        <w:rPr>
          <w:rStyle w:val="10"/>
          <w:rFonts w:hint="eastAsia" w:ascii="仿宋_GB2312" w:hAnsi="仿宋_GB2312" w:eastAsia="仿宋_GB2312" w:cs="仿宋_GB2312"/>
          <w:bCs w:val="0"/>
          <w:sz w:val="32"/>
          <w:szCs w:val="32"/>
        </w:rPr>
        <w:t>3.涉及的范围</w:t>
      </w:r>
      <w:bookmarkEnd w:id="1"/>
    </w:p>
    <w:p>
      <w:pPr>
        <w:pStyle w:val="13"/>
        <w:snapToGrid w:val="0"/>
        <w:spacing w:line="540" w:lineRule="exact"/>
        <w:ind w:firstLine="64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评价范围是对本单位整体支出从年度总体绩效目标、产出指标、效益指标、满意度指标等方面进行了全方位、多角度综合评价分析。</w:t>
      </w:r>
    </w:p>
    <w:p>
      <w:pPr>
        <w:pStyle w:val="13"/>
        <w:numPr>
          <w:ilvl w:val="0"/>
          <w:numId w:val="1"/>
        </w:numPr>
        <w:snapToGrid w:val="0"/>
        <w:spacing w:line="540" w:lineRule="exact"/>
        <w:ind w:firstLineChars="0"/>
        <w:outlineLvl w:val="0"/>
        <w:rPr>
          <w:rFonts w:ascii="仿宋_GB2312" w:hAnsi="仿宋_GB2312" w:eastAsia="仿宋_GB2312" w:cs="仿宋_GB2312"/>
          <w:b/>
          <w:sz w:val="32"/>
          <w:szCs w:val="32"/>
        </w:rPr>
      </w:pPr>
      <w:bookmarkStart w:id="2" w:name="_Toc32535_WPSOffice_Level1"/>
      <w:r>
        <w:rPr>
          <w:rFonts w:hint="eastAsia" w:ascii="仿宋_GB2312" w:hAnsi="仿宋_GB2312" w:eastAsia="仿宋_GB2312" w:cs="仿宋_GB2312"/>
          <w:b/>
          <w:sz w:val="32"/>
          <w:szCs w:val="32"/>
        </w:rPr>
        <w:t>部门单位整体支出管理及使用情况</w:t>
      </w:r>
      <w:bookmarkEnd w:id="2"/>
    </w:p>
    <w:p>
      <w:pPr>
        <w:pStyle w:val="13"/>
        <w:snapToGrid w:val="0"/>
        <w:spacing w:line="540" w:lineRule="exact"/>
        <w:ind w:firstLine="640"/>
        <w:outlineLvl w:val="1"/>
        <w:rPr>
          <w:rStyle w:val="10"/>
          <w:rFonts w:ascii="仿宋_GB2312" w:hAnsi="仿宋_GB2312" w:eastAsia="仿宋_GB2312" w:cs="仿宋_GB2312"/>
          <w:bCs w:val="0"/>
          <w:sz w:val="32"/>
          <w:szCs w:val="32"/>
        </w:rPr>
      </w:pPr>
      <w:r>
        <w:rPr>
          <w:rStyle w:val="10"/>
          <w:rFonts w:hint="eastAsia" w:ascii="仿宋_GB2312" w:hAnsi="仿宋_GB2312" w:eastAsia="仿宋_GB2312" w:cs="仿宋_GB2312"/>
          <w:bCs w:val="0"/>
          <w:sz w:val="32"/>
          <w:szCs w:val="32"/>
        </w:rPr>
        <w:t>（一）预算管理情况</w:t>
      </w:r>
    </w:p>
    <w:p>
      <w:pPr>
        <w:pStyle w:val="13"/>
        <w:snapToGrid w:val="0"/>
        <w:spacing w:line="540" w:lineRule="exact"/>
        <w:ind w:firstLine="640"/>
        <w:outlineLvl w:val="2"/>
        <w:rPr>
          <w:rStyle w:val="10"/>
          <w:rFonts w:ascii="仿宋_GB2312" w:hAnsi="仿宋_GB2312" w:eastAsia="仿宋_GB2312" w:cs="仿宋_GB2312"/>
          <w:bCs w:val="0"/>
          <w:sz w:val="32"/>
          <w:szCs w:val="32"/>
        </w:rPr>
      </w:pPr>
      <w:r>
        <w:rPr>
          <w:rStyle w:val="10"/>
          <w:rFonts w:hint="eastAsia" w:ascii="仿宋_GB2312" w:hAnsi="仿宋_GB2312" w:eastAsia="仿宋_GB2312" w:cs="仿宋_GB2312"/>
          <w:bCs w:val="0"/>
          <w:sz w:val="32"/>
          <w:szCs w:val="32"/>
        </w:rPr>
        <w:t>1.管理制度健全性</w:t>
      </w:r>
    </w:p>
    <w:p>
      <w:pPr>
        <w:pStyle w:val="13"/>
        <w:snapToGrid w:val="0"/>
        <w:spacing w:line="540" w:lineRule="exact"/>
        <w:ind w:firstLine="64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本单位为加强预算管理，规范财务行为，已制定《阿克陶县巴仁乡部门单位预算绩效管理工作实施办法》，《阿克陶县巴仁乡单位财务管理制度》等健全完整的各项管理制度，有效保障了我单位高效的履行工作职能，较好的促进事业发展。</w:t>
      </w:r>
    </w:p>
    <w:p>
      <w:pPr>
        <w:pStyle w:val="13"/>
        <w:snapToGrid w:val="0"/>
        <w:spacing w:line="540" w:lineRule="exact"/>
        <w:ind w:firstLine="640"/>
        <w:outlineLvl w:val="2"/>
        <w:rPr>
          <w:rStyle w:val="10"/>
          <w:rFonts w:ascii="仿宋_GB2312" w:hAnsi="仿宋_GB2312" w:eastAsia="仿宋_GB2312" w:cs="仿宋_GB2312"/>
          <w:bCs w:val="0"/>
          <w:sz w:val="32"/>
          <w:szCs w:val="32"/>
        </w:rPr>
      </w:pPr>
      <w:r>
        <w:rPr>
          <w:rStyle w:val="10"/>
          <w:rFonts w:hint="eastAsia" w:ascii="仿宋_GB2312" w:hAnsi="仿宋_GB2312" w:eastAsia="仿宋_GB2312" w:cs="仿宋_GB2312"/>
          <w:bCs w:val="0"/>
          <w:sz w:val="32"/>
          <w:szCs w:val="32"/>
        </w:rPr>
        <w:t>2.资金使用合规性和安全性</w:t>
      </w:r>
    </w:p>
    <w:p>
      <w:pPr>
        <w:pStyle w:val="13"/>
        <w:snapToGrid w:val="0"/>
        <w:spacing w:line="540" w:lineRule="exact"/>
        <w:ind w:firstLine="64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3"/>
        <w:snapToGrid w:val="0"/>
        <w:spacing w:line="540" w:lineRule="exact"/>
        <w:ind w:firstLine="640"/>
        <w:outlineLvl w:val="2"/>
        <w:rPr>
          <w:rStyle w:val="10"/>
          <w:rFonts w:ascii="仿宋_GB2312" w:hAnsi="仿宋_GB2312" w:eastAsia="仿宋_GB2312" w:cs="仿宋_GB2312"/>
          <w:bCs w:val="0"/>
          <w:sz w:val="32"/>
          <w:szCs w:val="32"/>
        </w:rPr>
      </w:pPr>
      <w:r>
        <w:rPr>
          <w:rStyle w:val="10"/>
          <w:rFonts w:hint="eastAsia" w:ascii="仿宋_GB2312" w:hAnsi="仿宋_GB2312" w:eastAsia="仿宋_GB2312" w:cs="仿宋_GB2312"/>
          <w:bCs w:val="0"/>
          <w:sz w:val="32"/>
          <w:szCs w:val="32"/>
        </w:rPr>
        <w:t>3.预决算信息公开性</w:t>
      </w:r>
    </w:p>
    <w:p>
      <w:pPr>
        <w:pStyle w:val="13"/>
        <w:snapToGrid w:val="0"/>
        <w:spacing w:line="540" w:lineRule="exact"/>
        <w:ind w:firstLine="64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3"/>
        <w:snapToGrid w:val="0"/>
        <w:spacing w:line="540" w:lineRule="exact"/>
        <w:ind w:firstLine="640"/>
        <w:outlineLvl w:val="1"/>
        <w:rPr>
          <w:rStyle w:val="10"/>
          <w:rFonts w:ascii="仿宋_GB2312" w:hAnsi="仿宋_GB2312" w:eastAsia="仿宋_GB2312" w:cs="仿宋_GB2312"/>
          <w:bCs w:val="0"/>
          <w:sz w:val="32"/>
          <w:szCs w:val="32"/>
        </w:rPr>
      </w:pPr>
      <w:r>
        <w:rPr>
          <w:rStyle w:val="10"/>
          <w:rFonts w:hint="eastAsia" w:ascii="仿宋_GB2312" w:hAnsi="仿宋_GB2312" w:eastAsia="仿宋_GB2312" w:cs="仿宋_GB2312"/>
          <w:bCs w:val="0"/>
          <w:sz w:val="32"/>
          <w:szCs w:val="32"/>
        </w:rPr>
        <w:t>（二）基本支出和使用情况</w:t>
      </w:r>
    </w:p>
    <w:p>
      <w:pPr>
        <w:pStyle w:val="13"/>
        <w:snapToGrid w:val="0"/>
        <w:spacing w:line="540" w:lineRule="exact"/>
        <w:ind w:firstLine="640"/>
        <w:outlineLvl w:val="2"/>
        <w:rPr>
          <w:rStyle w:val="10"/>
          <w:rFonts w:ascii="仿宋_GB2312" w:hAnsi="仿宋_GB2312" w:eastAsia="仿宋_GB2312" w:cs="仿宋_GB2312"/>
          <w:bCs w:val="0"/>
          <w:sz w:val="32"/>
          <w:szCs w:val="32"/>
        </w:rPr>
      </w:pPr>
      <w:r>
        <w:rPr>
          <w:rStyle w:val="10"/>
          <w:rFonts w:hint="eastAsia" w:ascii="仿宋_GB2312" w:hAnsi="仿宋_GB2312" w:eastAsia="仿宋_GB2312" w:cs="仿宋_GB2312"/>
          <w:bCs w:val="0"/>
          <w:sz w:val="32"/>
          <w:szCs w:val="32"/>
        </w:rPr>
        <w:t>1.基本支出和使用情况</w:t>
      </w:r>
    </w:p>
    <w:p>
      <w:pPr>
        <w:pStyle w:val="13"/>
        <w:snapToGrid w:val="0"/>
        <w:spacing w:line="540" w:lineRule="exact"/>
        <w:ind w:firstLine="64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2021年本单位基本支出全年预算总额</w:t>
      </w:r>
      <w:r>
        <w:rPr>
          <w:rStyle w:val="10"/>
          <w:rFonts w:ascii="仿宋_GB2312" w:hAnsi="仿宋_GB2312" w:eastAsia="仿宋_GB2312" w:cs="仿宋_GB2312"/>
          <w:b w:val="0"/>
          <w:sz w:val="32"/>
          <w:szCs w:val="32"/>
        </w:rPr>
        <w:t>5372.25</w:t>
      </w:r>
      <w:r>
        <w:rPr>
          <w:rStyle w:val="10"/>
          <w:rFonts w:hint="eastAsia" w:ascii="仿宋_GB2312" w:hAnsi="仿宋_GB2312" w:eastAsia="仿宋_GB2312" w:cs="仿宋_GB2312"/>
          <w:b w:val="0"/>
          <w:sz w:val="32"/>
          <w:szCs w:val="32"/>
        </w:rPr>
        <w:t>万元，其中：人员经费</w:t>
      </w:r>
      <w:r>
        <w:rPr>
          <w:rStyle w:val="10"/>
          <w:rFonts w:ascii="仿宋_GB2312" w:hAnsi="仿宋_GB2312" w:eastAsia="仿宋_GB2312" w:cs="仿宋_GB2312"/>
          <w:b w:val="0"/>
          <w:sz w:val="32"/>
          <w:szCs w:val="32"/>
        </w:rPr>
        <w:t>5021.63</w:t>
      </w:r>
      <w:r>
        <w:rPr>
          <w:rStyle w:val="10"/>
          <w:rFonts w:hint="eastAsia" w:ascii="仿宋_GB2312" w:hAnsi="仿宋_GB2312" w:eastAsia="仿宋_GB2312" w:cs="仿宋_GB2312"/>
          <w:b w:val="0"/>
          <w:sz w:val="32"/>
          <w:szCs w:val="32"/>
        </w:rPr>
        <w:t>万元、公用经费：3</w:t>
      </w:r>
      <w:r>
        <w:rPr>
          <w:rStyle w:val="10"/>
          <w:rFonts w:ascii="仿宋_GB2312" w:hAnsi="仿宋_GB2312" w:eastAsia="仿宋_GB2312" w:cs="仿宋_GB2312"/>
          <w:b w:val="0"/>
          <w:sz w:val="32"/>
          <w:szCs w:val="32"/>
        </w:rPr>
        <w:t>50.62</w:t>
      </w:r>
      <w:r>
        <w:rPr>
          <w:rStyle w:val="10"/>
          <w:rFonts w:hint="eastAsia" w:ascii="仿宋_GB2312" w:hAnsi="仿宋_GB2312" w:eastAsia="仿宋_GB2312" w:cs="仿宋_GB2312"/>
          <w:b w:val="0"/>
          <w:sz w:val="32"/>
          <w:szCs w:val="32"/>
        </w:rPr>
        <w:t>万元，实际支出：5</w:t>
      </w:r>
      <w:r>
        <w:rPr>
          <w:rStyle w:val="10"/>
          <w:rFonts w:ascii="仿宋_GB2312" w:hAnsi="仿宋_GB2312" w:eastAsia="仿宋_GB2312" w:cs="仿宋_GB2312"/>
          <w:b w:val="0"/>
          <w:sz w:val="32"/>
          <w:szCs w:val="32"/>
        </w:rPr>
        <w:t>327.55</w:t>
      </w:r>
      <w:r>
        <w:rPr>
          <w:rStyle w:val="10"/>
          <w:rFonts w:hint="eastAsia" w:ascii="仿宋_GB2312" w:hAnsi="仿宋_GB2312" w:eastAsia="仿宋_GB2312" w:cs="仿宋_GB2312"/>
          <w:b w:val="0"/>
          <w:sz w:val="32"/>
          <w:szCs w:val="32"/>
        </w:rPr>
        <w:t>万元，预算执行率为9</w:t>
      </w:r>
      <w:r>
        <w:rPr>
          <w:rStyle w:val="10"/>
          <w:rFonts w:ascii="仿宋_GB2312" w:hAnsi="仿宋_GB2312" w:eastAsia="仿宋_GB2312" w:cs="仿宋_GB2312"/>
          <w:b w:val="0"/>
          <w:sz w:val="32"/>
          <w:szCs w:val="32"/>
        </w:rPr>
        <w:t>9.16%</w:t>
      </w:r>
      <w:r>
        <w:rPr>
          <w:rStyle w:val="10"/>
          <w:rFonts w:hint="eastAsia" w:ascii="仿宋_GB2312" w:hAnsi="仿宋_GB2312" w:eastAsia="仿宋_GB2312" w:cs="仿宋_GB2312"/>
          <w:b w:val="0"/>
          <w:sz w:val="32"/>
          <w:szCs w:val="32"/>
        </w:rPr>
        <w:t>。</w:t>
      </w:r>
    </w:p>
    <w:p>
      <w:pPr>
        <w:pStyle w:val="18"/>
        <w:snapToGrid w:val="0"/>
        <w:spacing w:line="540" w:lineRule="exact"/>
        <w:ind w:firstLine="64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3"/>
        <w:snapToGrid w:val="0"/>
        <w:spacing w:line="540" w:lineRule="exact"/>
        <w:ind w:firstLine="640"/>
        <w:outlineLvl w:val="2"/>
        <w:rPr>
          <w:rStyle w:val="10"/>
          <w:rFonts w:ascii="仿宋_GB2312" w:hAnsi="仿宋_GB2312" w:eastAsia="仿宋_GB2312" w:cs="仿宋_GB2312"/>
          <w:bCs w:val="0"/>
          <w:sz w:val="32"/>
          <w:szCs w:val="32"/>
        </w:rPr>
      </w:pPr>
      <w:r>
        <w:rPr>
          <w:rStyle w:val="10"/>
          <w:rFonts w:hint="eastAsia" w:ascii="仿宋_GB2312" w:hAnsi="仿宋_GB2312" w:eastAsia="仿宋_GB2312" w:cs="仿宋_GB2312"/>
          <w:bCs w:val="0"/>
          <w:sz w:val="32"/>
          <w:szCs w:val="32"/>
        </w:rPr>
        <w:t>2.三公经费控制情况</w:t>
      </w:r>
    </w:p>
    <w:p>
      <w:pPr>
        <w:pStyle w:val="13"/>
        <w:snapToGrid w:val="0"/>
        <w:spacing w:line="540" w:lineRule="exact"/>
        <w:ind w:firstLine="640"/>
        <w:rPr>
          <w:rFonts w:ascii="仿宋" w:hAnsi="仿宋" w:eastAsia="仿宋" w:cs="宋体"/>
          <w:bCs/>
          <w:sz w:val="32"/>
          <w:szCs w:val="32"/>
        </w:rPr>
      </w:pPr>
      <w:r>
        <w:rPr>
          <w:rFonts w:hint="eastAsia" w:ascii="仿宋" w:hAnsi="仿宋" w:eastAsia="仿宋" w:cs="宋体"/>
          <w:bCs/>
          <w:sz w:val="32"/>
          <w:szCs w:val="32"/>
        </w:rPr>
        <w:t>我单位坚决贯彻落实中央、自治区、阿克陶县厉行勤俭办公的工作要求，提倡本单位全体干部职工，勤俭节约，切实降低行政运行成本，确保每年“三公经费”只减不增。2021年“三公经费”预算为3.67万元，实际支出1.56万元，“三公经费”控制率为42.5%，其中：因公出国（境）费预算为0万元，实际支出0万元；公务接待费预算为0万元，实际支出0万元；公务用车购置费预算为0万元，实际支出0万元；公务用车运行维护费预算为3.67万元，实际支出1.56万元，公务用车运行维护费控制率42.5%，符合财政部门本年预算要求和相关管理制度要求。</w:t>
      </w:r>
    </w:p>
    <w:p>
      <w:pPr>
        <w:pStyle w:val="13"/>
        <w:snapToGrid w:val="0"/>
        <w:spacing w:line="540" w:lineRule="exact"/>
        <w:ind w:firstLine="640"/>
        <w:outlineLvl w:val="1"/>
        <w:rPr>
          <w:rStyle w:val="10"/>
          <w:rFonts w:ascii="仿宋_GB2312" w:hAnsi="仿宋_GB2312" w:eastAsia="仿宋_GB2312" w:cs="仿宋_GB2312"/>
          <w:bCs w:val="0"/>
          <w:sz w:val="32"/>
          <w:szCs w:val="32"/>
        </w:rPr>
      </w:pPr>
      <w:r>
        <w:rPr>
          <w:rStyle w:val="10"/>
          <w:rFonts w:hint="eastAsia" w:ascii="仿宋_GB2312" w:hAnsi="仿宋_GB2312" w:eastAsia="仿宋_GB2312" w:cs="仿宋_GB2312"/>
          <w:bCs w:val="0"/>
          <w:sz w:val="32"/>
          <w:szCs w:val="32"/>
        </w:rPr>
        <w:t>（三）专项支出管理和使用情况</w:t>
      </w:r>
    </w:p>
    <w:p>
      <w:pPr>
        <w:pStyle w:val="13"/>
        <w:snapToGrid w:val="0"/>
        <w:spacing w:line="540" w:lineRule="exact"/>
        <w:ind w:firstLine="64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专项资金的使用符合国家法规和财务管理制度，专项资金拨付有完整的审批程序和手续，符合项目预算批复或合同规定的用途，不存在截留、挤占、挪用、虚列支出等情况。</w:t>
      </w:r>
    </w:p>
    <w:p>
      <w:pPr>
        <w:pStyle w:val="13"/>
        <w:snapToGrid w:val="0"/>
        <w:spacing w:line="540" w:lineRule="exact"/>
        <w:ind w:firstLine="64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2021年本单位安排专项支出预算总额</w:t>
      </w:r>
      <w:r>
        <w:rPr>
          <w:rStyle w:val="10"/>
          <w:rFonts w:ascii="仿宋_GB2312" w:hAnsi="仿宋_GB2312" w:eastAsia="仿宋_GB2312" w:cs="仿宋_GB2312"/>
          <w:b w:val="0"/>
          <w:sz w:val="32"/>
          <w:szCs w:val="32"/>
        </w:rPr>
        <w:t>11298.33</w:t>
      </w:r>
      <w:r>
        <w:rPr>
          <w:rStyle w:val="10"/>
          <w:rFonts w:hint="eastAsia" w:ascii="仿宋_GB2312" w:hAnsi="仿宋_GB2312" w:eastAsia="仿宋_GB2312" w:cs="仿宋_GB2312"/>
          <w:b w:val="0"/>
          <w:sz w:val="32"/>
          <w:szCs w:val="32"/>
        </w:rPr>
        <w:t>万元，实际支出</w:t>
      </w:r>
      <w:r>
        <w:rPr>
          <w:rStyle w:val="10"/>
          <w:rFonts w:ascii="仿宋_GB2312" w:hAnsi="仿宋_GB2312" w:eastAsia="仿宋_GB2312" w:cs="仿宋_GB2312"/>
          <w:b w:val="0"/>
          <w:sz w:val="32"/>
          <w:szCs w:val="32"/>
        </w:rPr>
        <w:t>10956.4</w:t>
      </w:r>
      <w:r>
        <w:rPr>
          <w:rStyle w:val="10"/>
          <w:rFonts w:hint="eastAsia" w:ascii="仿宋_GB2312" w:hAnsi="仿宋_GB2312" w:eastAsia="仿宋_GB2312" w:cs="仿宋_GB2312"/>
          <w:b w:val="0"/>
          <w:sz w:val="32"/>
          <w:szCs w:val="32"/>
        </w:rPr>
        <w:t>万元，专项支出预算执行率</w:t>
      </w:r>
      <w:r>
        <w:rPr>
          <w:rStyle w:val="10"/>
          <w:rFonts w:ascii="仿宋_GB2312" w:hAnsi="仿宋_GB2312" w:eastAsia="仿宋_GB2312" w:cs="仿宋_GB2312"/>
          <w:b w:val="0"/>
          <w:sz w:val="32"/>
          <w:szCs w:val="32"/>
        </w:rPr>
        <w:t>96.97</w:t>
      </w:r>
      <w:r>
        <w:rPr>
          <w:rStyle w:val="10"/>
          <w:rFonts w:hint="eastAsia" w:ascii="仿宋_GB2312" w:hAnsi="仿宋_GB2312" w:eastAsia="仿宋_GB2312" w:cs="仿宋_GB2312"/>
          <w:b w:val="0"/>
          <w:sz w:val="32"/>
          <w:szCs w:val="32"/>
        </w:rPr>
        <w:t>%。</w:t>
      </w:r>
    </w:p>
    <w:p>
      <w:pPr>
        <w:pStyle w:val="13"/>
        <w:snapToGrid w:val="0"/>
        <w:spacing w:line="540" w:lineRule="exact"/>
        <w:ind w:firstLine="64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2021年本单位共有31个资金项目，其中31个属经常性项目、0个属当年度新增项目，已完成项目31个、未完成项目0个。</w:t>
      </w:r>
    </w:p>
    <w:p>
      <w:pPr>
        <w:snapToGrid w:val="0"/>
        <w:spacing w:line="540" w:lineRule="exact"/>
        <w:ind w:left="648"/>
        <w:outlineLvl w:val="0"/>
        <w:rPr>
          <w:rFonts w:ascii="仿宋_GB2312" w:hAnsi="仿宋_GB2312" w:eastAsia="仿宋_GB2312" w:cs="仿宋_GB2312"/>
          <w:b/>
          <w:sz w:val="32"/>
          <w:szCs w:val="32"/>
        </w:rPr>
      </w:pPr>
      <w:bookmarkStart w:id="3" w:name="_Toc1734_WPSOffice_Level1"/>
      <w:r>
        <w:rPr>
          <w:rFonts w:hint="eastAsia" w:ascii="仿宋_GB2312" w:hAnsi="仿宋_GB2312" w:eastAsia="仿宋_GB2312" w:cs="仿宋_GB2312"/>
          <w:b/>
          <w:sz w:val="32"/>
          <w:szCs w:val="32"/>
        </w:rPr>
        <w:t>三、部门单位专项组织实施情况</w:t>
      </w:r>
      <w:bookmarkEnd w:id="3"/>
    </w:p>
    <w:p>
      <w:pPr>
        <w:pStyle w:val="13"/>
        <w:snapToGrid w:val="0"/>
        <w:spacing w:line="540" w:lineRule="exact"/>
        <w:ind w:firstLine="640"/>
        <w:rPr>
          <w:rStyle w:val="10"/>
          <w:rFonts w:ascii="仿宋_GB2312" w:hAnsi="仿宋_GB2312" w:eastAsia="仿宋_GB2312" w:cs="仿宋_GB2312"/>
          <w:bCs w:val="0"/>
          <w:color w:val="FF0000"/>
          <w:spacing w:val="-4"/>
          <w:sz w:val="32"/>
          <w:szCs w:val="32"/>
        </w:rPr>
      </w:pPr>
      <w:r>
        <w:rPr>
          <w:rStyle w:val="10"/>
          <w:rFonts w:hint="eastAsia" w:ascii="仿宋_GB2312" w:hAnsi="仿宋_GB2312" w:eastAsia="仿宋_GB2312" w:cs="仿宋_GB2312"/>
          <w:b w:val="0"/>
          <w:sz w:val="32"/>
          <w:szCs w:val="32"/>
        </w:rPr>
        <w:t>本年我单位实施专项项目</w:t>
      </w:r>
      <w:r>
        <w:rPr>
          <w:rStyle w:val="10"/>
          <w:rFonts w:ascii="仿宋_GB2312" w:hAnsi="仿宋_GB2312" w:eastAsia="仿宋_GB2312" w:cs="仿宋_GB2312"/>
          <w:b w:val="0"/>
          <w:sz w:val="32"/>
          <w:szCs w:val="32"/>
        </w:rPr>
        <w:t>31</w:t>
      </w:r>
      <w:r>
        <w:rPr>
          <w:rStyle w:val="10"/>
          <w:rFonts w:hint="eastAsia" w:ascii="仿宋_GB2312" w:hAnsi="仿宋_GB2312" w:eastAsia="仿宋_GB2312" w:cs="仿宋_GB2312"/>
          <w:b w:val="0"/>
          <w:sz w:val="32"/>
          <w:szCs w:val="32"/>
        </w:rPr>
        <w:t>个，涉及金额</w:t>
      </w:r>
      <w:r>
        <w:rPr>
          <w:rStyle w:val="10"/>
          <w:rFonts w:ascii="仿宋_GB2312" w:hAnsi="仿宋_GB2312" w:eastAsia="仿宋_GB2312" w:cs="仿宋_GB2312"/>
          <w:b w:val="0"/>
          <w:sz w:val="32"/>
          <w:szCs w:val="32"/>
        </w:rPr>
        <w:t>10956.4</w:t>
      </w:r>
      <w:r>
        <w:rPr>
          <w:rStyle w:val="10"/>
          <w:rFonts w:hint="eastAsia" w:ascii="仿宋_GB2312" w:hAnsi="仿宋_GB2312" w:eastAsia="仿宋_GB2312" w:cs="仿宋_GB2312"/>
          <w:b w:val="0"/>
          <w:sz w:val="32"/>
          <w:szCs w:val="32"/>
        </w:rPr>
        <w:t>万元，其中：中央专项项目31个涉及金额</w:t>
      </w:r>
      <w:r>
        <w:rPr>
          <w:rStyle w:val="10"/>
          <w:rFonts w:ascii="仿宋_GB2312" w:hAnsi="仿宋_GB2312" w:eastAsia="仿宋_GB2312" w:cs="仿宋_GB2312"/>
          <w:b w:val="0"/>
          <w:sz w:val="32"/>
          <w:szCs w:val="32"/>
        </w:rPr>
        <w:t>10956.4</w:t>
      </w:r>
      <w:r>
        <w:rPr>
          <w:rStyle w:val="10"/>
          <w:rFonts w:hint="eastAsia" w:ascii="仿宋_GB2312" w:hAnsi="仿宋_GB2312" w:eastAsia="仿宋_GB2312" w:cs="仿宋_GB2312"/>
          <w:b w:val="0"/>
          <w:sz w:val="32"/>
          <w:szCs w:val="32"/>
        </w:rPr>
        <w:t>万元，自治区专项项目0个涉及金额0万元，地区本级专项项目0个涉及金额0万元.</w:t>
      </w:r>
      <w:r>
        <w:rPr>
          <w:rStyle w:val="10"/>
          <w:rFonts w:ascii="仿宋_GB2312" w:hAnsi="仿宋_GB2312" w:eastAsia="仿宋_GB2312" w:cs="仿宋_GB2312"/>
          <w:bCs w:val="0"/>
          <w:color w:val="FF0000"/>
          <w:spacing w:val="-4"/>
          <w:sz w:val="32"/>
          <w:szCs w:val="32"/>
        </w:rPr>
        <w:t xml:space="preserve"> </w:t>
      </w:r>
    </w:p>
    <w:p>
      <w:pPr>
        <w:pStyle w:val="13"/>
        <w:snapToGrid w:val="0"/>
        <w:spacing w:line="540" w:lineRule="exact"/>
        <w:ind w:firstLine="624"/>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bCs w:val="0"/>
          <w:spacing w:val="-4"/>
          <w:sz w:val="32"/>
          <w:szCs w:val="32"/>
        </w:rPr>
        <w:t>（一）巴仁乡专项组织情况分析</w:t>
      </w:r>
    </w:p>
    <w:p>
      <w:pPr>
        <w:pStyle w:val="13"/>
        <w:snapToGrid w:val="0"/>
        <w:spacing w:line="540" w:lineRule="exact"/>
        <w:ind w:firstLine="624"/>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1.前期准备</w:t>
      </w:r>
    </w:p>
    <w:p>
      <w:pPr>
        <w:pStyle w:val="13"/>
        <w:snapToGrid w:val="0"/>
        <w:spacing w:line="540" w:lineRule="exact"/>
        <w:ind w:firstLine="64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我单位成立专项支出绩效评价小组，成员如下：</w:t>
      </w:r>
    </w:p>
    <w:p>
      <w:pPr>
        <w:pStyle w:val="13"/>
        <w:snapToGrid w:val="0"/>
        <w:spacing w:line="540" w:lineRule="exact"/>
        <w:ind w:firstLine="64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买买提江·吐拉甫任评价组组长，绩效评价工作职责为负责全盘工作。</w:t>
      </w:r>
    </w:p>
    <w:p>
      <w:pPr>
        <w:pStyle w:val="13"/>
        <w:snapToGrid w:val="0"/>
        <w:spacing w:line="540" w:lineRule="exact"/>
        <w:ind w:firstLine="64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何山（纪检书记）、纵瑞利（财务副乡长）任评价组副组长，绩效评价工作职责为为对项目实施情况进行实地调查。</w:t>
      </w:r>
    </w:p>
    <w:p>
      <w:pPr>
        <w:pStyle w:val="13"/>
        <w:snapToGrid w:val="0"/>
        <w:spacing w:line="540" w:lineRule="exact"/>
        <w:ind w:firstLine="640"/>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各科室负责人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3"/>
        <w:snapToGrid w:val="0"/>
        <w:spacing w:line="540" w:lineRule="exact"/>
        <w:ind w:firstLine="624"/>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2.组织实施</w:t>
      </w:r>
    </w:p>
    <w:p>
      <w:pPr>
        <w:pStyle w:val="13"/>
        <w:snapToGrid w:val="0"/>
        <w:spacing w:line="540" w:lineRule="exact"/>
        <w:ind w:firstLine="640"/>
        <w:outlineLvl w:val="1"/>
        <w:rPr>
          <w:rStyle w:val="10"/>
          <w:rFonts w:ascii="仿宋_GB2312" w:hAnsi="仿宋_GB2312" w:eastAsia="仿宋_GB2312" w:cs="仿宋_GB2312"/>
          <w:b w:val="0"/>
          <w:sz w:val="32"/>
          <w:szCs w:val="32"/>
        </w:rPr>
      </w:pPr>
      <w:r>
        <w:rPr>
          <w:rStyle w:val="10"/>
          <w:rFonts w:hint="eastAsia" w:ascii="仿宋_GB2312" w:hAnsi="仿宋_GB2312" w:eastAsia="仿宋_GB2312" w:cs="仿宋_GB2312"/>
          <w:b w:val="0"/>
          <w:sz w:val="32"/>
          <w:szCs w:val="32"/>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3"/>
        <w:snapToGrid w:val="0"/>
        <w:spacing w:line="540" w:lineRule="exact"/>
        <w:ind w:firstLine="624"/>
        <w:outlineLvl w:val="1"/>
        <w:rPr>
          <w:rStyle w:val="10"/>
          <w:rFonts w:ascii="仿宋_GB2312" w:hAnsi="仿宋_GB2312" w:eastAsia="仿宋_GB2312" w:cs="仿宋_GB2312"/>
          <w:bCs w:val="0"/>
          <w:spacing w:val="-4"/>
          <w:sz w:val="32"/>
          <w:szCs w:val="32"/>
        </w:rPr>
      </w:pPr>
      <w:r>
        <w:rPr>
          <w:rStyle w:val="10"/>
          <w:rFonts w:hint="eastAsia" w:ascii="仿宋_GB2312" w:hAnsi="仿宋_GB2312" w:eastAsia="仿宋_GB2312" w:cs="仿宋_GB2312"/>
          <w:bCs w:val="0"/>
          <w:spacing w:val="-4"/>
          <w:sz w:val="32"/>
          <w:szCs w:val="32"/>
        </w:rPr>
        <w:t>3</w:t>
      </w:r>
      <w:r>
        <w:rPr>
          <w:rStyle w:val="10"/>
          <w:rFonts w:ascii="仿宋_GB2312" w:hAnsi="仿宋_GB2312" w:eastAsia="仿宋_GB2312" w:cs="仿宋_GB2312"/>
          <w:bCs w:val="0"/>
          <w:spacing w:val="-4"/>
          <w:sz w:val="32"/>
          <w:szCs w:val="32"/>
        </w:rPr>
        <w:t>.</w:t>
      </w:r>
      <w:r>
        <w:rPr>
          <w:rStyle w:val="10"/>
          <w:rFonts w:hint="eastAsia" w:ascii="仿宋_GB2312" w:hAnsi="仿宋_GB2312" w:eastAsia="仿宋_GB2312" w:cs="仿宋_GB2312"/>
          <w:bCs w:val="0"/>
          <w:spacing w:val="-4"/>
          <w:sz w:val="32"/>
          <w:szCs w:val="32"/>
        </w:rPr>
        <w:t>项目情况</w:t>
      </w:r>
    </w:p>
    <w:p>
      <w:pPr>
        <w:pStyle w:val="13"/>
        <w:snapToGrid w:val="0"/>
        <w:spacing w:line="540" w:lineRule="exact"/>
        <w:ind w:firstLine="624"/>
        <w:outlineLvl w:val="1"/>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2</w:t>
      </w:r>
      <w:r>
        <w:rPr>
          <w:rStyle w:val="10"/>
          <w:rFonts w:ascii="仿宋_GB2312" w:hAnsi="仿宋_GB2312" w:eastAsia="仿宋_GB2312" w:cs="仿宋_GB2312"/>
          <w:b w:val="0"/>
          <w:bCs w:val="0"/>
          <w:spacing w:val="-4"/>
          <w:sz w:val="32"/>
          <w:szCs w:val="32"/>
        </w:rPr>
        <w:t>021</w:t>
      </w:r>
      <w:r>
        <w:rPr>
          <w:rStyle w:val="10"/>
          <w:rFonts w:hint="eastAsia" w:ascii="仿宋_GB2312" w:hAnsi="仿宋_GB2312" w:eastAsia="仿宋_GB2312" w:cs="仿宋_GB2312"/>
          <w:b w:val="0"/>
          <w:bCs w:val="0"/>
          <w:spacing w:val="-4"/>
          <w:sz w:val="32"/>
          <w:szCs w:val="32"/>
        </w:rPr>
        <w:t>年本单位共实施31个项目分别为：村级运转、十户长联防社保，就业大学生见习补贴，就业补助支出（夫妻工就业奖励，残疾人生活和护理补贴（两项补贴），城市最低生活保障金支出，农村最低生活保障金支出，临时救助支出，困难群群众临时救助支出，农村特困人员救助供养支出(特困、散居孤儿，社会保障和就业支出（特困供养、农村低保），基本公共卫生服务（划生育宣传员交通补助），计划生育服务（宣传员、国服奖励、南疆奖励，生态保护（生态护林员），自然生态保护支出（生态护林员），退耕还林还草支出（退耕还林、粮食直补，能源节约利用（照明路灯采购，小城镇基础设施建设（森林植被恢复费，城乡社区公共设施支出（萨伊巴格村改造，耕地地力保护补贴，农业农村支出（林果提质增效），森林资源培育（低质低效林提质增效），林业和草原支出（低质低效林提质增效），农村基础设施建设（扶贫项目），生产发展（扶贫项目），对村集体经济组织的补助（牛采购），棉花目标价格改革补贴，农林水支出(增减挂)，车辆购置税用于农村公路建设支出（扶贫项目），保障性安居工程支出（森林植被恢复费），自然灾害救灾及恢复重建支出，监察信息经费、阿热买里采购。</w:t>
      </w:r>
    </w:p>
    <w:p>
      <w:pPr>
        <w:pStyle w:val="13"/>
        <w:snapToGrid w:val="0"/>
        <w:spacing w:line="540" w:lineRule="exact"/>
        <w:ind w:firstLine="624"/>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（二）专项管理情况分析</w:t>
      </w:r>
    </w:p>
    <w:p>
      <w:pPr>
        <w:pStyle w:val="13"/>
        <w:snapToGrid w:val="0"/>
        <w:spacing w:line="540" w:lineRule="exact"/>
        <w:ind w:firstLine="624"/>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1.项目资金情况</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该项目预算资金，本年度所有项目金额111</w:t>
      </w:r>
      <w:r>
        <w:rPr>
          <w:rStyle w:val="10"/>
          <w:rFonts w:ascii="仿宋_GB2312" w:hAnsi="仿宋_GB2312" w:eastAsia="仿宋_GB2312" w:cs="仿宋_GB2312"/>
          <w:b w:val="0"/>
          <w:bCs w:val="0"/>
          <w:spacing w:val="-4"/>
          <w:sz w:val="32"/>
          <w:szCs w:val="32"/>
        </w:rPr>
        <w:t>298.33</w:t>
      </w:r>
      <w:r>
        <w:rPr>
          <w:rStyle w:val="10"/>
          <w:rFonts w:hint="eastAsia" w:ascii="仿宋_GB2312" w:hAnsi="仿宋_GB2312" w:eastAsia="仿宋_GB2312" w:cs="仿宋_GB2312"/>
          <w:b w:val="0"/>
          <w:bCs w:val="0"/>
          <w:spacing w:val="-4"/>
          <w:sz w:val="32"/>
          <w:szCs w:val="32"/>
        </w:rPr>
        <w:t>万元，实际到位</w:t>
      </w:r>
      <w:r>
        <w:rPr>
          <w:rStyle w:val="10"/>
          <w:rFonts w:ascii="仿宋_GB2312" w:hAnsi="仿宋_GB2312" w:eastAsia="仿宋_GB2312" w:cs="仿宋_GB2312"/>
          <w:b w:val="0"/>
          <w:bCs w:val="0"/>
          <w:spacing w:val="-4"/>
          <w:sz w:val="32"/>
          <w:szCs w:val="32"/>
        </w:rPr>
        <w:t>11298.33</w:t>
      </w:r>
      <w:r>
        <w:rPr>
          <w:rStyle w:val="10"/>
          <w:rFonts w:hint="eastAsia" w:ascii="仿宋_GB2312" w:hAnsi="仿宋_GB2312" w:eastAsia="仿宋_GB2312" w:cs="仿宋_GB2312"/>
          <w:b w:val="0"/>
          <w:bCs w:val="0"/>
          <w:spacing w:val="-4"/>
          <w:sz w:val="32"/>
          <w:szCs w:val="32"/>
        </w:rPr>
        <w:t>万元，实际支出</w:t>
      </w:r>
      <w:r>
        <w:rPr>
          <w:rStyle w:val="10"/>
          <w:rFonts w:ascii="仿宋_GB2312" w:hAnsi="仿宋_GB2312" w:eastAsia="仿宋_GB2312" w:cs="仿宋_GB2312"/>
          <w:b w:val="0"/>
          <w:bCs w:val="0"/>
          <w:spacing w:val="-4"/>
          <w:sz w:val="32"/>
          <w:szCs w:val="32"/>
        </w:rPr>
        <w:t>10956.4</w:t>
      </w:r>
      <w:r>
        <w:rPr>
          <w:rStyle w:val="10"/>
          <w:rFonts w:hint="eastAsia" w:ascii="仿宋_GB2312" w:hAnsi="仿宋_GB2312" w:eastAsia="仿宋_GB2312" w:cs="仿宋_GB2312"/>
          <w:b w:val="0"/>
          <w:bCs w:val="0"/>
          <w:spacing w:val="-4"/>
          <w:sz w:val="32"/>
          <w:szCs w:val="32"/>
        </w:rPr>
        <w:t>万元。到位足额及时，预算编制依据充分，预算编制准确，资金不存在截留、挪用，支付审批合规、不存在用途改变、范围超支和虚列项目支出等情况；本项目严格按照《阿克陶县巴仁乡单位财务管理制度》执行项目资金，实行专账核算、逐级审批。认真落实项目资金的使用各项管理制度，确保专款专用，及时拨付到位。</w:t>
      </w:r>
    </w:p>
    <w:p>
      <w:pPr>
        <w:pStyle w:val="13"/>
        <w:snapToGrid w:val="0"/>
        <w:spacing w:line="540" w:lineRule="exact"/>
        <w:ind w:firstLine="624"/>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2.项目实施情况</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项目组织情况：</w:t>
      </w:r>
      <w:r>
        <w:rPr>
          <w:rStyle w:val="10"/>
          <w:rFonts w:hint="eastAsia" w:ascii="仿宋_GB2312" w:hAnsi="仿宋_GB2312" w:eastAsia="仿宋_GB2312" w:cs="仿宋_GB2312"/>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项目管理情况：</w:t>
      </w:r>
      <w:r>
        <w:rPr>
          <w:rStyle w:val="10"/>
          <w:rFonts w:hint="eastAsia" w:ascii="仿宋_GB2312" w:hAnsi="仿宋_GB2312" w:eastAsia="仿宋_GB2312" w:cs="仿宋_GB2312"/>
          <w:b w:val="0"/>
          <w:bCs w:val="0"/>
          <w:spacing w:val="-4"/>
          <w:sz w:val="32"/>
          <w:szCs w:val="32"/>
        </w:rPr>
        <w:t>根据《项目绩效管理办法》及单位相关项目管理制度的规定，对项目的实施进行监督管理。建立健全项目后续各项监督管理制度，确保项目正常运转，长期发挥效益。</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项目监管情况：</w:t>
      </w:r>
      <w:r>
        <w:rPr>
          <w:rStyle w:val="10"/>
          <w:rFonts w:hint="eastAsia" w:ascii="仿宋_GB2312" w:hAnsi="仿宋_GB2312" w:eastAsia="仿宋_GB2312" w:cs="仿宋_GB2312"/>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13"/>
        <w:snapToGrid w:val="0"/>
        <w:spacing w:line="540" w:lineRule="exact"/>
        <w:ind w:firstLine="624"/>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3.项目绩效情况</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成本控制情况：</w:t>
      </w:r>
      <w:r>
        <w:rPr>
          <w:rStyle w:val="10"/>
          <w:rFonts w:hint="eastAsia" w:ascii="仿宋_GB2312" w:hAnsi="仿宋_GB2312" w:eastAsia="仿宋_GB2312" w:cs="仿宋_GB2312"/>
          <w:b w:val="0"/>
          <w:bCs w:val="0"/>
          <w:spacing w:val="-4"/>
          <w:sz w:val="32"/>
          <w:szCs w:val="32"/>
        </w:rPr>
        <w:t>严格按照相关的专项资金管理办法，实行多重审批控制专项经费的支出。</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成本节约情况：</w:t>
      </w:r>
      <w:r>
        <w:rPr>
          <w:rStyle w:val="10"/>
          <w:rFonts w:hint="eastAsia" w:ascii="仿宋_GB2312" w:hAnsi="仿宋_GB2312" w:eastAsia="仿宋_GB2312" w:cs="仿宋_GB2312"/>
          <w:b w:val="0"/>
          <w:bCs w:val="0"/>
          <w:spacing w:val="-4"/>
          <w:sz w:val="32"/>
          <w:szCs w:val="32"/>
        </w:rPr>
        <w:t>项目根据实际情况做出合理预算，支出严格控制在预算范围内，本着节约成本，防止资源浪费的原则将项目成效最大化。</w:t>
      </w:r>
    </w:p>
    <w:p>
      <w:pPr>
        <w:pStyle w:val="13"/>
        <w:snapToGrid w:val="0"/>
        <w:spacing w:line="540" w:lineRule="exact"/>
        <w:ind w:firstLine="624"/>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4.项目效率性</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项目实施进度：</w:t>
      </w:r>
      <w:r>
        <w:rPr>
          <w:rStyle w:val="10"/>
          <w:rFonts w:hint="eastAsia" w:ascii="仿宋_GB2312" w:hAnsi="仿宋_GB2312" w:eastAsia="仿宋_GB2312" w:cs="仿宋_GB2312"/>
          <w:b w:val="0"/>
          <w:bCs w:val="0"/>
          <w:spacing w:val="-4"/>
          <w:sz w:val="32"/>
          <w:szCs w:val="32"/>
        </w:rPr>
        <w:t>项目实施紧扣各个环节，逐步推进，及时与职能部门跟踪项目进展，加强项目督办，充分调动职能部门的积极性，加大项目投入工作的力度，加快项目实施进度。</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项目完成质量：</w:t>
      </w:r>
      <w:r>
        <w:rPr>
          <w:rStyle w:val="10"/>
          <w:rFonts w:hint="eastAsia" w:ascii="仿宋_GB2312" w:hAnsi="仿宋_GB2312" w:eastAsia="仿宋_GB2312" w:cs="仿宋_GB2312"/>
          <w:b w:val="0"/>
          <w:bCs w:val="0"/>
          <w:spacing w:val="-4"/>
          <w:sz w:val="32"/>
          <w:szCs w:val="32"/>
        </w:rPr>
        <w:t>项目严格按照年度预期目标执行，项目完成质量达标。</w:t>
      </w:r>
    </w:p>
    <w:p>
      <w:pPr>
        <w:pStyle w:val="13"/>
        <w:snapToGrid w:val="0"/>
        <w:spacing w:line="540" w:lineRule="exact"/>
        <w:ind w:firstLine="624"/>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5.项目效益性</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预期目标完成程度：</w:t>
      </w:r>
      <w:r>
        <w:rPr>
          <w:rStyle w:val="10"/>
          <w:rFonts w:hint="eastAsia" w:ascii="仿宋_GB2312" w:hAnsi="仿宋_GB2312" w:eastAsia="仿宋_GB2312" w:cs="仿宋_GB2312"/>
          <w:b w:val="0"/>
          <w:bCs w:val="0"/>
          <w:spacing w:val="-4"/>
          <w:sz w:val="32"/>
          <w:szCs w:val="32"/>
        </w:rPr>
        <w:t>按预定目标完成了年初所设定的各项指标。专项经费实际支出未超出预算规定，保障了专项工作的开展。</w:t>
      </w:r>
    </w:p>
    <w:p>
      <w:pPr>
        <w:pStyle w:val="13"/>
        <w:snapToGrid w:val="0"/>
        <w:spacing w:line="540" w:lineRule="exact"/>
        <w:ind w:left="319" w:leftChars="152" w:firstLine="313" w:firstLineChars="100"/>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项目实施对效益的影响：</w:t>
      </w:r>
      <w:r>
        <w:rPr>
          <w:rStyle w:val="10"/>
          <w:rFonts w:hint="eastAsia" w:ascii="仿宋_GB2312" w:hAnsi="仿宋_GB2312" w:eastAsia="仿宋_GB2312" w:cs="仿宋_GB2312"/>
          <w:b w:val="0"/>
          <w:bCs w:val="0"/>
          <w:spacing w:val="-4"/>
          <w:sz w:val="32"/>
          <w:szCs w:val="32"/>
        </w:rPr>
        <w:t>项目的实施有效提升了培训人员的爱国主义意识，持续保障了培训工作的顺利开展。</w:t>
      </w:r>
    </w:p>
    <w:p>
      <w:pPr>
        <w:pStyle w:val="13"/>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bookmarkStart w:id="4" w:name="_Toc27846_WPSOffice_Level1"/>
      <w:r>
        <w:rPr>
          <w:rStyle w:val="10"/>
          <w:rFonts w:hint="eastAsia" w:ascii="仿宋_GB2312" w:hAnsi="仿宋_GB2312" w:eastAsia="仿宋_GB2312" w:cs="仿宋_GB2312"/>
          <w:spacing w:val="-4"/>
          <w:sz w:val="32"/>
          <w:szCs w:val="32"/>
        </w:rPr>
        <w:t>资产管理情况</w:t>
      </w:r>
      <w:bookmarkEnd w:id="4"/>
    </w:p>
    <w:p>
      <w:pPr>
        <w:pStyle w:val="13"/>
        <w:tabs>
          <w:tab w:val="left" w:pos="0"/>
        </w:tabs>
        <w:snapToGrid w:val="0"/>
        <w:spacing w:line="540" w:lineRule="exact"/>
        <w:ind w:firstLine="624"/>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（一）资产管理规范性</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我单位2021年资产合计数为10604.15万元，比上年增加5524.7万元，主要原因是固定资产调拨，货币资金减少，其中：货币资金</w:t>
      </w:r>
      <w:r>
        <w:rPr>
          <w:rStyle w:val="10"/>
          <w:rFonts w:ascii="仿宋_GB2312" w:hAnsi="仿宋_GB2312" w:eastAsia="仿宋_GB2312" w:cs="仿宋_GB2312"/>
          <w:b w:val="0"/>
          <w:bCs w:val="0"/>
          <w:spacing w:val="-4"/>
          <w:sz w:val="32"/>
          <w:szCs w:val="32"/>
        </w:rPr>
        <w:t>2358</w:t>
      </w:r>
      <w:r>
        <w:rPr>
          <w:rStyle w:val="10"/>
          <w:rFonts w:hint="eastAsia" w:ascii="仿宋_GB2312" w:hAnsi="仿宋_GB2312" w:eastAsia="仿宋_GB2312" w:cs="仿宋_GB2312"/>
          <w:b w:val="0"/>
          <w:bCs w:val="0"/>
          <w:spacing w:val="-4"/>
          <w:sz w:val="32"/>
          <w:szCs w:val="32"/>
        </w:rPr>
        <w:t>.</w:t>
      </w:r>
      <w:r>
        <w:rPr>
          <w:rStyle w:val="10"/>
          <w:rFonts w:ascii="仿宋_GB2312" w:hAnsi="仿宋_GB2312" w:eastAsia="仿宋_GB2312" w:cs="仿宋_GB2312"/>
          <w:b w:val="0"/>
          <w:bCs w:val="0"/>
          <w:spacing w:val="-4"/>
          <w:sz w:val="32"/>
          <w:szCs w:val="32"/>
        </w:rPr>
        <w:t>14</w:t>
      </w:r>
      <w:r>
        <w:rPr>
          <w:rStyle w:val="10"/>
          <w:rFonts w:hint="eastAsia" w:ascii="仿宋_GB2312" w:hAnsi="仿宋_GB2312" w:eastAsia="仿宋_GB2312" w:cs="仿宋_GB2312"/>
          <w:b w:val="0"/>
          <w:bCs w:val="0"/>
          <w:spacing w:val="-4"/>
          <w:sz w:val="32"/>
          <w:szCs w:val="32"/>
        </w:rPr>
        <w:t>万元，比上年减少33.28万元；财政应返还额度0万元，比上年相比无变化；房屋11317.29平方米1566.94万元，比上年增加1314.77万元；车辆7辆64.98万元，与上年相比无变化；在建工程0万元，与上年持平。我单位本年无资产处置情况，资产配置合理，使用规范，安全完整。</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1.资产管理情况。</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2.固定资产利用情况。</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我单位固定资产</w:t>
      </w:r>
      <w:r>
        <w:rPr>
          <w:rStyle w:val="10"/>
          <w:rFonts w:ascii="仿宋_GB2312" w:hAnsi="仿宋_GB2312" w:eastAsia="仿宋_GB2312" w:cs="仿宋_GB2312"/>
          <w:b w:val="0"/>
          <w:bCs w:val="0"/>
          <w:spacing w:val="-4"/>
          <w:sz w:val="32"/>
          <w:szCs w:val="32"/>
        </w:rPr>
        <w:t>8246</w:t>
      </w:r>
      <w:r>
        <w:rPr>
          <w:rStyle w:val="10"/>
          <w:rFonts w:hint="eastAsia" w:ascii="仿宋_GB2312" w:hAnsi="仿宋_GB2312" w:eastAsia="仿宋_GB2312" w:cs="仿宋_GB2312"/>
          <w:b w:val="0"/>
          <w:bCs w:val="0"/>
          <w:spacing w:val="-4"/>
          <w:sz w:val="32"/>
          <w:szCs w:val="32"/>
        </w:rPr>
        <w:t>.</w:t>
      </w:r>
      <w:r>
        <w:rPr>
          <w:rStyle w:val="10"/>
          <w:rFonts w:ascii="仿宋_GB2312" w:hAnsi="仿宋_GB2312" w:eastAsia="仿宋_GB2312" w:cs="仿宋_GB2312"/>
          <w:b w:val="0"/>
          <w:bCs w:val="0"/>
          <w:spacing w:val="-4"/>
          <w:sz w:val="32"/>
          <w:szCs w:val="32"/>
        </w:rPr>
        <w:t>0</w:t>
      </w:r>
      <w:r>
        <w:rPr>
          <w:rStyle w:val="10"/>
          <w:rFonts w:hint="eastAsia" w:ascii="仿宋_GB2312" w:hAnsi="仿宋_GB2312" w:eastAsia="仿宋_GB2312" w:cs="仿宋_GB2312"/>
          <w:b w:val="0"/>
          <w:bCs w:val="0"/>
          <w:spacing w:val="-4"/>
          <w:sz w:val="32"/>
          <w:szCs w:val="32"/>
        </w:rPr>
        <w:t>1万元,其中:</w:t>
      </w:r>
      <w:r>
        <w:rPr>
          <w:rStyle w:val="10"/>
          <w:rFonts w:ascii="仿宋_GB2312" w:hAnsi="仿宋_GB2312" w:eastAsia="仿宋_GB2312" w:cs="仿宋_GB2312"/>
          <w:b w:val="0"/>
          <w:bCs w:val="0"/>
          <w:spacing w:val="-4"/>
          <w:sz w:val="32"/>
          <w:szCs w:val="32"/>
        </w:rPr>
        <w:t>9587.29</w:t>
      </w:r>
      <w:r>
        <w:rPr>
          <w:rStyle w:val="10"/>
          <w:rFonts w:hint="eastAsia" w:ascii="仿宋_GB2312" w:hAnsi="仿宋_GB2312" w:eastAsia="仿宋_GB2312" w:cs="仿宋_GB2312"/>
          <w:b w:val="0"/>
          <w:bCs w:val="0"/>
          <w:spacing w:val="-4"/>
          <w:sz w:val="32"/>
          <w:szCs w:val="32"/>
        </w:rPr>
        <w:t>平米房屋</w:t>
      </w:r>
      <w:r>
        <w:rPr>
          <w:rStyle w:val="10"/>
          <w:rFonts w:ascii="仿宋_GB2312" w:hAnsi="仿宋_GB2312" w:eastAsia="仿宋_GB2312" w:cs="仿宋_GB2312"/>
          <w:b w:val="0"/>
          <w:bCs w:val="0"/>
          <w:spacing w:val="-4"/>
          <w:sz w:val="32"/>
          <w:szCs w:val="32"/>
        </w:rPr>
        <w:t>1501</w:t>
      </w:r>
      <w:r>
        <w:rPr>
          <w:rStyle w:val="10"/>
          <w:rFonts w:hint="eastAsia" w:ascii="仿宋_GB2312" w:hAnsi="仿宋_GB2312" w:eastAsia="仿宋_GB2312" w:cs="仿宋_GB2312"/>
          <w:b w:val="0"/>
          <w:bCs w:val="0"/>
          <w:spacing w:val="-4"/>
          <w:sz w:val="32"/>
          <w:szCs w:val="32"/>
        </w:rPr>
        <w:t>.</w:t>
      </w:r>
      <w:r>
        <w:rPr>
          <w:rStyle w:val="10"/>
          <w:rFonts w:ascii="仿宋_GB2312" w:hAnsi="仿宋_GB2312" w:eastAsia="仿宋_GB2312" w:cs="仿宋_GB2312"/>
          <w:b w:val="0"/>
          <w:bCs w:val="0"/>
          <w:spacing w:val="-4"/>
          <w:sz w:val="32"/>
          <w:szCs w:val="32"/>
        </w:rPr>
        <w:t>7</w:t>
      </w:r>
      <w:r>
        <w:rPr>
          <w:rStyle w:val="10"/>
          <w:rFonts w:hint="eastAsia" w:ascii="仿宋_GB2312" w:hAnsi="仿宋_GB2312" w:eastAsia="仿宋_GB2312" w:cs="仿宋_GB2312"/>
          <w:b w:val="0"/>
          <w:bCs w:val="0"/>
          <w:spacing w:val="-4"/>
          <w:sz w:val="32"/>
          <w:szCs w:val="32"/>
        </w:rPr>
        <w:t>万元，7辆车64.98万。目前正在使用的固定资产总额</w:t>
      </w:r>
      <w:r>
        <w:rPr>
          <w:rStyle w:val="10"/>
          <w:rFonts w:ascii="仿宋_GB2312" w:hAnsi="仿宋_GB2312" w:eastAsia="仿宋_GB2312" w:cs="仿宋_GB2312"/>
          <w:b w:val="0"/>
          <w:bCs w:val="0"/>
          <w:spacing w:val="-4"/>
          <w:sz w:val="32"/>
          <w:szCs w:val="32"/>
        </w:rPr>
        <w:t>8246</w:t>
      </w:r>
      <w:r>
        <w:rPr>
          <w:rStyle w:val="10"/>
          <w:rFonts w:hint="eastAsia" w:ascii="仿宋_GB2312" w:hAnsi="仿宋_GB2312" w:eastAsia="仿宋_GB2312" w:cs="仿宋_GB2312"/>
          <w:b w:val="0"/>
          <w:bCs w:val="0"/>
          <w:spacing w:val="-4"/>
          <w:sz w:val="32"/>
          <w:szCs w:val="32"/>
        </w:rPr>
        <w:t>.</w:t>
      </w:r>
      <w:r>
        <w:rPr>
          <w:rStyle w:val="10"/>
          <w:rFonts w:ascii="仿宋_GB2312" w:hAnsi="仿宋_GB2312" w:eastAsia="仿宋_GB2312" w:cs="仿宋_GB2312"/>
          <w:b w:val="0"/>
          <w:bCs w:val="0"/>
          <w:spacing w:val="-4"/>
          <w:sz w:val="32"/>
          <w:szCs w:val="32"/>
        </w:rPr>
        <w:t>0</w:t>
      </w:r>
      <w:r>
        <w:rPr>
          <w:rStyle w:val="10"/>
          <w:rFonts w:hint="eastAsia" w:ascii="仿宋_GB2312" w:hAnsi="仿宋_GB2312" w:eastAsia="仿宋_GB2312" w:cs="仿宋_GB2312"/>
          <w:b w:val="0"/>
          <w:bCs w:val="0"/>
          <w:spacing w:val="-4"/>
          <w:sz w:val="32"/>
          <w:szCs w:val="32"/>
        </w:rPr>
        <w:t>1万元，固定资产利用率为100%。</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3.流动资产管理情况。</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3"/>
        <w:tabs>
          <w:tab w:val="left" w:pos="0"/>
        </w:tabs>
        <w:snapToGrid w:val="0"/>
        <w:spacing w:line="540" w:lineRule="exact"/>
        <w:ind w:firstLine="624"/>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（二）固定资产利用率</w:t>
      </w:r>
    </w:p>
    <w:p>
      <w:pPr>
        <w:pStyle w:val="13"/>
        <w:tabs>
          <w:tab w:val="left" w:pos="0"/>
        </w:tabs>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截止本年度固定资产账面净值</w:t>
      </w:r>
      <w:r>
        <w:rPr>
          <w:rStyle w:val="10"/>
          <w:rFonts w:ascii="仿宋_GB2312" w:hAnsi="仿宋_GB2312" w:eastAsia="仿宋_GB2312" w:cs="仿宋_GB2312"/>
          <w:b w:val="0"/>
          <w:bCs w:val="0"/>
          <w:spacing w:val="-4"/>
          <w:sz w:val="32"/>
          <w:szCs w:val="32"/>
        </w:rPr>
        <w:t>6326</w:t>
      </w:r>
      <w:r>
        <w:rPr>
          <w:rStyle w:val="10"/>
          <w:rFonts w:hint="eastAsia" w:ascii="仿宋_GB2312" w:hAnsi="仿宋_GB2312" w:eastAsia="仿宋_GB2312" w:cs="仿宋_GB2312"/>
          <w:b w:val="0"/>
          <w:bCs w:val="0"/>
          <w:spacing w:val="-4"/>
          <w:sz w:val="32"/>
          <w:szCs w:val="32"/>
        </w:rPr>
        <w:t>.</w:t>
      </w:r>
      <w:r>
        <w:rPr>
          <w:rStyle w:val="10"/>
          <w:rFonts w:ascii="仿宋_GB2312" w:hAnsi="仿宋_GB2312" w:eastAsia="仿宋_GB2312" w:cs="仿宋_GB2312"/>
          <w:b w:val="0"/>
          <w:bCs w:val="0"/>
          <w:spacing w:val="-4"/>
          <w:sz w:val="32"/>
          <w:szCs w:val="32"/>
        </w:rPr>
        <w:t>0</w:t>
      </w:r>
      <w:r>
        <w:rPr>
          <w:rStyle w:val="10"/>
          <w:rFonts w:hint="eastAsia" w:ascii="仿宋_GB2312" w:hAnsi="仿宋_GB2312" w:eastAsia="仿宋_GB2312" w:cs="仿宋_GB2312"/>
          <w:b w:val="0"/>
          <w:bCs w:val="0"/>
          <w:spacing w:val="-4"/>
          <w:sz w:val="32"/>
          <w:szCs w:val="32"/>
        </w:rPr>
        <w:t>1万元，年末实际在用固定资产</w:t>
      </w:r>
      <w:r>
        <w:rPr>
          <w:rStyle w:val="10"/>
          <w:rFonts w:ascii="仿宋_GB2312" w:hAnsi="仿宋_GB2312" w:eastAsia="仿宋_GB2312" w:cs="仿宋_GB2312"/>
          <w:b w:val="0"/>
          <w:bCs w:val="0"/>
          <w:spacing w:val="-4"/>
          <w:sz w:val="32"/>
          <w:szCs w:val="32"/>
        </w:rPr>
        <w:t>6326</w:t>
      </w:r>
      <w:r>
        <w:rPr>
          <w:rStyle w:val="10"/>
          <w:rFonts w:hint="eastAsia" w:ascii="仿宋_GB2312" w:hAnsi="仿宋_GB2312" w:eastAsia="仿宋_GB2312" w:cs="仿宋_GB2312"/>
          <w:b w:val="0"/>
          <w:bCs w:val="0"/>
          <w:spacing w:val="-4"/>
          <w:sz w:val="32"/>
          <w:szCs w:val="32"/>
        </w:rPr>
        <w:t>.</w:t>
      </w:r>
      <w:r>
        <w:rPr>
          <w:rStyle w:val="10"/>
          <w:rFonts w:ascii="仿宋_GB2312" w:hAnsi="仿宋_GB2312" w:eastAsia="仿宋_GB2312" w:cs="仿宋_GB2312"/>
          <w:b w:val="0"/>
          <w:bCs w:val="0"/>
          <w:spacing w:val="-4"/>
          <w:sz w:val="32"/>
          <w:szCs w:val="32"/>
        </w:rPr>
        <w:t>0</w:t>
      </w:r>
      <w:r>
        <w:rPr>
          <w:rStyle w:val="10"/>
          <w:rFonts w:hint="eastAsia" w:ascii="仿宋_GB2312" w:hAnsi="仿宋_GB2312" w:eastAsia="仿宋_GB2312" w:cs="仿宋_GB2312"/>
          <w:b w:val="0"/>
          <w:bCs w:val="0"/>
          <w:spacing w:val="-4"/>
          <w:sz w:val="32"/>
          <w:szCs w:val="32"/>
        </w:rPr>
        <w:t>1万元，固定资产利用率为100%。</w:t>
      </w:r>
    </w:p>
    <w:p>
      <w:pPr>
        <w:pStyle w:val="13"/>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bookmarkStart w:id="5" w:name="_Toc13582_WPSOffice_Level1"/>
      <w:r>
        <w:rPr>
          <w:rStyle w:val="10"/>
          <w:rFonts w:hint="eastAsia" w:ascii="仿宋_GB2312" w:hAnsi="仿宋_GB2312" w:eastAsia="仿宋_GB2312" w:cs="仿宋_GB2312"/>
          <w:spacing w:val="-4"/>
          <w:sz w:val="32"/>
          <w:szCs w:val="32"/>
        </w:rPr>
        <w:t>部门单位整体支出绩效情况</w:t>
      </w:r>
      <w:bookmarkEnd w:id="5"/>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部门单位整体支出自评表，共设置一级指标3个，二级指标7个，三级指标17个。</w:t>
      </w:r>
    </w:p>
    <w:p>
      <w:pPr>
        <w:pStyle w:val="13"/>
        <w:snapToGrid w:val="0"/>
        <w:spacing w:line="540" w:lineRule="exact"/>
        <w:ind w:firstLine="624"/>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（一）产出指标完成情况分析</w:t>
      </w:r>
    </w:p>
    <w:p>
      <w:pPr>
        <w:pStyle w:val="13"/>
        <w:snapToGrid w:val="0"/>
        <w:spacing w:line="540" w:lineRule="exact"/>
        <w:ind w:firstLine="624"/>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1.产出数量</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保障人员人数指标，预期指标是大于等于</w:t>
      </w:r>
      <w:r>
        <w:rPr>
          <w:rStyle w:val="10"/>
          <w:rFonts w:hint="eastAsia" w:ascii="仿宋_GB2312" w:hAnsi="仿宋_GB2312" w:eastAsia="仿宋_GB2312" w:cs="仿宋_GB2312"/>
          <w:spacing w:val="-4"/>
        </w:rPr>
        <w:t>225</w:t>
      </w:r>
      <w:r>
        <w:rPr>
          <w:rStyle w:val="10"/>
          <w:rFonts w:hint="eastAsia" w:ascii="仿宋_GB2312" w:hAnsi="仿宋_GB2312" w:eastAsia="仿宋_GB2312" w:cs="仿宋_GB2312"/>
          <w:b w:val="0"/>
          <w:bCs w:val="0"/>
          <w:spacing w:val="-4"/>
          <w:sz w:val="32"/>
          <w:szCs w:val="32"/>
        </w:rPr>
        <w:t>人，实际完成值是</w:t>
      </w:r>
      <w:r>
        <w:rPr>
          <w:rStyle w:val="10"/>
          <w:rFonts w:hint="eastAsia" w:ascii="仿宋_GB2312" w:hAnsi="仿宋_GB2312" w:eastAsia="仿宋_GB2312" w:cs="仿宋_GB2312"/>
          <w:spacing w:val="-4"/>
        </w:rPr>
        <w:t>225</w:t>
      </w:r>
      <w:r>
        <w:rPr>
          <w:rStyle w:val="10"/>
          <w:rFonts w:hint="eastAsia" w:ascii="仿宋_GB2312" w:hAnsi="仿宋_GB2312" w:eastAsia="仿宋_GB2312" w:cs="仿宋_GB2312"/>
          <w:b w:val="0"/>
          <w:bCs w:val="0"/>
          <w:spacing w:val="-4"/>
          <w:sz w:val="32"/>
          <w:szCs w:val="32"/>
        </w:rPr>
        <w:t>人，指标完成率是1</w:t>
      </w:r>
      <w:r>
        <w:rPr>
          <w:rStyle w:val="10"/>
          <w:rFonts w:ascii="仿宋_GB2312" w:hAnsi="仿宋_GB2312" w:eastAsia="仿宋_GB2312" w:cs="仿宋_GB2312"/>
          <w:b w:val="0"/>
          <w:bCs w:val="0"/>
          <w:spacing w:val="-4"/>
          <w:sz w:val="32"/>
          <w:szCs w:val="32"/>
        </w:rPr>
        <w:t>00%</w:t>
      </w:r>
      <w:r>
        <w:rPr>
          <w:rStyle w:val="10"/>
          <w:rFonts w:hint="eastAsia" w:ascii="仿宋_GB2312" w:hAnsi="仿宋_GB2312" w:eastAsia="仿宋_GB2312" w:cs="仿宋_GB2312"/>
          <w:b w:val="0"/>
          <w:bCs w:val="0"/>
          <w:spacing w:val="-4"/>
          <w:sz w:val="32"/>
          <w:szCs w:val="32"/>
        </w:rPr>
        <w:t>，达到预期目标。</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“保障人员人数（人）”指标：预期指标值为225，实际完成指标值为225，指标完成率为100%。</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“保障车辆数（辆）”指标：预期指标值为7，实际完成指标值为7，指标完成率为100%。</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“办理案件数（件）”指标：预期指标值为4，实际完成指标值为4，指标完成率为100%。</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“政府采购次数（次/年）”指标：预期指标值为8，实际完成指标值为8，指标完成率为100%。</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“保障用餐职工（人）”指标：预期指标值为225，实际完成指标值为225，指标完成率为100%。</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“保障用餐厨师工资（人）”指标：预期指标值为4，实际完成指标值为4，指标完成率为100%。</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数量指标共计6个，完成6个，达到预期目标，数量指标完成。</w:t>
      </w:r>
    </w:p>
    <w:p>
      <w:pPr>
        <w:pStyle w:val="13"/>
        <w:snapToGrid w:val="0"/>
        <w:spacing w:line="540" w:lineRule="exact"/>
        <w:ind w:firstLine="624"/>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2.产出质量</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经费保障率指标，预期指标是等于</w:t>
      </w:r>
      <w:r>
        <w:rPr>
          <w:rFonts w:hint="eastAsia" w:ascii="仿宋" w:hAnsi="仿宋" w:eastAsia="仿宋" w:cs="宋体"/>
          <w:bCs/>
          <w:sz w:val="32"/>
          <w:szCs w:val="32"/>
        </w:rPr>
        <w:t>100</w:t>
      </w:r>
      <w:r>
        <w:rPr>
          <w:rStyle w:val="10"/>
          <w:rFonts w:hint="eastAsia" w:ascii="仿宋_GB2312" w:hAnsi="仿宋_GB2312" w:eastAsia="仿宋_GB2312" w:cs="仿宋_GB2312"/>
          <w:b w:val="0"/>
          <w:bCs w:val="0"/>
          <w:spacing w:val="-4"/>
          <w:sz w:val="32"/>
          <w:szCs w:val="32"/>
        </w:rPr>
        <w:t>%，实际完成值是</w:t>
      </w:r>
      <w:r>
        <w:rPr>
          <w:rFonts w:hint="eastAsia" w:ascii="仿宋" w:hAnsi="仿宋" w:eastAsia="仿宋" w:cs="宋体"/>
          <w:bCs/>
          <w:sz w:val="32"/>
          <w:szCs w:val="32"/>
        </w:rPr>
        <w:t>100</w:t>
      </w:r>
      <w:r>
        <w:rPr>
          <w:rStyle w:val="10"/>
          <w:rFonts w:hint="eastAsia" w:ascii="仿宋_GB2312" w:hAnsi="仿宋_GB2312" w:eastAsia="仿宋_GB2312" w:cs="仿宋_GB2312"/>
          <w:b w:val="0"/>
          <w:bCs w:val="0"/>
          <w:spacing w:val="-4"/>
          <w:sz w:val="32"/>
          <w:szCs w:val="32"/>
        </w:rPr>
        <w:t>%，指标完成率是100%，达到质量提升及标准。</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“资金拨付及时率（%）”指标：预期指标值为100%，实际完成指标值为100%，指标完成率为100%。</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“保障供暖温度（℃）”指标：预期指标值为≥21℃，实际完成指标值为21℃，指标完成率为100%。</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“验收合格率（%）”指标：预期指标值为100%，实际完成指标值为100%，指标完成率为100%。</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质量指标共计</w:t>
      </w:r>
      <w:r>
        <w:rPr>
          <w:rFonts w:hint="eastAsia" w:ascii="仿宋" w:hAnsi="仿宋" w:eastAsia="仿宋" w:cs="宋体"/>
          <w:bCs/>
          <w:sz w:val="32"/>
          <w:szCs w:val="32"/>
        </w:rPr>
        <w:t>3</w:t>
      </w:r>
      <w:r>
        <w:rPr>
          <w:rStyle w:val="10"/>
          <w:rFonts w:hint="eastAsia" w:ascii="仿宋_GB2312" w:hAnsi="仿宋_GB2312" w:eastAsia="仿宋_GB2312" w:cs="仿宋_GB2312"/>
          <w:b w:val="0"/>
          <w:bCs w:val="0"/>
          <w:spacing w:val="-4"/>
          <w:sz w:val="32"/>
          <w:szCs w:val="32"/>
        </w:rPr>
        <w:t>个，完成</w:t>
      </w:r>
      <w:r>
        <w:rPr>
          <w:rFonts w:hint="eastAsia" w:ascii="仿宋" w:hAnsi="仿宋" w:eastAsia="仿宋" w:cs="宋体"/>
          <w:bCs/>
          <w:sz w:val="32"/>
          <w:szCs w:val="32"/>
        </w:rPr>
        <w:t>3</w:t>
      </w:r>
      <w:r>
        <w:rPr>
          <w:rStyle w:val="10"/>
          <w:rFonts w:hint="eastAsia" w:ascii="仿宋_GB2312" w:hAnsi="仿宋_GB2312" w:eastAsia="仿宋_GB2312" w:cs="仿宋_GB2312"/>
          <w:b w:val="0"/>
          <w:bCs w:val="0"/>
          <w:spacing w:val="-4"/>
          <w:sz w:val="32"/>
          <w:szCs w:val="32"/>
        </w:rPr>
        <w:t>个，达到质量提升及标准。质量指标完成。</w:t>
      </w:r>
    </w:p>
    <w:p>
      <w:pPr>
        <w:pStyle w:val="13"/>
        <w:snapToGrid w:val="0"/>
        <w:spacing w:line="540" w:lineRule="exact"/>
        <w:ind w:firstLine="624"/>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3.产出进度</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经费支出及时性指标，预期指标是等于100%，实际完成值是100%，指标完成率是100%，达到预期目标。</w:t>
      </w:r>
    </w:p>
    <w:p>
      <w:pPr>
        <w:pStyle w:val="13"/>
        <w:snapToGrid w:val="0"/>
        <w:spacing w:line="540" w:lineRule="exact"/>
        <w:ind w:firstLine="624"/>
        <w:rPr>
          <w:rStyle w:val="10"/>
          <w:rFonts w:eastAsia="仿宋_GB2312"/>
          <w:b w:val="0"/>
          <w:bCs w:val="0"/>
          <w:spacing w:val="-4"/>
          <w:sz w:val="32"/>
          <w:szCs w:val="32"/>
        </w:rPr>
      </w:pPr>
      <w:r>
        <w:rPr>
          <w:rStyle w:val="10"/>
          <w:rFonts w:hint="eastAsia" w:eastAsia="仿宋_GB2312"/>
          <w:b w:val="0"/>
          <w:bCs w:val="0"/>
          <w:spacing w:val="-4"/>
          <w:sz w:val="32"/>
          <w:szCs w:val="32"/>
        </w:rPr>
        <w:t>“资金使用时间（月）”指标：预期指标值为12，实际完成指标值为12，指标完成率为100%。</w:t>
      </w:r>
    </w:p>
    <w:p>
      <w:pPr>
        <w:pStyle w:val="13"/>
        <w:snapToGrid w:val="0"/>
        <w:spacing w:line="540" w:lineRule="exact"/>
        <w:ind w:firstLine="624"/>
        <w:rPr>
          <w:rStyle w:val="10"/>
          <w:rFonts w:eastAsia="仿宋_GB2312"/>
          <w:b w:val="0"/>
          <w:bCs w:val="0"/>
          <w:spacing w:val="-4"/>
          <w:sz w:val="32"/>
          <w:szCs w:val="32"/>
        </w:rPr>
      </w:pPr>
      <w:r>
        <w:rPr>
          <w:rStyle w:val="10"/>
          <w:rFonts w:hint="eastAsia" w:eastAsia="仿宋_GB2312"/>
          <w:b w:val="0"/>
          <w:bCs w:val="0"/>
          <w:spacing w:val="-4"/>
          <w:sz w:val="32"/>
          <w:szCs w:val="32"/>
        </w:rPr>
        <w:t>“供暖期限（月）”指标：预期指标值为5，实际完成指标值为5，指标完成率为100%。</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时效指标共计</w:t>
      </w:r>
      <w:r>
        <w:rPr>
          <w:rFonts w:hint="eastAsia" w:ascii="仿宋" w:hAnsi="仿宋" w:eastAsia="仿宋" w:cs="宋体"/>
          <w:bCs/>
          <w:sz w:val="32"/>
          <w:szCs w:val="32"/>
        </w:rPr>
        <w:t>2</w:t>
      </w:r>
      <w:r>
        <w:rPr>
          <w:rStyle w:val="10"/>
          <w:rFonts w:hint="eastAsia" w:ascii="仿宋_GB2312" w:hAnsi="仿宋_GB2312" w:eastAsia="仿宋_GB2312" w:cs="仿宋_GB2312"/>
          <w:b w:val="0"/>
          <w:bCs w:val="0"/>
          <w:spacing w:val="-4"/>
          <w:sz w:val="32"/>
          <w:szCs w:val="32"/>
        </w:rPr>
        <w:t>个，完成</w:t>
      </w:r>
      <w:r>
        <w:rPr>
          <w:rFonts w:hint="eastAsia" w:ascii="仿宋" w:hAnsi="仿宋" w:eastAsia="仿宋" w:cs="宋体"/>
          <w:bCs/>
          <w:sz w:val="32"/>
          <w:szCs w:val="32"/>
        </w:rPr>
        <w:t>2</w:t>
      </w:r>
      <w:r>
        <w:rPr>
          <w:rStyle w:val="10"/>
          <w:rFonts w:hint="eastAsia" w:ascii="仿宋_GB2312" w:hAnsi="仿宋_GB2312" w:eastAsia="仿宋_GB2312" w:cs="仿宋_GB2312"/>
          <w:b w:val="0"/>
          <w:bCs w:val="0"/>
          <w:spacing w:val="-4"/>
          <w:sz w:val="32"/>
          <w:szCs w:val="32"/>
        </w:rPr>
        <w:t>个，达达到预期目标，数量指标完成。</w:t>
      </w:r>
    </w:p>
    <w:p>
      <w:pPr>
        <w:pStyle w:val="13"/>
        <w:snapToGrid w:val="0"/>
        <w:spacing w:line="540" w:lineRule="exact"/>
        <w:ind w:firstLine="624"/>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4.产出成本</w:t>
      </w:r>
    </w:p>
    <w:p>
      <w:pPr>
        <w:pStyle w:val="13"/>
        <w:snapToGrid w:val="0"/>
        <w:spacing w:line="540" w:lineRule="exact"/>
        <w:ind w:firstLine="624"/>
        <w:rPr>
          <w:rStyle w:val="10"/>
          <w:rFonts w:eastAsia="仿宋_GB2312"/>
          <w:b w:val="0"/>
          <w:bCs w:val="0"/>
          <w:spacing w:val="-4"/>
          <w:sz w:val="32"/>
          <w:szCs w:val="32"/>
        </w:rPr>
      </w:pPr>
      <w:r>
        <w:rPr>
          <w:rStyle w:val="10"/>
          <w:rFonts w:hint="eastAsia" w:eastAsia="仿宋_GB2312"/>
          <w:b w:val="0"/>
          <w:bCs w:val="0"/>
          <w:spacing w:val="-4"/>
          <w:sz w:val="32"/>
          <w:szCs w:val="32"/>
        </w:rPr>
        <w:t>“人员经费（万元）”指标：预期指标值为</w:t>
      </w:r>
      <w:r>
        <w:rPr>
          <w:rStyle w:val="10"/>
          <w:rFonts w:eastAsia="仿宋_GB2312"/>
          <w:b w:val="0"/>
          <w:bCs w:val="0"/>
          <w:spacing w:val="-4"/>
          <w:sz w:val="32"/>
          <w:szCs w:val="32"/>
        </w:rPr>
        <w:t>4495.02</w:t>
      </w:r>
      <w:r>
        <w:rPr>
          <w:rStyle w:val="10"/>
          <w:rFonts w:hint="eastAsia" w:eastAsia="仿宋_GB2312"/>
          <w:b w:val="0"/>
          <w:bCs w:val="0"/>
          <w:spacing w:val="-4"/>
          <w:sz w:val="32"/>
          <w:szCs w:val="32"/>
        </w:rPr>
        <w:t>，实际完成指标值为</w:t>
      </w:r>
      <w:r>
        <w:rPr>
          <w:rStyle w:val="10"/>
          <w:rFonts w:eastAsia="仿宋_GB2312"/>
          <w:b w:val="0"/>
          <w:bCs w:val="0"/>
          <w:spacing w:val="-4"/>
          <w:sz w:val="32"/>
          <w:szCs w:val="32"/>
        </w:rPr>
        <w:t>4495.02</w:t>
      </w:r>
      <w:r>
        <w:rPr>
          <w:rStyle w:val="10"/>
          <w:rFonts w:hint="eastAsia" w:eastAsia="仿宋_GB2312"/>
          <w:b w:val="0"/>
          <w:bCs w:val="0"/>
          <w:spacing w:val="-4"/>
          <w:sz w:val="32"/>
          <w:szCs w:val="32"/>
        </w:rPr>
        <w:t>，指标完成率为100%。</w:t>
      </w:r>
    </w:p>
    <w:p>
      <w:pPr>
        <w:pStyle w:val="13"/>
        <w:snapToGrid w:val="0"/>
        <w:spacing w:line="540" w:lineRule="exact"/>
        <w:ind w:firstLine="624"/>
        <w:rPr>
          <w:rStyle w:val="10"/>
          <w:rFonts w:eastAsia="仿宋_GB2312"/>
          <w:b w:val="0"/>
          <w:bCs w:val="0"/>
          <w:spacing w:val="-4"/>
          <w:sz w:val="32"/>
          <w:szCs w:val="32"/>
        </w:rPr>
      </w:pPr>
      <w:r>
        <w:rPr>
          <w:rStyle w:val="10"/>
          <w:rFonts w:hint="eastAsia" w:eastAsia="仿宋_GB2312"/>
          <w:b w:val="0"/>
          <w:bCs w:val="0"/>
          <w:spacing w:val="-4"/>
          <w:sz w:val="32"/>
          <w:szCs w:val="32"/>
        </w:rPr>
        <w:t>“公用经费（万元）”指标：预期指标值为</w:t>
      </w:r>
      <w:r>
        <w:rPr>
          <w:rStyle w:val="10"/>
          <w:rFonts w:eastAsia="仿宋_GB2312"/>
          <w:b w:val="0"/>
          <w:bCs w:val="0"/>
          <w:spacing w:val="-4"/>
          <w:sz w:val="32"/>
          <w:szCs w:val="32"/>
        </w:rPr>
        <w:t>43.32</w:t>
      </w:r>
      <w:r>
        <w:rPr>
          <w:rStyle w:val="10"/>
          <w:rFonts w:hint="eastAsia" w:eastAsia="仿宋_GB2312"/>
          <w:b w:val="0"/>
          <w:bCs w:val="0"/>
          <w:spacing w:val="-4"/>
          <w:sz w:val="32"/>
          <w:szCs w:val="32"/>
        </w:rPr>
        <w:t>，实际完成指标值为</w:t>
      </w:r>
      <w:r>
        <w:rPr>
          <w:rStyle w:val="10"/>
          <w:rFonts w:eastAsia="仿宋_GB2312"/>
          <w:b w:val="0"/>
          <w:bCs w:val="0"/>
          <w:spacing w:val="-4"/>
          <w:sz w:val="32"/>
          <w:szCs w:val="32"/>
        </w:rPr>
        <w:t>43.32</w:t>
      </w:r>
      <w:r>
        <w:rPr>
          <w:rStyle w:val="10"/>
          <w:rFonts w:hint="eastAsia" w:eastAsia="仿宋_GB2312"/>
          <w:b w:val="0"/>
          <w:bCs w:val="0"/>
          <w:spacing w:val="-4"/>
          <w:sz w:val="32"/>
          <w:szCs w:val="32"/>
        </w:rPr>
        <w:t>，指标完成率为100%。</w:t>
      </w:r>
    </w:p>
    <w:p>
      <w:pPr>
        <w:pStyle w:val="13"/>
        <w:snapToGrid w:val="0"/>
        <w:spacing w:line="540" w:lineRule="exact"/>
        <w:ind w:firstLine="624"/>
        <w:rPr>
          <w:rStyle w:val="10"/>
          <w:rFonts w:eastAsia="仿宋_GB2312"/>
          <w:b w:val="0"/>
          <w:bCs w:val="0"/>
          <w:spacing w:val="-4"/>
          <w:sz w:val="32"/>
          <w:szCs w:val="32"/>
        </w:rPr>
      </w:pPr>
      <w:r>
        <w:rPr>
          <w:rStyle w:val="10"/>
          <w:rFonts w:hint="eastAsia" w:eastAsia="仿宋_GB2312"/>
          <w:b w:val="0"/>
          <w:bCs w:val="0"/>
          <w:spacing w:val="-4"/>
          <w:sz w:val="32"/>
          <w:szCs w:val="32"/>
        </w:rPr>
        <w:t>“项目支出（万元）”指标：预期指标值为111.2，实际完成指标值为79.05，指标完成率为71.09%。（偏差原因：项目已实施完成，以及2021取暖费中有2022年啊1-3月取暖用电资金。改进措施：已完成取暖等保障工作）</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成本指标共计3个，完成3个，达到成本控制及改善目标，成本指标完成。</w:t>
      </w:r>
    </w:p>
    <w:p>
      <w:pPr>
        <w:pStyle w:val="13"/>
        <w:snapToGrid w:val="0"/>
        <w:spacing w:line="540" w:lineRule="exact"/>
        <w:ind w:firstLine="560"/>
        <w:rPr>
          <w:rStyle w:val="10"/>
          <w:rFonts w:ascii="仿宋_GB2312" w:hAnsi="仿宋_GB2312" w:cs="仿宋_GB2312"/>
          <w:b w:val="0"/>
          <w:bCs w:val="0"/>
          <w:sz w:val="28"/>
          <w:szCs w:val="28"/>
        </w:rPr>
      </w:pPr>
    </w:p>
    <w:p>
      <w:pPr>
        <w:pStyle w:val="13"/>
        <w:snapToGrid w:val="0"/>
        <w:spacing w:line="540" w:lineRule="exact"/>
        <w:ind w:firstLine="624"/>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（二）效益指标完成情况分析</w:t>
      </w:r>
    </w:p>
    <w:p>
      <w:pPr>
        <w:pStyle w:val="13"/>
        <w:snapToGrid w:val="0"/>
        <w:spacing w:line="540" w:lineRule="exact"/>
        <w:ind w:firstLine="624"/>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1.项目实施的经济效益分析</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无。</w:t>
      </w:r>
    </w:p>
    <w:p>
      <w:pPr>
        <w:pStyle w:val="13"/>
        <w:snapToGrid w:val="0"/>
        <w:spacing w:line="540" w:lineRule="exact"/>
        <w:ind w:firstLine="624"/>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2.项目实施的社会效益分析</w:t>
      </w:r>
    </w:p>
    <w:p>
      <w:pPr>
        <w:pStyle w:val="13"/>
        <w:snapToGrid w:val="0"/>
        <w:spacing w:line="540" w:lineRule="exact"/>
        <w:ind w:firstLine="624"/>
        <w:rPr>
          <w:rFonts w:ascii="仿宋_GB2312" w:hAnsi="仿宋_GB2312" w:cs="仿宋_GB2312"/>
          <w:sz w:val="28"/>
          <w:szCs w:val="28"/>
        </w:rPr>
      </w:pPr>
      <w:r>
        <w:rPr>
          <w:rStyle w:val="10"/>
          <w:rFonts w:hint="eastAsia" w:eastAsia="仿宋_GB2312"/>
          <w:b w:val="0"/>
          <w:bCs w:val="0"/>
          <w:spacing w:val="-4"/>
          <w:sz w:val="32"/>
          <w:szCs w:val="32"/>
        </w:rPr>
        <w:t>“提高干部工作效率，改善工作环境”指标：预期指标值为有效提高，实际完成指标值为有效提高</w:t>
      </w:r>
      <w:r>
        <w:rPr>
          <w:rFonts w:hint="eastAsia" w:ascii="仿宋_GB2312" w:hAnsi="仿宋_GB2312" w:cs="仿宋_GB2312"/>
          <w:sz w:val="28"/>
          <w:szCs w:val="28"/>
        </w:rPr>
        <w:t>。</w:t>
      </w:r>
      <w:r>
        <w:rPr>
          <w:rStyle w:val="10"/>
          <w:rFonts w:hint="eastAsia" w:eastAsia="仿宋_GB2312"/>
          <w:b w:val="0"/>
          <w:bCs w:val="0"/>
          <w:spacing w:val="-4"/>
          <w:sz w:val="32"/>
          <w:szCs w:val="32"/>
        </w:rPr>
        <w:t>指标完成率为1</w:t>
      </w:r>
      <w:r>
        <w:rPr>
          <w:rStyle w:val="10"/>
          <w:rFonts w:eastAsia="仿宋_GB2312"/>
          <w:b w:val="0"/>
          <w:bCs w:val="0"/>
          <w:spacing w:val="-4"/>
          <w:sz w:val="32"/>
          <w:szCs w:val="32"/>
        </w:rPr>
        <w:t>00%</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社会效益指标共计1个，完成1个，达到单位履职能力对社会带来的影响预期目标，社会效益指标完成。</w:t>
      </w:r>
    </w:p>
    <w:p>
      <w:pPr>
        <w:pStyle w:val="13"/>
        <w:snapToGrid w:val="0"/>
        <w:spacing w:line="540" w:lineRule="exact"/>
        <w:ind w:firstLine="624"/>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3.项目实施的生态效益分析</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无。</w:t>
      </w:r>
    </w:p>
    <w:p>
      <w:pPr>
        <w:pStyle w:val="13"/>
        <w:snapToGrid w:val="0"/>
        <w:spacing w:line="540" w:lineRule="exact"/>
        <w:ind w:firstLine="624"/>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4.项目实施的可持续影响分析</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提高干部工作积极性指标，预期指标是有效提高，实际完成值是有效提高，指标完成率是100%，实现部门绩效长效机制建设，提高工作效率目标。</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可持续影响指标共计1个，完成1个，达到预期目标，可持续影响指标完成。</w:t>
      </w:r>
    </w:p>
    <w:p>
      <w:pPr>
        <w:pStyle w:val="13"/>
        <w:snapToGrid w:val="0"/>
        <w:spacing w:line="540" w:lineRule="exact"/>
        <w:ind w:firstLine="624"/>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（三）满意度指标完成情况分析</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按计划完成项目实施，已做满意度调查抽样问卷，具体如下：</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受益干部满意度（%）指标，预期指标是大于等于95%，实际完成值是95%，指标完成率是100%，达到部门（单位）服务对象对部门履职效果的满意度。</w:t>
      </w:r>
    </w:p>
    <w:p>
      <w:pPr>
        <w:pStyle w:val="13"/>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满意度指标共计1个，完成1个，达到部门（单位）服务对象对部门履职效果的满意度，服务对象满意度指标完成。</w:t>
      </w:r>
    </w:p>
    <w:p>
      <w:pPr>
        <w:pStyle w:val="13"/>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bookmarkStart w:id="6" w:name="_Toc22800_WPSOffice_Level1"/>
      <w:r>
        <w:rPr>
          <w:rStyle w:val="10"/>
          <w:rFonts w:hint="eastAsia" w:ascii="仿宋_GB2312" w:hAnsi="仿宋_GB2312" w:eastAsia="仿宋_GB2312" w:cs="仿宋_GB2312"/>
          <w:spacing w:val="-4"/>
          <w:sz w:val="32"/>
          <w:szCs w:val="32"/>
        </w:rPr>
        <w:t>存在的主要问题</w:t>
      </w:r>
      <w:bookmarkEnd w:id="6"/>
    </w:p>
    <w:p>
      <w:pPr>
        <w:pStyle w:val="18"/>
        <w:snapToGrid w:val="0"/>
        <w:spacing w:line="540" w:lineRule="exact"/>
        <w:ind w:firstLine="560"/>
        <w:rPr>
          <w:rStyle w:val="10"/>
          <w:rFonts w:ascii="仿宋_GB2312" w:hAnsi="仿宋_GB2312" w:eastAsia="仿宋_GB2312" w:cs="仿宋_GB2312"/>
          <w:b w:val="0"/>
          <w:bCs w:val="0"/>
          <w:sz w:val="28"/>
        </w:rPr>
      </w:pPr>
      <w:bookmarkStart w:id="7" w:name="_Toc29546_WPSOffice_Level1"/>
      <w:r>
        <w:rPr>
          <w:rStyle w:val="10"/>
          <w:rFonts w:hint="eastAsia" w:ascii="仿宋_GB2312" w:hAnsi="仿宋_GB2312" w:eastAsia="仿宋_GB2312" w:cs="仿宋_GB2312"/>
          <w:b w:val="0"/>
          <w:bCs w:val="0"/>
          <w:sz w:val="28"/>
          <w:szCs w:val="22"/>
        </w:rPr>
        <w:t>部分业务人员绩效管理意识有待增强，未能全面深入认识理</w:t>
      </w:r>
      <w:r>
        <w:rPr>
          <w:rStyle w:val="10"/>
          <w:rFonts w:hint="eastAsia" w:ascii="仿宋_GB2312" w:hAnsi="仿宋_GB2312" w:eastAsia="仿宋_GB2312" w:cs="仿宋_GB2312"/>
          <w:b w:val="0"/>
          <w:bCs w:val="0"/>
          <w:sz w:val="28"/>
        </w:rPr>
        <w:t>解绩效管理工作的意义。绩效管理经验不足，预算绩效管理工作有待进一步落实。</w:t>
      </w:r>
    </w:p>
    <w:p>
      <w:pPr>
        <w:pStyle w:val="18"/>
        <w:snapToGrid w:val="0"/>
        <w:spacing w:line="540" w:lineRule="exact"/>
        <w:ind w:firstLine="560"/>
        <w:rPr>
          <w:rStyle w:val="10"/>
          <w:rFonts w:ascii="仿宋_GB2312" w:hAnsi="仿宋_GB2312" w:eastAsia="仿宋_GB2312" w:cs="仿宋_GB2312"/>
          <w:b w:val="0"/>
          <w:bCs w:val="0"/>
          <w:sz w:val="28"/>
        </w:rPr>
      </w:pPr>
      <w:r>
        <w:rPr>
          <w:rStyle w:val="10"/>
          <w:rFonts w:hint="eastAsia" w:ascii="仿宋_GB2312" w:hAnsi="仿宋_GB2312" w:eastAsia="仿宋_GB2312" w:cs="仿宋_GB2312"/>
          <w:b w:val="0"/>
          <w:bCs w:val="0"/>
          <w:sz w:val="28"/>
        </w:rPr>
        <w:t>绩效指标的明确性、可衡量性、相关性还需进一步提升。预算精细化管理还需完善，预算编制管理水平仍有进一步提升的空间。</w:t>
      </w:r>
    </w:p>
    <w:p>
      <w:pPr>
        <w:pStyle w:val="13"/>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改进措施和建议</w:t>
      </w:r>
      <w:bookmarkEnd w:id="7"/>
    </w:p>
    <w:p>
      <w:pPr>
        <w:pStyle w:val="18"/>
        <w:snapToGrid w:val="0"/>
        <w:spacing w:line="540" w:lineRule="exact"/>
        <w:ind w:firstLine="624"/>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（一）改进措施</w:t>
      </w:r>
    </w:p>
    <w:p>
      <w:pPr>
        <w:snapToGrid w:val="0"/>
        <w:spacing w:line="540" w:lineRule="exact"/>
        <w:ind w:firstLine="544" w:firstLineChars="200"/>
        <w:rPr>
          <w:rStyle w:val="10"/>
          <w:rFonts w:ascii="仿宋_GB2312" w:hAnsi="仿宋_GB2312" w:eastAsia="仿宋_GB2312" w:cs="仿宋_GB2312"/>
          <w:b w:val="0"/>
          <w:spacing w:val="-4"/>
          <w:sz w:val="28"/>
          <w:szCs w:val="28"/>
        </w:rPr>
      </w:pPr>
      <w:r>
        <w:rPr>
          <w:rStyle w:val="10"/>
          <w:rFonts w:hint="eastAsia" w:ascii="仿宋_GB2312" w:hAnsi="仿宋_GB2312" w:eastAsia="仿宋_GB2312" w:cs="仿宋_GB2312"/>
          <w:b w:val="0"/>
          <w:spacing w:val="-4"/>
          <w:sz w:val="28"/>
          <w:szCs w:val="28"/>
        </w:rPr>
        <w:t>一是规范目标管理。按部门预算和绩效目标管理的要求，编制项目支出和整体支出绩效目标。预算部门整体支出绩效目标，在申报部门预算时编制，并随部门预算草案提交县财政局。县财政预算经人代会批准后，县财政局将审定的绩效目标与部门预算一并批复。绩效目标确定后，一般不予调整，预算执行中因特殊原因确需调整的，应按绩效目标管理要求和预算调整流程报批。</w:t>
      </w:r>
    </w:p>
    <w:p>
      <w:pPr>
        <w:snapToGrid w:val="0"/>
        <w:spacing w:line="540" w:lineRule="exact"/>
        <w:ind w:firstLine="544" w:firstLineChars="200"/>
        <w:rPr>
          <w:rStyle w:val="10"/>
          <w:rFonts w:ascii="仿宋_GB2312" w:hAnsi="仿宋_GB2312" w:eastAsia="仿宋_GB2312" w:cs="仿宋_GB2312"/>
          <w:b w:val="0"/>
          <w:spacing w:val="-4"/>
          <w:sz w:val="28"/>
          <w:szCs w:val="28"/>
        </w:rPr>
      </w:pPr>
      <w:r>
        <w:rPr>
          <w:rStyle w:val="10"/>
          <w:rFonts w:hint="eastAsia" w:ascii="仿宋_GB2312" w:hAnsi="仿宋_GB2312" w:eastAsia="仿宋_GB2312" w:cs="仿宋_GB2312"/>
          <w:b w:val="0"/>
          <w:spacing w:val="-4"/>
          <w:sz w:val="28"/>
          <w:szCs w:val="28"/>
        </w:rPr>
        <w:t>二是强化过程监控。根据下达的绩效目标，在项目推进和预算执行过程中，采取项目跟踪、数据核查和汇总分析等方式，动态了解和掌握绩效目标实现程度、实施进程和支出执行进度等。财政部门在预算部门自行监控的基础上，根据批复的绩效目标，针对重点部门和重点项目，结合预算执行进度、动态监控等，对预算绩效运行情况进行重点抽查，以发现问题和风险，督促预算部门采取措施，防止预算绩效运行偏离，确保绩效目标实现。</w:t>
      </w:r>
    </w:p>
    <w:p>
      <w:pPr>
        <w:snapToGrid w:val="0"/>
        <w:spacing w:line="540" w:lineRule="exact"/>
        <w:ind w:firstLine="544" w:firstLineChars="200"/>
        <w:rPr>
          <w:rStyle w:val="10"/>
          <w:rFonts w:ascii="仿宋_GB2312" w:hAnsi="仿宋_GB2312" w:eastAsia="仿宋_GB2312" w:cs="仿宋_GB2312"/>
          <w:b w:val="0"/>
          <w:spacing w:val="-4"/>
          <w:sz w:val="28"/>
          <w:szCs w:val="28"/>
        </w:rPr>
      </w:pPr>
      <w:r>
        <w:rPr>
          <w:rStyle w:val="10"/>
          <w:rFonts w:hint="eastAsia" w:ascii="仿宋_GB2312" w:hAnsi="仿宋_GB2312" w:eastAsia="仿宋_GB2312" w:cs="仿宋_GB2312"/>
          <w:b w:val="0"/>
          <w:spacing w:val="-4"/>
          <w:sz w:val="28"/>
          <w:szCs w:val="28"/>
        </w:rPr>
        <w:t>三是完善绩效评价。加强本级及所属单位绩效自评结果的审核工作，对本级及所属单位自评工作开展情况作出总体评价，并将本级及所属单位绩效评价结果及主管部门总体评价汇总后，在规定时间内提交县财政局归口业务科室。财政重点评价和再评价工作由市财政局财政监督局牵头负责，归口业务科室和预算股配合，必要时可委托第三方机构开展评价。</w:t>
      </w:r>
    </w:p>
    <w:p>
      <w:pPr>
        <w:snapToGrid w:val="0"/>
        <w:spacing w:line="540" w:lineRule="exact"/>
        <w:ind w:firstLine="544" w:firstLineChars="200"/>
        <w:rPr>
          <w:rStyle w:val="10"/>
          <w:rFonts w:ascii="仿宋_GB2312" w:hAnsi="仿宋_GB2312" w:eastAsia="仿宋_GB2312" w:cs="仿宋_GB2312"/>
          <w:b w:val="0"/>
          <w:spacing w:val="-4"/>
          <w:sz w:val="28"/>
          <w:szCs w:val="28"/>
        </w:rPr>
      </w:pPr>
      <w:r>
        <w:rPr>
          <w:rStyle w:val="10"/>
          <w:rFonts w:hint="eastAsia" w:ascii="仿宋_GB2312" w:hAnsi="仿宋_GB2312" w:eastAsia="仿宋_GB2312" w:cs="仿宋_GB2312"/>
          <w:b w:val="0"/>
          <w:spacing w:val="-4"/>
          <w:sz w:val="28"/>
          <w:szCs w:val="28"/>
        </w:rPr>
        <w:t>四是突出结果应用。逐步完善评价结果与预算安排挂钩机制，通过建立并逐步完善预算执行考核、项目储备等单项制度机制，不断构建覆盖全面、切实可行的评价结果与预算安排挂钩机制，真正将绩效评价结果作为预算安排的重要依据，优化资源配置，提高财政资金使用效益。对预算绩效管理工作开展不力，以及财政资金配置和执行绩效未能达到预期目标或规定标准的预算部门及其责任人员，根据相关法律法规及制度办法进行绩效问责，加快形成“花钱必问效、无效必问责”的倒逼机制。</w:t>
      </w:r>
    </w:p>
    <w:p>
      <w:pPr>
        <w:pStyle w:val="18"/>
        <w:snapToGrid w:val="0"/>
        <w:spacing w:line="540" w:lineRule="exact"/>
        <w:ind w:firstLine="624"/>
        <w:outlineLvl w:val="1"/>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w:t>
      </w:r>
      <w:r>
        <w:rPr>
          <w:rStyle w:val="10"/>
          <w:rFonts w:hint="eastAsia" w:ascii="仿宋_GB2312" w:hAnsi="仿宋_GB2312" w:eastAsia="仿宋_GB2312" w:cs="仿宋_GB2312"/>
          <w:spacing w:val="-4"/>
          <w:sz w:val="32"/>
          <w:szCs w:val="32"/>
        </w:rPr>
        <w:t>二）建议</w:t>
      </w:r>
    </w:p>
    <w:p>
      <w:pPr>
        <w:pStyle w:val="18"/>
        <w:snapToGrid w:val="0"/>
        <w:spacing w:line="540" w:lineRule="exact"/>
        <w:ind w:firstLine="560"/>
        <w:rPr>
          <w:rStyle w:val="10"/>
          <w:rFonts w:ascii="仿宋_GB2312" w:hAnsi="仿宋_GB2312" w:eastAsia="仿宋_GB2312" w:cs="仿宋_GB2312"/>
          <w:b w:val="0"/>
          <w:bCs w:val="0"/>
          <w:sz w:val="28"/>
        </w:rPr>
      </w:pPr>
      <w:r>
        <w:rPr>
          <w:rStyle w:val="10"/>
          <w:rFonts w:hint="eastAsia" w:ascii="仿宋_GB2312" w:hAnsi="仿宋_GB2312" w:eastAsia="仿宋_GB2312" w:cs="仿宋_GB2312"/>
          <w:b w:val="0"/>
          <w:bCs w:val="0"/>
          <w:sz w:val="28"/>
        </w:rPr>
        <w:t>加强预算绩效目标管理工作。明确预算项目绩效目标编制要求，分类别建立科学合理、细化量化、可比可测预算绩效指标体系，突出结果导向，重点考核实绩。</w:t>
      </w:r>
    </w:p>
    <w:p>
      <w:pPr>
        <w:pStyle w:val="18"/>
        <w:snapToGrid w:val="0"/>
        <w:spacing w:line="540" w:lineRule="exact"/>
        <w:ind w:firstLine="560"/>
        <w:rPr>
          <w:rStyle w:val="10"/>
          <w:rFonts w:ascii="仿宋_GB2312" w:hAnsi="仿宋_GB2312" w:eastAsia="仿宋_GB2312" w:cs="仿宋_GB2312"/>
          <w:b w:val="0"/>
          <w:bCs w:val="0"/>
          <w:sz w:val="28"/>
        </w:rPr>
      </w:pPr>
      <w:r>
        <w:rPr>
          <w:rStyle w:val="10"/>
          <w:rFonts w:hint="eastAsia" w:ascii="仿宋_GB2312" w:hAnsi="仿宋_GB2312" w:eastAsia="仿宋_GB2312" w:cs="仿宋_GB2312"/>
          <w:b w:val="0"/>
          <w:bCs w:val="0"/>
          <w:sz w:val="28"/>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8"/>
        <w:snapToGrid w:val="0"/>
        <w:spacing w:line="540" w:lineRule="exact"/>
        <w:ind w:firstLine="560"/>
        <w:rPr>
          <w:rStyle w:val="10"/>
          <w:rFonts w:ascii="仿宋_GB2312" w:hAnsi="仿宋_GB2312" w:eastAsia="仿宋_GB2312" w:cs="仿宋_GB2312"/>
          <w:b w:val="0"/>
          <w:bCs w:val="0"/>
          <w:sz w:val="28"/>
        </w:rPr>
      </w:pPr>
      <w:r>
        <w:rPr>
          <w:rStyle w:val="10"/>
          <w:rFonts w:hint="eastAsia" w:ascii="仿宋_GB2312" w:hAnsi="仿宋_GB2312" w:eastAsia="仿宋_GB2312" w:cs="仿宋_GB2312"/>
          <w:b w:val="0"/>
          <w:bCs w:val="0"/>
          <w:sz w:val="28"/>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8"/>
        <w:snapToGrid w:val="0"/>
        <w:spacing w:line="540" w:lineRule="exact"/>
        <w:ind w:firstLine="560"/>
        <w:rPr>
          <w:rStyle w:val="10"/>
          <w:rFonts w:ascii="仿宋_GB2312" w:hAnsi="仿宋_GB2312" w:eastAsia="仿宋_GB2312" w:cs="仿宋_GB2312"/>
          <w:b w:val="0"/>
          <w:bCs w:val="0"/>
          <w:sz w:val="28"/>
        </w:rPr>
      </w:pPr>
      <w:r>
        <w:rPr>
          <w:rStyle w:val="10"/>
          <w:rFonts w:hint="eastAsia" w:ascii="仿宋_GB2312" w:hAnsi="仿宋_GB2312" w:eastAsia="仿宋_GB2312" w:cs="仿宋_GB2312"/>
          <w:b w:val="0"/>
          <w:bCs w:val="0"/>
          <w:sz w:val="28"/>
        </w:rPr>
        <w:t>借助第三方专业机构力量，贯彻落实全面预算绩效管理工作，建立全过程预算绩效管理链条，将绩效各个环节紧密贯通。</w:t>
      </w:r>
    </w:p>
    <w:p>
      <w:pPr>
        <w:pStyle w:val="3"/>
        <w:adjustRightInd w:val="0"/>
        <w:snapToGrid w:val="0"/>
        <w:ind w:firstLine="1092" w:firstLineChars="350"/>
        <w:rPr>
          <w:rStyle w:val="10"/>
          <w:rFonts w:ascii="仿宋_GB2312" w:hAnsi="仿宋_GB2312" w:eastAsia="仿宋_GB2312" w:cs="仿宋_GB2312"/>
          <w:b w:val="0"/>
          <w:bCs w:val="0"/>
          <w:spacing w:val="-4"/>
          <w:kern w:val="2"/>
          <w:sz w:val="32"/>
          <w:szCs w:val="32"/>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方正小标宋简体">
    <w:altName w:val="方正舒体"/>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1C6D319F"/>
    <w:rsid w:val="000206CD"/>
    <w:rsid w:val="000C4E29"/>
    <w:rsid w:val="000D3AFA"/>
    <w:rsid w:val="000E1B81"/>
    <w:rsid w:val="0012092B"/>
    <w:rsid w:val="00141421"/>
    <w:rsid w:val="00156B4E"/>
    <w:rsid w:val="001740F9"/>
    <w:rsid w:val="00175C7B"/>
    <w:rsid w:val="00191BA3"/>
    <w:rsid w:val="001A390A"/>
    <w:rsid w:val="001C1E1D"/>
    <w:rsid w:val="001E750D"/>
    <w:rsid w:val="001F0596"/>
    <w:rsid w:val="0022744B"/>
    <w:rsid w:val="00234372"/>
    <w:rsid w:val="00272C6E"/>
    <w:rsid w:val="00292A50"/>
    <w:rsid w:val="002939FF"/>
    <w:rsid w:val="002B2DF7"/>
    <w:rsid w:val="002F7CCD"/>
    <w:rsid w:val="00301C84"/>
    <w:rsid w:val="0031277E"/>
    <w:rsid w:val="00337BDA"/>
    <w:rsid w:val="00387DBE"/>
    <w:rsid w:val="003D3CCB"/>
    <w:rsid w:val="003F0DB2"/>
    <w:rsid w:val="004143CE"/>
    <w:rsid w:val="00424A01"/>
    <w:rsid w:val="004501D2"/>
    <w:rsid w:val="00491D09"/>
    <w:rsid w:val="004C0F21"/>
    <w:rsid w:val="004E1483"/>
    <w:rsid w:val="004E21AC"/>
    <w:rsid w:val="0054132C"/>
    <w:rsid w:val="00551EDE"/>
    <w:rsid w:val="005B1250"/>
    <w:rsid w:val="005C0B76"/>
    <w:rsid w:val="005F02B3"/>
    <w:rsid w:val="005F5F74"/>
    <w:rsid w:val="006258B7"/>
    <w:rsid w:val="00633862"/>
    <w:rsid w:val="00664B24"/>
    <w:rsid w:val="006B4CDA"/>
    <w:rsid w:val="006C5BED"/>
    <w:rsid w:val="006C5D3A"/>
    <w:rsid w:val="006D4FCD"/>
    <w:rsid w:val="006F7865"/>
    <w:rsid w:val="00702D4A"/>
    <w:rsid w:val="007115C8"/>
    <w:rsid w:val="00722C79"/>
    <w:rsid w:val="00724F4D"/>
    <w:rsid w:val="007E7E99"/>
    <w:rsid w:val="00825D99"/>
    <w:rsid w:val="008768ED"/>
    <w:rsid w:val="0089387B"/>
    <w:rsid w:val="008E7E52"/>
    <w:rsid w:val="0090339B"/>
    <w:rsid w:val="009109FD"/>
    <w:rsid w:val="0092421F"/>
    <w:rsid w:val="009304D8"/>
    <w:rsid w:val="0093778D"/>
    <w:rsid w:val="0095198D"/>
    <w:rsid w:val="00965ADA"/>
    <w:rsid w:val="00966AF2"/>
    <w:rsid w:val="0097614B"/>
    <w:rsid w:val="0099431C"/>
    <w:rsid w:val="009C0E79"/>
    <w:rsid w:val="009F5A38"/>
    <w:rsid w:val="009F77C4"/>
    <w:rsid w:val="00A44127"/>
    <w:rsid w:val="00A46D46"/>
    <w:rsid w:val="00A47AC6"/>
    <w:rsid w:val="00AA5126"/>
    <w:rsid w:val="00AD16CD"/>
    <w:rsid w:val="00B17D65"/>
    <w:rsid w:val="00B362C8"/>
    <w:rsid w:val="00B5590F"/>
    <w:rsid w:val="00B86B60"/>
    <w:rsid w:val="00BA13C5"/>
    <w:rsid w:val="00BD7AB3"/>
    <w:rsid w:val="00BF1004"/>
    <w:rsid w:val="00BF62C2"/>
    <w:rsid w:val="00C77007"/>
    <w:rsid w:val="00CD2F35"/>
    <w:rsid w:val="00CD5A03"/>
    <w:rsid w:val="00D03CCD"/>
    <w:rsid w:val="00D566F1"/>
    <w:rsid w:val="00D82401"/>
    <w:rsid w:val="00D9126A"/>
    <w:rsid w:val="00D92CD5"/>
    <w:rsid w:val="00D93262"/>
    <w:rsid w:val="00DB1085"/>
    <w:rsid w:val="00E45C52"/>
    <w:rsid w:val="00E70688"/>
    <w:rsid w:val="00EB1FFE"/>
    <w:rsid w:val="00F326C7"/>
    <w:rsid w:val="00F84215"/>
    <w:rsid w:val="00F90CAE"/>
    <w:rsid w:val="00FA3BAE"/>
    <w:rsid w:val="00FF2ACD"/>
    <w:rsid w:val="012008EE"/>
    <w:rsid w:val="01CC583F"/>
    <w:rsid w:val="02782E3C"/>
    <w:rsid w:val="02C523F3"/>
    <w:rsid w:val="02C95ADC"/>
    <w:rsid w:val="03355E4B"/>
    <w:rsid w:val="03D9668A"/>
    <w:rsid w:val="04F364B9"/>
    <w:rsid w:val="04FF0482"/>
    <w:rsid w:val="05062887"/>
    <w:rsid w:val="054C2562"/>
    <w:rsid w:val="055D4614"/>
    <w:rsid w:val="05F70F85"/>
    <w:rsid w:val="084208C4"/>
    <w:rsid w:val="098A3C0A"/>
    <w:rsid w:val="0A9A7091"/>
    <w:rsid w:val="0C231B4F"/>
    <w:rsid w:val="0D076F3B"/>
    <w:rsid w:val="10FE60D7"/>
    <w:rsid w:val="11454E51"/>
    <w:rsid w:val="12F6124F"/>
    <w:rsid w:val="13330A7F"/>
    <w:rsid w:val="175D58E3"/>
    <w:rsid w:val="18061B60"/>
    <w:rsid w:val="190C3DF8"/>
    <w:rsid w:val="19545496"/>
    <w:rsid w:val="19615F64"/>
    <w:rsid w:val="19F83E30"/>
    <w:rsid w:val="1B403139"/>
    <w:rsid w:val="1C6D319F"/>
    <w:rsid w:val="1D4D74D6"/>
    <w:rsid w:val="1DE32CFD"/>
    <w:rsid w:val="1E88798E"/>
    <w:rsid w:val="1EA80A91"/>
    <w:rsid w:val="1EE40499"/>
    <w:rsid w:val="1F1A602A"/>
    <w:rsid w:val="1F2854B6"/>
    <w:rsid w:val="1F431DE9"/>
    <w:rsid w:val="21C768CD"/>
    <w:rsid w:val="22901F1E"/>
    <w:rsid w:val="22C6192B"/>
    <w:rsid w:val="22E14253"/>
    <w:rsid w:val="23B66BEA"/>
    <w:rsid w:val="23F209A3"/>
    <w:rsid w:val="2403516E"/>
    <w:rsid w:val="256A2A9E"/>
    <w:rsid w:val="2805537E"/>
    <w:rsid w:val="289437EE"/>
    <w:rsid w:val="2EBF757D"/>
    <w:rsid w:val="2F843742"/>
    <w:rsid w:val="30135FC1"/>
    <w:rsid w:val="31B83F5F"/>
    <w:rsid w:val="328E2AB6"/>
    <w:rsid w:val="329B12EA"/>
    <w:rsid w:val="32A61A2E"/>
    <w:rsid w:val="32C451FA"/>
    <w:rsid w:val="32FF37B0"/>
    <w:rsid w:val="33A83F87"/>
    <w:rsid w:val="355C2B3F"/>
    <w:rsid w:val="35F12468"/>
    <w:rsid w:val="360E6EFC"/>
    <w:rsid w:val="36851B5C"/>
    <w:rsid w:val="36F90C7F"/>
    <w:rsid w:val="37D360CA"/>
    <w:rsid w:val="38815919"/>
    <w:rsid w:val="38CB5066"/>
    <w:rsid w:val="3931345D"/>
    <w:rsid w:val="3C0E73AC"/>
    <w:rsid w:val="3D59720C"/>
    <w:rsid w:val="3DD92889"/>
    <w:rsid w:val="3EAA01E3"/>
    <w:rsid w:val="3F301058"/>
    <w:rsid w:val="3FF0347B"/>
    <w:rsid w:val="417A34F9"/>
    <w:rsid w:val="418810F4"/>
    <w:rsid w:val="41A37673"/>
    <w:rsid w:val="41AD1501"/>
    <w:rsid w:val="42892DE2"/>
    <w:rsid w:val="42C30950"/>
    <w:rsid w:val="42D266F8"/>
    <w:rsid w:val="45A65C7F"/>
    <w:rsid w:val="468C2A4A"/>
    <w:rsid w:val="46AD2493"/>
    <w:rsid w:val="46EC7F14"/>
    <w:rsid w:val="475C09E8"/>
    <w:rsid w:val="48AF4C7F"/>
    <w:rsid w:val="4A81677A"/>
    <w:rsid w:val="4D66074B"/>
    <w:rsid w:val="4DA177B2"/>
    <w:rsid w:val="4DF36D4F"/>
    <w:rsid w:val="501B7C76"/>
    <w:rsid w:val="504D5CCF"/>
    <w:rsid w:val="50634FCC"/>
    <w:rsid w:val="511F0FF5"/>
    <w:rsid w:val="533031D8"/>
    <w:rsid w:val="533A7469"/>
    <w:rsid w:val="53526129"/>
    <w:rsid w:val="546F3626"/>
    <w:rsid w:val="549F3902"/>
    <w:rsid w:val="55E777BF"/>
    <w:rsid w:val="565F61A9"/>
    <w:rsid w:val="57232FC4"/>
    <w:rsid w:val="572D2326"/>
    <w:rsid w:val="57365691"/>
    <w:rsid w:val="584A0987"/>
    <w:rsid w:val="59EE1E48"/>
    <w:rsid w:val="5A490F5C"/>
    <w:rsid w:val="5BD21464"/>
    <w:rsid w:val="5BDE2B83"/>
    <w:rsid w:val="5C0F57B7"/>
    <w:rsid w:val="6064509E"/>
    <w:rsid w:val="61635F72"/>
    <w:rsid w:val="618606C5"/>
    <w:rsid w:val="62816DFC"/>
    <w:rsid w:val="63E114D3"/>
    <w:rsid w:val="64D40FDB"/>
    <w:rsid w:val="67CF271F"/>
    <w:rsid w:val="6A1267CE"/>
    <w:rsid w:val="6A6E4168"/>
    <w:rsid w:val="6AD46D46"/>
    <w:rsid w:val="6DE07909"/>
    <w:rsid w:val="6E58438A"/>
    <w:rsid w:val="6E9D5508"/>
    <w:rsid w:val="6EC00482"/>
    <w:rsid w:val="71EB22B3"/>
    <w:rsid w:val="72010FA6"/>
    <w:rsid w:val="748A4F72"/>
    <w:rsid w:val="75664078"/>
    <w:rsid w:val="761E4132"/>
    <w:rsid w:val="76B129AC"/>
    <w:rsid w:val="78061A79"/>
    <w:rsid w:val="7BC003CA"/>
    <w:rsid w:val="7C115912"/>
    <w:rsid w:val="7CBF4BB4"/>
    <w:rsid w:val="7E402A4D"/>
    <w:rsid w:val="7E5D346D"/>
    <w:rsid w:val="7FDB1E88"/>
    <w:rsid w:val="FFDF92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3">
    <w:name w:val="heading 1"/>
    <w:basedOn w:val="1"/>
    <w:next w:val="1"/>
    <w:qFormat/>
    <w:uiPriority w:val="0"/>
    <w:pPr>
      <w:keepNext/>
      <w:keepLines/>
      <w:jc w:val="left"/>
      <w:outlineLvl w:val="0"/>
    </w:pPr>
    <w:rPr>
      <w:rFonts w:ascii="宋体" w:hAnsi="宋体" w:eastAsia="黑体"/>
      <w:b/>
      <w:bCs/>
      <w:kern w:val="44"/>
      <w:szCs w:val="44"/>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Body Text"/>
    <w:basedOn w:val="1"/>
    <w:qFormat/>
    <w:uiPriority w:val="0"/>
    <w:pPr>
      <w:spacing w:before="240" w:after="240" w:line="360" w:lineRule="auto"/>
      <w:jc w:val="center"/>
    </w:pPr>
    <w:rPr>
      <w:b/>
      <w:sz w:val="44"/>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jc w:val="left"/>
    </w:pPr>
    <w:rPr>
      <w:kern w:val="0"/>
      <w:sz w:val="24"/>
    </w:rPr>
  </w:style>
  <w:style w:type="character" w:styleId="10">
    <w:name w:val="Strong"/>
    <w:basedOn w:val="9"/>
    <w:qFormat/>
    <w:uiPriority w:val="0"/>
    <w:rPr>
      <w:b/>
      <w:bCs/>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3">
    <w:name w:val="列表段落1"/>
    <w:basedOn w:val="1"/>
    <w:unhideWhenUsed/>
    <w:qFormat/>
    <w:uiPriority w:val="99"/>
    <w:pPr>
      <w:ind w:firstLine="420" w:firstLineChars="200"/>
    </w:pPr>
  </w:style>
  <w:style w:type="character" w:customStyle="1" w:styleId="14">
    <w:name w:val="页脚 字符"/>
    <w:basedOn w:val="9"/>
    <w:link w:val="6"/>
    <w:qFormat/>
    <w:uiPriority w:val="99"/>
    <w:rPr>
      <w:sz w:val="18"/>
      <w:szCs w:val="18"/>
    </w:rPr>
  </w:style>
  <w:style w:type="character" w:customStyle="1" w:styleId="15">
    <w:name w:val="页眉 字符"/>
    <w:basedOn w:val="9"/>
    <w:link w:val="7"/>
    <w:qFormat/>
    <w:uiPriority w:val="99"/>
    <w:rPr>
      <w:sz w:val="18"/>
      <w:szCs w:val="18"/>
    </w:rPr>
  </w:style>
  <w:style w:type="paragraph" w:customStyle="1" w:styleId="16">
    <w:name w:val="WPSOffice手动目录 1"/>
    <w:qFormat/>
    <w:uiPriority w:val="0"/>
    <w:rPr>
      <w:rFonts w:asciiTheme="minorHAnsi" w:hAnsiTheme="minorHAnsi" w:eastAsiaTheme="minorEastAsia" w:cstheme="minorBidi"/>
      <w:lang w:val="en-US" w:eastAsia="zh-CN" w:bidi="ar-SA"/>
    </w:rPr>
  </w:style>
  <w:style w:type="paragraph" w:customStyle="1" w:styleId="17">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8">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市直单位</Company>
  <Pages>17</Pages>
  <Words>1308</Words>
  <Characters>7456</Characters>
  <Lines>62</Lines>
  <Paragraphs>17</Paragraphs>
  <TotalTime>147</TotalTime>
  <ScaleCrop>false</ScaleCrop>
  <LinksUpToDate>false</LinksUpToDate>
  <CharactersWithSpaces>8747</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czjbgs</cp:lastModifiedBy>
  <dcterms:modified xsi:type="dcterms:W3CDTF">2025-01-21T08:53:11Z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FA48308C584B4C498E9734F137FE4F69</vt:lpwstr>
  </property>
</Properties>
</file>