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hint="eastAsia" w:ascii="仿宋_GB2312" w:hAnsi="仿宋_GB2312" w:eastAsia="仿宋_GB2312" w:cs="仿宋_GB2312"/>
          <w:color w:val="333333"/>
          <w:sz w:val="32"/>
          <w:szCs w:val="32"/>
          <w:highlight w:val="none"/>
          <w:lang w:bidi="ar"/>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lang w:val="en-US" w:eastAsia="zh-CN"/>
        </w:rPr>
        <w:t>阿克陶</w:t>
      </w:r>
      <w:r>
        <w:rPr>
          <w:rFonts w:hint="eastAsia" w:ascii="方正小标宋简体" w:hAnsi="方正小标宋简体" w:eastAsia="方正小标宋简体" w:cs="方正小标宋简体"/>
          <w:b/>
          <w:kern w:val="0"/>
          <w:sz w:val="44"/>
          <w:szCs w:val="44"/>
          <w:highlight w:val="none"/>
          <w:lang w:val="en-US" w:eastAsia="zh-Hans"/>
        </w:rPr>
        <w:t>县</w:t>
      </w:r>
      <w:r>
        <w:rPr>
          <w:rFonts w:hint="eastAsia" w:ascii="方正小标宋简体" w:hAnsi="方正小标宋简体" w:eastAsia="方正小标宋简体" w:cs="方正小标宋简体"/>
          <w:b/>
          <w:kern w:val="0"/>
          <w:sz w:val="44"/>
          <w:szCs w:val="44"/>
          <w:highlight w:val="none"/>
        </w:rPr>
        <w:t>部门单位整体支出绩效</w:t>
      </w: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rPr>
        <w:t>自评报告</w:t>
      </w: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eastAsia="zh-CN"/>
        </w:rPr>
        <w:t>2021</w:t>
      </w:r>
      <w:r>
        <w:rPr>
          <w:rFonts w:hint="eastAsia" w:ascii="仿宋_GB2312" w:hAnsi="仿宋_GB2312" w:eastAsia="仿宋_GB2312" w:cs="仿宋_GB2312"/>
          <w:kern w:val="0"/>
          <w:sz w:val="32"/>
          <w:szCs w:val="32"/>
          <w:highlight w:val="none"/>
        </w:rPr>
        <w:t xml:space="preserve">  年度）</w:t>
      </w: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rPr>
          <w:rFonts w:hint="eastAsia" w:ascii="仿宋_GB2312" w:hAnsi="仿宋_GB2312" w:eastAsia="仿宋_GB2312" w:cs="仿宋_GB2312"/>
          <w:kern w:val="0"/>
          <w:sz w:val="32"/>
          <w:szCs w:val="32"/>
          <w:highlight w:val="none"/>
        </w:rPr>
      </w:pPr>
    </w:p>
    <w:p>
      <w:pPr>
        <w:spacing w:line="700" w:lineRule="exact"/>
        <w:jc w:val="lef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p>
    <w:p>
      <w:pPr>
        <w:spacing w:line="700" w:lineRule="exact"/>
        <w:ind w:firstLine="640" w:firstLineChars="200"/>
        <w:jc w:val="left"/>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部门单位名称（公章）：</w:t>
      </w:r>
      <w:r>
        <w:rPr>
          <w:rFonts w:hint="eastAsia" w:ascii="仿宋_GB2312" w:hAnsi="仿宋_GB2312" w:eastAsia="仿宋_GB2312" w:cs="仿宋_GB2312"/>
          <w:kern w:val="0"/>
          <w:sz w:val="32"/>
          <w:szCs w:val="32"/>
          <w:highlight w:val="none"/>
          <w:lang w:val="en-US" w:eastAsia="zh-CN"/>
        </w:rPr>
        <w:t>阿克陶县教育局</w:t>
      </w:r>
    </w:p>
    <w:p>
      <w:pPr>
        <w:spacing w:line="700" w:lineRule="exact"/>
        <w:ind w:firstLine="640" w:firstLineChars="200"/>
        <w:jc w:val="lef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填报时间：</w:t>
      </w:r>
      <w:r>
        <w:rPr>
          <w:rFonts w:hint="eastAsia" w:ascii="仿宋_GB2312" w:hAnsi="仿宋_GB2312" w:eastAsia="仿宋_GB2312" w:cs="仿宋_GB2312"/>
          <w:kern w:val="0"/>
          <w:sz w:val="32"/>
          <w:szCs w:val="32"/>
          <w:highlight w:val="none"/>
          <w:lang w:val="en-US" w:eastAsia="zh-CN"/>
        </w:rPr>
        <w:t>2022</w:t>
      </w:r>
      <w:r>
        <w:rPr>
          <w:rFonts w:hint="eastAsia" w:ascii="仿宋_GB2312" w:hAnsi="仿宋_GB2312" w:eastAsia="仿宋_GB2312" w:cs="仿宋_GB2312"/>
          <w:kern w:val="0"/>
          <w:sz w:val="32"/>
          <w:szCs w:val="32"/>
          <w:highlight w:val="none"/>
        </w:rPr>
        <w:t>年</w:t>
      </w:r>
      <w:r>
        <w:rPr>
          <w:rFonts w:hint="eastAsia" w:ascii="仿宋_GB2312" w:hAnsi="仿宋_GB2312" w:eastAsia="仿宋_GB2312" w:cs="仿宋_GB2312"/>
          <w:kern w:val="0"/>
          <w:sz w:val="32"/>
          <w:szCs w:val="32"/>
          <w:highlight w:val="none"/>
          <w:lang w:val="en-US" w:eastAsia="zh-CN"/>
        </w:rPr>
        <w:t xml:space="preserve">2  </w:t>
      </w:r>
      <w:r>
        <w:rPr>
          <w:rFonts w:hint="eastAsia" w:ascii="仿宋_GB2312" w:hAnsi="仿宋_GB2312" w:eastAsia="仿宋_GB2312" w:cs="仿宋_GB2312"/>
          <w:kern w:val="0"/>
          <w:sz w:val="32"/>
          <w:szCs w:val="32"/>
          <w:highlight w:val="none"/>
        </w:rPr>
        <w:t xml:space="preserve">月 </w:t>
      </w:r>
      <w:r>
        <w:rPr>
          <w:rFonts w:hint="eastAsia" w:ascii="仿宋_GB2312" w:hAnsi="仿宋_GB2312" w:eastAsia="仿宋_GB2312" w:cs="仿宋_GB2312"/>
          <w:kern w:val="0"/>
          <w:sz w:val="32"/>
          <w:szCs w:val="32"/>
          <w:highlight w:val="none"/>
          <w:lang w:val="en-US" w:eastAsia="zh-CN"/>
        </w:rPr>
        <w:t xml:space="preserve">24  </w:t>
      </w:r>
      <w:r>
        <w:rPr>
          <w:rFonts w:hint="eastAsia" w:ascii="仿宋_GB2312" w:hAnsi="仿宋_GB2312" w:eastAsia="仿宋_GB2312" w:cs="仿宋_GB2312"/>
          <w:kern w:val="0"/>
          <w:sz w:val="32"/>
          <w:szCs w:val="32"/>
          <w:highlight w:val="none"/>
        </w:rPr>
        <w:t>日</w:t>
      </w:r>
    </w:p>
    <w:p>
      <w:pPr>
        <w:pStyle w:val="2"/>
        <w:rPr>
          <w:rFonts w:hint="eastAsia" w:ascii="仿宋_GB2312" w:hAnsi="仿宋_GB2312" w:eastAsia="仿宋_GB2312" w:cs="仿宋_GB2312"/>
          <w:kern w:val="0"/>
          <w:sz w:val="32"/>
          <w:szCs w:val="32"/>
          <w:highlight w:val="none"/>
        </w:rPr>
      </w:pPr>
    </w:p>
    <w:p>
      <w:pPr>
        <w:rPr>
          <w:rFonts w:hint="eastAsia"/>
          <w:lang w:val="en-US" w:eastAsia="zh-CN"/>
        </w:rPr>
      </w:pPr>
    </w:p>
    <w:p>
      <w:pPr>
        <w:pStyle w:val="11"/>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0" w:name="_Toc23945_WPSOffice_Level1"/>
      <w:r>
        <w:rPr>
          <w:rFonts w:hint="eastAsia" w:ascii="仿宋_GB2312" w:hAnsi="仿宋_GB2312" w:eastAsia="仿宋_GB2312" w:cs="仿宋_GB2312"/>
          <w:b/>
          <w:bCs w:val="0"/>
          <w:color w:val="333333"/>
          <w:sz w:val="32"/>
          <w:szCs w:val="32"/>
          <w:highlight w:val="none"/>
          <w:lang w:bidi="ar"/>
        </w:rPr>
        <w:t>基本概况</w:t>
      </w:r>
      <w:bookmarkEnd w:id="0"/>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bidi="ar"/>
        </w:rPr>
        <w:t>（一）单位基本情况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1.部门主要职能</w:t>
      </w:r>
    </w:p>
    <w:p>
      <w:pPr>
        <w:ind w:firstLine="56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1、贯彻执行党和国家的教育方针、政策、法规，研究、制定全县教育事业的发展规划和年度计划，并组织指导实施。</w:t>
      </w:r>
    </w:p>
    <w:p>
      <w:pPr>
        <w:ind w:firstLine="56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2、负责全县基础教育、职业技术教育、成人教育、特殊教育、学前教育及扫除青壮年文盲工作的管理和指导；负责全县社会力理办学的管理和指导。</w:t>
      </w:r>
    </w:p>
    <w:p>
      <w:pPr>
        <w:ind w:firstLine="56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3、指导全县各级各类学校的德育、体育、卫生、美育及劳动教育、安全教育、国防教育等工作，负责做好学校共青团、少先队和关心下一代工作。</w:t>
      </w:r>
    </w:p>
    <w:p>
      <w:pPr>
        <w:ind w:firstLine="56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4、负责管理全县教师队伍建设，按照干部管理权限考察聘用学校干部，负责全县教师职务评审、资格确认、计划生育、评优及指导学校聘用各院校大中专毕业生工作，负责全县面向教育系统纪检、监察工作。</w:t>
      </w:r>
    </w:p>
    <w:p>
      <w:pPr>
        <w:ind w:firstLine="56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5、管理和监督对全县教育系统的财务、基建、校产、教学楼建设、校办产业、教学仪器、图书设备的配备工作，负责教育经费的管理、使用和内部审计工作。</w:t>
      </w:r>
    </w:p>
    <w:p>
      <w:pPr>
        <w:ind w:firstLine="56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6、负责对全县各级各类学校和各类教育教训机构的建立、撤销、调整的审核、审批或报批。</w:t>
      </w:r>
    </w:p>
    <w:p>
      <w:pPr>
        <w:ind w:firstLine="56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7、负责全县各级各类学校的招生工作。与上级招生部门及院校配合做好大中专院校的招生和自学考试、成人高考工作。</w:t>
      </w:r>
    </w:p>
    <w:p>
      <w:pPr>
        <w:ind w:firstLine="56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8、负责全县教育、教学科学研究的管理和指导。组织开展教育的合作和交流工作。</w:t>
      </w:r>
    </w:p>
    <w:p>
      <w:pPr>
        <w:ind w:firstLine="56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9、负责全县教育督导工作。</w:t>
      </w:r>
    </w:p>
    <w:p>
      <w:pPr>
        <w:ind w:firstLine="560"/>
        <w:rPr>
          <w:rStyle w:val="10"/>
          <w:rFonts w:hint="eastAsia" w:ascii="仿宋_GB2312" w:hAnsi="仿宋_GB2312" w:eastAsia="仿宋_GB2312" w:cs="仿宋_GB2312"/>
          <w:b w:val="0"/>
          <w:color w:val="FF0000"/>
          <w:sz w:val="32"/>
          <w:szCs w:val="32"/>
          <w:highlight w:val="none"/>
          <w:lang w:val="en-US" w:eastAsia="zh-CN" w:bidi="ar"/>
        </w:rPr>
      </w:pPr>
      <w:r>
        <w:rPr>
          <w:rFonts w:hint="eastAsia" w:ascii="仿宋_GB2312" w:hAnsi="仿宋_GB2312" w:eastAsia="仿宋_GB2312" w:cs="仿宋_GB2312"/>
          <w:color w:val="auto"/>
          <w:sz w:val="32"/>
          <w:szCs w:val="32"/>
        </w:rPr>
        <w:t>10、完成县委、县政府交办的其他工作任务。</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2.部门机构设置及人员构成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阿克陶县教育局单位机关行政编制7名，其中：行政编制13名，机关工勤事业编制36名。实有人员49人。</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3.年度重点工作</w:t>
      </w:r>
    </w:p>
    <w:p>
      <w:pPr>
        <w:ind w:firstLine="560"/>
        <w:rPr>
          <w:rStyle w:val="10"/>
          <w:rFonts w:hint="eastAsia" w:ascii="仿宋_GB2312" w:hAnsi="仿宋_GB2312" w:eastAsia="仿宋_GB2312" w:cs="仿宋_GB2312"/>
          <w:b w:val="0"/>
          <w:color w:val="333333"/>
          <w:sz w:val="32"/>
          <w:szCs w:val="32"/>
          <w:highlight w:val="none"/>
          <w:lang w:val="en-US" w:eastAsia="zh-CN" w:bidi="ar"/>
        </w:rPr>
      </w:pPr>
      <w:r>
        <w:rPr>
          <w:rFonts w:hint="eastAsia" w:ascii="仿宋_GB2312" w:hAnsi="仿宋_GB2312" w:eastAsia="仿宋_GB2312" w:cs="仿宋_GB2312"/>
          <w:color w:val="auto"/>
          <w:sz w:val="32"/>
          <w:szCs w:val="32"/>
        </w:rPr>
        <w:t>我单位严格按照政策文件要求和阿克陶县财政局下发的监控通知，计划于202</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年1月1日开始实施本单位部门整体支出绩效监控任务，计划于202</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年12月31日完成部门整体支出绩效监控任务。监控内容包括：绩效监控实施情况、预算执行情况、绩效目标完成情况、目标偏离及应对情况等。通过对年初所确定的年度预期目标、部门整体支出绩效指标进行持续的监控，发现并纠正绩效目标实现过程中的各种偏差，以确保本单位绩效目标实现。</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（二）决策过程</w:t>
      </w:r>
    </w:p>
    <w:p>
      <w:pPr>
        <w:ind w:firstLine="56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我单位决策机制根据行政事业单位内部控制体系建设相关要求，逐步完善《阿克陶县教育局党组会议制度》、《三重一大会议制度》，根据制度规定“(一)贯彻落实党中央和上级党组织重大决策部署的重要事项;(二)需要向上级党组织请示报告的重要事项，向局机关和各级各类学校党组织发布的重要事项;(三)内部机构设置、职责分工、人员编制等事项:(四)重大决策、重要人事任免、重大项目安持、大额资金使用等事项;(五)局机关党组织和党员队伍建设方面的重要事项;(六)意识形态工作、思想政治工作和精神文明建设方面的重要事项:(七)党风廉政建设和反腐败工作方面的重要事项;(八)本单位中长期发展规划及年度工作计划;(九)其他应当由局党组讨论和决定的重大问题。</w:t>
      </w:r>
    </w:p>
    <w:p>
      <w:pPr>
        <w:ind w:firstLine="560"/>
        <w:rPr>
          <w:rStyle w:val="10"/>
          <w:rFonts w:hint="eastAsia" w:ascii="仿宋_GB2312" w:hAnsi="仿宋_GB2312" w:eastAsia="仿宋_GB2312" w:cs="仿宋_GB2312"/>
          <w:b w:val="0"/>
          <w:color w:val="333333"/>
          <w:sz w:val="32"/>
          <w:szCs w:val="32"/>
          <w:highlight w:val="none"/>
          <w:lang w:val="en-US" w:eastAsia="zh-CN" w:bidi="ar"/>
        </w:rPr>
      </w:pPr>
      <w:r>
        <w:rPr>
          <w:rFonts w:hint="eastAsia" w:ascii="仿宋_GB2312" w:hAnsi="仿宋_GB2312" w:eastAsia="仿宋_GB2312" w:cs="仿宋_GB2312"/>
          <w:color w:val="auto"/>
          <w:sz w:val="32"/>
          <w:szCs w:val="32"/>
        </w:rPr>
        <w:t>党组认真贯彻民主集中制原则，上述重大事项必须经过党组会议集体讨论决定，保证决策的民主化、规范化和科学化。”进行单位事项决策。</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（三）项目资金分配</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1.部门（单位）预算编制及分配依据</w:t>
      </w:r>
    </w:p>
    <w:p>
      <w:pPr>
        <w:ind w:firstLine="56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基本支出根据单位的人员、日常支出及实施项目的实际情况进行预算编制，并根据财政部门预算批复、预期绩效目标进行相应分配；由财政部门按照进度每月分期拨付，人员支出按照工资计划发放工资；资金支出时按照我单位内控体系中设定的流程进行申报审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2.分配结果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333333"/>
          <w:sz w:val="32"/>
          <w:szCs w:val="32"/>
          <w:highlight w:val="none"/>
          <w:lang w:val="en-US" w:eastAsia="zh-Hans" w:bidi="ar"/>
        </w:rPr>
        <w:t>人员经费</w:t>
      </w:r>
      <w:r>
        <w:rPr>
          <w:rStyle w:val="10"/>
          <w:rFonts w:hint="eastAsia" w:ascii="仿宋_GB2312" w:hAnsi="仿宋_GB2312" w:eastAsia="仿宋_GB2312" w:cs="仿宋_GB2312"/>
          <w:b w:val="0"/>
          <w:color w:val="333333"/>
          <w:sz w:val="32"/>
          <w:szCs w:val="32"/>
          <w:highlight w:val="none"/>
          <w:lang w:val="en-US" w:eastAsia="zh-CN" w:bidi="ar"/>
        </w:rPr>
        <w:t>，</w:t>
      </w:r>
      <w:r>
        <w:rPr>
          <w:rStyle w:val="10"/>
          <w:rFonts w:hint="eastAsia" w:ascii="仿宋_GB2312" w:hAnsi="仿宋_GB2312" w:eastAsia="仿宋_GB2312" w:cs="仿宋_GB2312"/>
          <w:b w:val="0"/>
          <w:color w:val="333333"/>
          <w:sz w:val="32"/>
          <w:szCs w:val="32"/>
          <w:highlight w:val="none"/>
          <w:lang w:val="en-US" w:eastAsia="zh-Hans" w:bidi="ar"/>
        </w:rPr>
        <w:t>保障人员工资按时按标准发放1675.68</w:t>
      </w:r>
      <w:r>
        <w:rPr>
          <w:rStyle w:val="10"/>
          <w:rFonts w:hint="eastAsia" w:ascii="仿宋_GB2312" w:hAnsi="仿宋_GB2312" w:eastAsia="仿宋_GB2312" w:cs="仿宋_GB2312"/>
          <w:b w:val="0"/>
          <w:color w:val="333333"/>
          <w:sz w:val="32"/>
          <w:szCs w:val="32"/>
          <w:highlight w:val="none"/>
          <w:lang w:val="en-US" w:eastAsia="zh-CN" w:bidi="ar"/>
        </w:rPr>
        <w:t>万元；</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333333"/>
          <w:sz w:val="32"/>
          <w:szCs w:val="32"/>
          <w:highlight w:val="none"/>
          <w:lang w:val="en-US" w:eastAsia="zh-Hans" w:bidi="ar"/>
        </w:rPr>
        <w:t>公用经费</w:t>
      </w:r>
      <w:r>
        <w:rPr>
          <w:rStyle w:val="10"/>
          <w:rFonts w:hint="eastAsia" w:ascii="仿宋_GB2312" w:hAnsi="仿宋_GB2312" w:eastAsia="仿宋_GB2312" w:cs="仿宋_GB2312"/>
          <w:b w:val="0"/>
          <w:color w:val="333333"/>
          <w:sz w:val="32"/>
          <w:szCs w:val="32"/>
          <w:highlight w:val="none"/>
          <w:lang w:val="en-US" w:eastAsia="zh-CN" w:bidi="ar"/>
        </w:rPr>
        <w:t>，</w:t>
      </w:r>
      <w:r>
        <w:rPr>
          <w:rStyle w:val="10"/>
          <w:rFonts w:hint="eastAsia" w:ascii="仿宋_GB2312" w:hAnsi="仿宋_GB2312" w:eastAsia="仿宋_GB2312" w:cs="仿宋_GB2312"/>
          <w:b w:val="0"/>
          <w:color w:val="333333"/>
          <w:sz w:val="32"/>
          <w:szCs w:val="32"/>
          <w:highlight w:val="none"/>
          <w:lang w:val="en-US" w:eastAsia="zh-Hans" w:bidi="ar"/>
        </w:rPr>
        <w:t>保障局机关日常运转39.64</w:t>
      </w:r>
      <w:r>
        <w:rPr>
          <w:rStyle w:val="10"/>
          <w:rFonts w:hint="eastAsia" w:ascii="仿宋_GB2312" w:hAnsi="仿宋_GB2312" w:eastAsia="仿宋_GB2312" w:cs="仿宋_GB2312"/>
          <w:b w:val="0"/>
          <w:color w:val="333333"/>
          <w:sz w:val="32"/>
          <w:szCs w:val="32"/>
          <w:highlight w:val="none"/>
          <w:lang w:val="en-US" w:eastAsia="zh-CN" w:bidi="ar"/>
        </w:rPr>
        <w:t>万元；</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333333"/>
          <w:sz w:val="32"/>
          <w:szCs w:val="32"/>
          <w:highlight w:val="none"/>
          <w:lang w:val="en-US" w:eastAsia="zh-CN" w:bidi="ar"/>
        </w:rPr>
        <w:t>项目支出，保障学校正常运转、资助学生经费，补助教师经费，提高教师积极性等4649.24万元。</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3.重点支出保障率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default"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我单位本年主要实施2021年教育局972名保安厨师重点项目，履行了提升中小学、幼儿园安全防范水平，保障广大学生、儿童和教职员工的生命财产安全，维护良好的校园治安秩序的主要职责。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本年度预算安排的重点项目支出1973.85万元，项目总支出4649.24万元，重点支出保障率为42.46%。</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（四）部门单位整体支出规模</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default"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（1）年初预算执行情况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FF0000"/>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我单位年初预算数为6364.56万元，实际预算执行数4472.02万元，预算执行率为74.97%。</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（2）全年预算执行情况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FF0000"/>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全年预算数为13599.83万元，全年实际支出资金13599.83万元，预算执行率为100%。</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2.预算调整情况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default" w:ascii="仿宋_GB2312" w:hAnsi="仿宋_GB2312" w:eastAsia="仿宋_GB2312" w:cs="仿宋_GB2312"/>
          <w:b w:val="0"/>
          <w:color w:val="FF0000"/>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我单位年初批复预算数6364.56万元，年中调整数7235.27万元，调整后全年预算数13599.83万元，预算调整率100%。</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default"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 xml:space="preserve">3.政府采购执行情况 </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default"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我单位本年度需政府采购的预算数为0万元。</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（五）评价使用方法和主要内容、涉及范围</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1.评价使用方法</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lang w:val="en-US" w:eastAsia="zh-CN" w:bidi="ar"/>
        </w:rPr>
      </w:pPr>
      <w:bookmarkStart w:id="1" w:name="_Hlk49856735"/>
      <w:r>
        <w:rPr>
          <w:rStyle w:val="10"/>
          <w:rFonts w:hint="eastAsia" w:ascii="仿宋_GB2312" w:hAnsi="仿宋_GB2312" w:eastAsia="仿宋_GB2312" w:cs="仿宋_GB2312"/>
          <w:b w:val="0"/>
          <w:color w:val="auto"/>
          <w:sz w:val="32"/>
          <w:szCs w:val="32"/>
          <w:lang w:val="en-US" w:eastAsia="zh-CN" w:bidi="ar"/>
        </w:rPr>
        <w:t>本次评价主要采取比较法和调查法。一是比较法。对项目支出情况及建设后的产出及效果与项目实施计划目标进行比较，分析预计目标的完成程度。二是</w:t>
      </w:r>
      <w:r>
        <w:rPr>
          <w:rStyle w:val="10"/>
          <w:rFonts w:hint="eastAsia" w:ascii="仿宋_GB2312" w:hAnsi="仿宋_GB2312" w:eastAsia="仿宋_GB2312" w:cs="仿宋_GB2312"/>
          <w:b w:val="0"/>
          <w:color w:val="auto"/>
          <w:sz w:val="32"/>
          <w:szCs w:val="32"/>
          <w:highlight w:val="none"/>
          <w:lang w:val="en-US" w:eastAsia="zh-Hans" w:bidi="ar"/>
        </w:rPr>
        <w:t>公众评判法</w:t>
      </w:r>
      <w:r>
        <w:rPr>
          <w:rStyle w:val="10"/>
          <w:rFonts w:hint="eastAsia" w:ascii="仿宋_GB2312" w:hAnsi="仿宋_GB2312" w:eastAsia="仿宋_GB2312" w:cs="仿宋_GB2312"/>
          <w:b w:val="0"/>
          <w:color w:val="auto"/>
          <w:sz w:val="32"/>
          <w:szCs w:val="32"/>
          <w:highlight w:val="none"/>
          <w:lang w:val="en-US" w:eastAsia="zh-CN" w:bidi="ar"/>
        </w:rPr>
        <w:t>。</w:t>
      </w:r>
      <w:r>
        <w:rPr>
          <w:rStyle w:val="10"/>
          <w:rFonts w:hint="eastAsia" w:ascii="仿宋_GB2312" w:hAnsi="仿宋_GB2312" w:eastAsia="仿宋_GB2312" w:cs="仿宋_GB2312"/>
          <w:b w:val="0"/>
          <w:color w:val="auto"/>
          <w:sz w:val="32"/>
          <w:szCs w:val="32"/>
          <w:lang w:val="en-US" w:eastAsia="zh-CN" w:bidi="ar"/>
        </w:rPr>
        <w:t>通过专家评估、公众问卷及抽样调查等方式进行评判的方法。问卷调查是针对项目区利益相关方实施的调查，并对调查结果进行统计、分析和评定。</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default"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2.评价对象及主要内容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lang w:val="en-US" w:eastAsia="zh-CN" w:bidi="ar"/>
        </w:rPr>
      </w:pPr>
      <w:r>
        <w:rPr>
          <w:rStyle w:val="10"/>
          <w:rFonts w:hint="eastAsia" w:ascii="仿宋_GB2312" w:hAnsi="仿宋_GB2312" w:eastAsia="仿宋_GB2312" w:cs="仿宋_GB2312"/>
          <w:b w:val="0"/>
          <w:color w:val="333333"/>
          <w:sz w:val="32"/>
          <w:szCs w:val="32"/>
          <w:lang w:val="en-US" w:eastAsia="zh-CN" w:bidi="ar"/>
        </w:rPr>
        <w:t>评价的对象及主要内容为:</w:t>
      </w:r>
      <w:r>
        <w:rPr>
          <w:rStyle w:val="10"/>
          <w:rFonts w:hint="eastAsia" w:ascii="仿宋_GB2312" w:hAnsi="仿宋_GB2312" w:eastAsia="仿宋_GB2312" w:cs="仿宋_GB2312"/>
          <w:b/>
          <w:bCs w:val="0"/>
          <w:color w:val="333333"/>
          <w:sz w:val="32"/>
          <w:szCs w:val="32"/>
          <w:highlight w:val="none"/>
          <w:lang w:val="en-US" w:eastAsia="zh-CN" w:bidi="ar"/>
        </w:rPr>
        <w:t>一是</w:t>
      </w:r>
      <w:r>
        <w:rPr>
          <w:rStyle w:val="10"/>
          <w:rFonts w:hint="eastAsia" w:ascii="仿宋_GB2312" w:hAnsi="仿宋_GB2312" w:eastAsia="仿宋_GB2312" w:cs="仿宋_GB2312"/>
          <w:b w:val="0"/>
          <w:color w:val="333333"/>
          <w:sz w:val="32"/>
          <w:szCs w:val="32"/>
          <w:highlight w:val="none"/>
          <w:lang w:val="en-US" w:eastAsia="zh-CN" w:bidi="ar"/>
        </w:rPr>
        <w:t>部门单位整体管理及使用情况，具体涉及预算管理、基本支出和专项支出的管理及使用情况；</w:t>
      </w:r>
      <w:r>
        <w:rPr>
          <w:rStyle w:val="10"/>
          <w:rFonts w:hint="eastAsia" w:ascii="仿宋_GB2312" w:hAnsi="仿宋_GB2312" w:eastAsia="仿宋_GB2312" w:cs="仿宋_GB2312"/>
          <w:b/>
          <w:bCs w:val="0"/>
          <w:color w:val="333333"/>
          <w:sz w:val="32"/>
          <w:szCs w:val="32"/>
          <w:highlight w:val="none"/>
          <w:lang w:val="en-US" w:eastAsia="zh-CN" w:bidi="ar"/>
        </w:rPr>
        <w:t>二是</w:t>
      </w:r>
      <w:r>
        <w:rPr>
          <w:rStyle w:val="10"/>
          <w:rFonts w:hint="eastAsia" w:ascii="仿宋_GB2312" w:hAnsi="仿宋_GB2312" w:eastAsia="仿宋_GB2312" w:cs="仿宋_GB2312"/>
          <w:b w:val="0"/>
          <w:color w:val="333333"/>
          <w:sz w:val="32"/>
          <w:szCs w:val="32"/>
          <w:highlight w:val="none"/>
          <w:lang w:val="en-US" w:eastAsia="zh-CN" w:bidi="ar"/>
        </w:rPr>
        <w:t>部门单位整体支出绩效情况，具体涉及部门单位整体支出绩效目标的实现程度，包括是否达到预定产出、效果和效益效率等；</w:t>
      </w:r>
      <w:r>
        <w:rPr>
          <w:rStyle w:val="10"/>
          <w:rFonts w:hint="eastAsia" w:ascii="仿宋_GB2312" w:hAnsi="仿宋_GB2312" w:eastAsia="仿宋_GB2312" w:cs="仿宋_GB2312"/>
          <w:b/>
          <w:bCs w:val="0"/>
          <w:color w:val="333333"/>
          <w:sz w:val="32"/>
          <w:szCs w:val="32"/>
          <w:highlight w:val="none"/>
          <w:lang w:val="en-US" w:eastAsia="zh-CN" w:bidi="ar"/>
        </w:rPr>
        <w:t>三是</w:t>
      </w:r>
      <w:r>
        <w:rPr>
          <w:rStyle w:val="10"/>
          <w:rFonts w:hint="eastAsia" w:ascii="仿宋_GB2312" w:hAnsi="仿宋_GB2312" w:eastAsia="仿宋_GB2312" w:cs="仿宋_GB2312"/>
          <w:b w:val="0"/>
          <w:color w:val="333333"/>
          <w:sz w:val="32"/>
          <w:szCs w:val="32"/>
          <w:highlight w:val="none"/>
          <w:lang w:val="en-US" w:eastAsia="zh-CN" w:bidi="ar"/>
        </w:rPr>
        <w:t>部门单位专项组织实施情况，具体涉及专项组织情况分析和相关管理情况；</w:t>
      </w:r>
      <w:r>
        <w:rPr>
          <w:rStyle w:val="10"/>
          <w:rFonts w:hint="eastAsia" w:ascii="仿宋_GB2312" w:hAnsi="仿宋_GB2312" w:eastAsia="仿宋_GB2312" w:cs="仿宋_GB2312"/>
          <w:b/>
          <w:bCs w:val="0"/>
          <w:color w:val="333333"/>
          <w:sz w:val="32"/>
          <w:szCs w:val="32"/>
          <w:highlight w:val="none"/>
          <w:lang w:val="en-US" w:eastAsia="zh-CN" w:bidi="ar"/>
        </w:rPr>
        <w:t>四是</w:t>
      </w:r>
      <w:r>
        <w:rPr>
          <w:rStyle w:val="10"/>
          <w:rFonts w:hint="eastAsia" w:ascii="仿宋_GB2312" w:hAnsi="仿宋_GB2312" w:eastAsia="仿宋_GB2312" w:cs="仿宋_GB2312"/>
          <w:b w:val="0"/>
          <w:color w:val="333333"/>
          <w:sz w:val="32"/>
          <w:szCs w:val="32"/>
          <w:highlight w:val="none"/>
          <w:lang w:val="en-US" w:eastAsia="zh-CN" w:bidi="ar"/>
        </w:rPr>
        <w:t>资产管理情况，具体涉及资产管理规范性和资产变动情况</w:t>
      </w:r>
      <w:r>
        <w:rPr>
          <w:rStyle w:val="10"/>
          <w:rFonts w:hint="eastAsia" w:ascii="仿宋_GB2312" w:hAnsi="仿宋_GB2312" w:eastAsia="仿宋_GB2312" w:cs="仿宋_GB2312"/>
          <w:b w:val="0"/>
          <w:color w:val="333333"/>
          <w:sz w:val="32"/>
          <w:szCs w:val="32"/>
          <w:lang w:val="en-US" w:eastAsia="zh-CN" w:bidi="ar"/>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3.涉及的范围</w:t>
      </w:r>
      <w:bookmarkEnd w:id="1"/>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333333"/>
          <w:sz w:val="32"/>
          <w:szCs w:val="32"/>
          <w:lang w:val="en-US" w:eastAsia="zh-CN" w:bidi="ar"/>
        </w:rPr>
      </w:pPr>
      <w:r>
        <w:rPr>
          <w:rStyle w:val="10"/>
          <w:rFonts w:hint="eastAsia" w:ascii="仿宋_GB2312" w:hAnsi="仿宋_GB2312" w:eastAsia="仿宋_GB2312" w:cs="仿宋_GB2312"/>
          <w:b w:val="0"/>
          <w:color w:val="333333"/>
          <w:sz w:val="32"/>
          <w:szCs w:val="32"/>
          <w:lang w:val="en-US" w:eastAsia="zh-CN" w:bidi="ar"/>
        </w:rPr>
        <w:t>评价范围是对本单位整体支出从年度总体绩效目标、产出指标、效益指标、满意度指标等方面进行了全方位、多角度综合评价分析。</w:t>
      </w:r>
    </w:p>
    <w:p>
      <w:pPr>
        <w:pStyle w:val="11"/>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2" w:name="_Toc32535_WPSOffice_Level1"/>
      <w:r>
        <w:rPr>
          <w:rFonts w:hint="eastAsia" w:ascii="仿宋_GB2312" w:hAnsi="仿宋_GB2312" w:eastAsia="仿宋_GB2312" w:cs="仿宋_GB2312"/>
          <w:b/>
          <w:bCs w:val="0"/>
          <w:color w:val="333333"/>
          <w:sz w:val="32"/>
          <w:szCs w:val="32"/>
          <w:highlight w:val="none"/>
          <w:lang w:bidi="ar"/>
        </w:rPr>
        <w:t>部门单位整体支出管理及使用情况</w:t>
      </w:r>
      <w:bookmarkEnd w:id="2"/>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（一）预算管理情况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1.管理制度健全性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333333"/>
          <w:sz w:val="32"/>
          <w:szCs w:val="32"/>
          <w:highlight w:val="none"/>
          <w:lang w:val="en-US" w:eastAsia="zh-CN" w:bidi="ar"/>
        </w:rPr>
        <w:t>本单位为加强预算管理，规范财务行为，已制定《阿克陶县部门单位预算绩效管理工作实施办法》，《阿克陶县教育局单位财务管理制度》等健全完整的各项管理制度，有效保障了我单位高效的履行工作职能，较好的促进事业发展。</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2.资金使用合规性和安全性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333333"/>
          <w:sz w:val="32"/>
          <w:szCs w:val="32"/>
          <w:highlight w:val="none"/>
          <w:lang w:val="en-US" w:eastAsia="zh-CN"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3.预决算信息公开性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FF0000"/>
          <w:sz w:val="32"/>
          <w:szCs w:val="32"/>
          <w:highlight w:val="none"/>
          <w:lang w:val="en-US" w:eastAsia="zh-CN" w:bidi="ar"/>
        </w:rPr>
      </w:pPr>
      <w:r>
        <w:rPr>
          <w:rFonts w:hint="eastAsia" w:ascii="仿宋" w:hAnsi="仿宋" w:eastAsia="仿宋" w:cs="宋体"/>
          <w:bCs/>
          <w:color w:val="333333"/>
          <w:sz w:val="32"/>
          <w:szCs w:val="32"/>
          <w:lang w:eastAsia="zh-CN" w:bidi="ar"/>
        </w:rPr>
        <w:t>按照</w:t>
      </w:r>
      <w:r>
        <w:rPr>
          <w:rFonts w:hint="eastAsia" w:ascii="仿宋" w:hAnsi="仿宋" w:eastAsia="仿宋" w:cs="宋体"/>
          <w:bCs/>
          <w:color w:val="333333"/>
          <w:sz w:val="32"/>
          <w:szCs w:val="32"/>
          <w:lang w:val="en-US" w:eastAsia="zh-CN" w:bidi="ar"/>
        </w:rPr>
        <w:t>阿克陶县</w:t>
      </w:r>
      <w:r>
        <w:rPr>
          <w:rFonts w:hint="eastAsia" w:ascii="仿宋" w:hAnsi="仿宋" w:eastAsia="仿宋" w:cs="宋体"/>
          <w:bCs/>
          <w:color w:val="333333"/>
          <w:sz w:val="32"/>
          <w:szCs w:val="32"/>
          <w:lang w:eastAsia="zh-CN" w:bidi="ar"/>
        </w:rPr>
        <w:t>财政局预决算信息公开工作要求，我单位在</w:t>
      </w:r>
      <w:r>
        <w:rPr>
          <w:rFonts w:hint="eastAsia" w:ascii="仿宋" w:hAnsi="仿宋" w:eastAsia="仿宋" w:cs="宋体"/>
          <w:bCs/>
          <w:color w:val="333333"/>
          <w:sz w:val="32"/>
          <w:szCs w:val="32"/>
          <w:lang w:val="en-US" w:eastAsia="zh-CN" w:bidi="ar"/>
        </w:rPr>
        <w:t>阿克陶县</w:t>
      </w:r>
      <w:bookmarkStart w:id="8" w:name="_GoBack"/>
      <w:bookmarkEnd w:id="8"/>
      <w:r>
        <w:rPr>
          <w:rFonts w:hint="eastAsia" w:ascii="仿宋" w:hAnsi="仿宋" w:eastAsia="仿宋" w:cs="宋体"/>
          <w:bCs/>
          <w:color w:val="333333"/>
          <w:sz w:val="32"/>
          <w:szCs w:val="32"/>
          <w:lang w:eastAsia="zh-CN" w:bidi="ar"/>
        </w:rPr>
        <w:t>政府信息网</w:t>
      </w:r>
      <w:r>
        <w:rPr>
          <w:rFonts w:hint="eastAsia" w:ascii="仿宋" w:hAnsi="仿宋" w:eastAsia="仿宋" w:cs="宋体"/>
          <w:bCs/>
          <w:color w:val="333333"/>
          <w:sz w:val="32"/>
          <w:szCs w:val="32"/>
          <w:highlight w:val="none"/>
          <w:lang w:eastAsia="zh-CN" w:bidi="ar"/>
        </w:rPr>
        <w:t>财政信息公开</w:t>
      </w:r>
      <w:r>
        <w:rPr>
          <w:rFonts w:hint="eastAsia" w:ascii="仿宋" w:hAnsi="仿宋" w:eastAsia="仿宋" w:cs="宋体"/>
          <w:bCs/>
          <w:color w:val="333333"/>
          <w:sz w:val="32"/>
          <w:szCs w:val="32"/>
          <w:lang w:eastAsia="zh-CN"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（二）基本支出和使用情况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1.基本支出和使用情况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bidi="ar"/>
        </w:rPr>
      </w:pPr>
      <w:r>
        <w:rPr>
          <w:rStyle w:val="10"/>
          <w:rFonts w:hint="eastAsia" w:ascii="仿宋_GB2312" w:hAnsi="仿宋_GB2312" w:eastAsia="仿宋_GB2312" w:cs="仿宋_GB2312"/>
          <w:b w:val="0"/>
          <w:color w:val="auto"/>
          <w:sz w:val="32"/>
          <w:szCs w:val="32"/>
          <w:highlight w:val="none"/>
          <w:lang w:eastAsia="zh-CN" w:bidi="ar"/>
        </w:rPr>
        <w:t>2021</w:t>
      </w:r>
      <w:r>
        <w:rPr>
          <w:rStyle w:val="10"/>
          <w:rFonts w:hint="eastAsia" w:ascii="仿宋_GB2312" w:hAnsi="仿宋_GB2312" w:eastAsia="仿宋_GB2312" w:cs="仿宋_GB2312"/>
          <w:b w:val="0"/>
          <w:color w:val="auto"/>
          <w:sz w:val="32"/>
          <w:szCs w:val="32"/>
          <w:highlight w:val="none"/>
          <w:lang w:bidi="ar"/>
        </w:rPr>
        <w:t>年</w:t>
      </w:r>
      <w:r>
        <w:rPr>
          <w:rStyle w:val="10"/>
          <w:rFonts w:hint="eastAsia" w:ascii="仿宋_GB2312" w:hAnsi="仿宋_GB2312" w:eastAsia="仿宋_GB2312" w:cs="仿宋_GB2312"/>
          <w:b w:val="0"/>
          <w:color w:val="auto"/>
          <w:sz w:val="32"/>
          <w:szCs w:val="32"/>
          <w:highlight w:val="none"/>
          <w:lang w:val="en-US" w:eastAsia="zh-CN" w:bidi="ar"/>
        </w:rPr>
        <w:t>本单位</w:t>
      </w:r>
      <w:r>
        <w:rPr>
          <w:rStyle w:val="10"/>
          <w:rFonts w:hint="eastAsia" w:ascii="仿宋_GB2312" w:hAnsi="仿宋_GB2312" w:eastAsia="仿宋_GB2312" w:cs="仿宋_GB2312"/>
          <w:b w:val="0"/>
          <w:color w:val="auto"/>
          <w:sz w:val="32"/>
          <w:szCs w:val="32"/>
          <w:highlight w:val="none"/>
          <w:lang w:bidi="ar"/>
        </w:rPr>
        <w:t>基本支出</w:t>
      </w:r>
      <w:r>
        <w:rPr>
          <w:rStyle w:val="10"/>
          <w:rFonts w:hint="eastAsia" w:ascii="仿宋_GB2312" w:hAnsi="仿宋_GB2312" w:eastAsia="仿宋_GB2312" w:cs="仿宋_GB2312"/>
          <w:b w:val="0"/>
          <w:color w:val="auto"/>
          <w:sz w:val="32"/>
          <w:szCs w:val="32"/>
          <w:highlight w:val="none"/>
          <w:lang w:val="en-US" w:eastAsia="zh-CN" w:bidi="ar"/>
        </w:rPr>
        <w:t>全年</w:t>
      </w:r>
      <w:r>
        <w:rPr>
          <w:rStyle w:val="10"/>
          <w:rFonts w:hint="eastAsia" w:ascii="仿宋_GB2312" w:hAnsi="仿宋_GB2312" w:eastAsia="仿宋_GB2312" w:cs="仿宋_GB2312"/>
          <w:b w:val="0"/>
          <w:color w:val="auto"/>
          <w:sz w:val="32"/>
          <w:szCs w:val="32"/>
          <w:highlight w:val="none"/>
          <w:lang w:bidi="ar"/>
        </w:rPr>
        <w:t>预算总额</w:t>
      </w:r>
      <w:r>
        <w:rPr>
          <w:rStyle w:val="10"/>
          <w:rFonts w:hint="eastAsia" w:ascii="仿宋_GB2312" w:hAnsi="仿宋_GB2312" w:eastAsia="仿宋_GB2312" w:cs="仿宋_GB2312"/>
          <w:b w:val="0"/>
          <w:color w:val="auto"/>
          <w:sz w:val="32"/>
          <w:szCs w:val="32"/>
          <w:highlight w:val="none"/>
          <w:lang w:val="en-US" w:eastAsia="zh-CN" w:bidi="ar"/>
        </w:rPr>
        <w:t>3860.48</w:t>
      </w:r>
      <w:r>
        <w:rPr>
          <w:rStyle w:val="10"/>
          <w:rFonts w:hint="eastAsia" w:ascii="仿宋_GB2312" w:hAnsi="仿宋_GB2312" w:eastAsia="仿宋_GB2312" w:cs="仿宋_GB2312"/>
          <w:b w:val="0"/>
          <w:color w:val="auto"/>
          <w:sz w:val="32"/>
          <w:szCs w:val="32"/>
          <w:highlight w:val="none"/>
          <w:lang w:bidi="ar"/>
        </w:rPr>
        <w:t>万元，其中</w:t>
      </w:r>
      <w:r>
        <w:rPr>
          <w:rStyle w:val="10"/>
          <w:rFonts w:hint="eastAsia" w:ascii="仿宋_GB2312" w:hAnsi="仿宋_GB2312" w:eastAsia="仿宋_GB2312" w:cs="仿宋_GB2312"/>
          <w:b w:val="0"/>
          <w:color w:val="auto"/>
          <w:sz w:val="32"/>
          <w:szCs w:val="32"/>
          <w:highlight w:val="none"/>
          <w:lang w:eastAsia="zh-CN" w:bidi="ar"/>
        </w:rPr>
        <w:t>：</w:t>
      </w:r>
      <w:r>
        <w:rPr>
          <w:rStyle w:val="10"/>
          <w:rFonts w:hint="eastAsia" w:ascii="仿宋_GB2312" w:hAnsi="仿宋_GB2312" w:eastAsia="仿宋_GB2312" w:cs="仿宋_GB2312"/>
          <w:b w:val="0"/>
          <w:color w:val="auto"/>
          <w:sz w:val="32"/>
          <w:szCs w:val="32"/>
          <w:highlight w:val="none"/>
          <w:lang w:bidi="ar"/>
        </w:rPr>
        <w:t>人员经费</w:t>
      </w:r>
      <w:r>
        <w:rPr>
          <w:rStyle w:val="10"/>
          <w:rFonts w:hint="eastAsia" w:ascii="仿宋_GB2312" w:hAnsi="仿宋_GB2312" w:eastAsia="仿宋_GB2312" w:cs="仿宋_GB2312"/>
          <w:b w:val="0"/>
          <w:color w:val="auto"/>
          <w:sz w:val="32"/>
          <w:szCs w:val="32"/>
          <w:highlight w:val="none"/>
          <w:lang w:val="en-US" w:eastAsia="zh-CN" w:bidi="ar"/>
        </w:rPr>
        <w:t>3837.89</w:t>
      </w:r>
      <w:r>
        <w:rPr>
          <w:rStyle w:val="10"/>
          <w:rFonts w:hint="eastAsia" w:ascii="仿宋_GB2312" w:hAnsi="仿宋_GB2312" w:eastAsia="仿宋_GB2312" w:cs="仿宋_GB2312"/>
          <w:b w:val="0"/>
          <w:color w:val="auto"/>
          <w:sz w:val="32"/>
          <w:szCs w:val="32"/>
          <w:highlight w:val="none"/>
          <w:lang w:bidi="ar"/>
        </w:rPr>
        <w:t>万元，公用经费</w:t>
      </w:r>
      <w:r>
        <w:rPr>
          <w:rStyle w:val="10"/>
          <w:rFonts w:hint="eastAsia" w:ascii="仿宋_GB2312" w:hAnsi="仿宋_GB2312" w:eastAsia="仿宋_GB2312" w:cs="仿宋_GB2312"/>
          <w:b w:val="0"/>
          <w:color w:val="auto"/>
          <w:sz w:val="32"/>
          <w:szCs w:val="32"/>
          <w:highlight w:val="none"/>
          <w:lang w:val="en-US" w:eastAsia="zh-CN" w:bidi="ar"/>
        </w:rPr>
        <w:t>22.59</w:t>
      </w:r>
      <w:r>
        <w:rPr>
          <w:rStyle w:val="10"/>
          <w:rFonts w:hint="eastAsia" w:ascii="仿宋_GB2312" w:hAnsi="仿宋_GB2312" w:eastAsia="仿宋_GB2312" w:cs="仿宋_GB2312"/>
          <w:b w:val="0"/>
          <w:color w:val="auto"/>
          <w:sz w:val="32"/>
          <w:szCs w:val="32"/>
          <w:highlight w:val="none"/>
          <w:lang w:bidi="ar"/>
        </w:rPr>
        <w:t>万元。实际支出</w:t>
      </w:r>
      <w:r>
        <w:rPr>
          <w:rStyle w:val="10"/>
          <w:rFonts w:hint="eastAsia" w:ascii="仿宋_GB2312" w:hAnsi="仿宋_GB2312" w:eastAsia="仿宋_GB2312" w:cs="仿宋_GB2312"/>
          <w:b w:val="0"/>
          <w:color w:val="auto"/>
          <w:sz w:val="32"/>
          <w:szCs w:val="32"/>
          <w:highlight w:val="none"/>
          <w:lang w:val="en-US" w:eastAsia="zh-CN" w:bidi="ar"/>
        </w:rPr>
        <w:t>3860.48</w:t>
      </w:r>
      <w:r>
        <w:rPr>
          <w:rStyle w:val="10"/>
          <w:rFonts w:hint="eastAsia" w:ascii="仿宋_GB2312" w:hAnsi="仿宋_GB2312" w:eastAsia="仿宋_GB2312" w:cs="仿宋_GB2312"/>
          <w:b w:val="0"/>
          <w:color w:val="auto"/>
          <w:sz w:val="32"/>
          <w:szCs w:val="32"/>
          <w:highlight w:val="none"/>
          <w:lang w:bidi="ar"/>
        </w:rPr>
        <w:t>万元，</w:t>
      </w:r>
      <w:r>
        <w:rPr>
          <w:rStyle w:val="10"/>
          <w:rFonts w:hint="eastAsia" w:ascii="仿宋_GB2312" w:hAnsi="仿宋_GB2312" w:eastAsia="仿宋_GB2312" w:cs="仿宋_GB2312"/>
          <w:b w:val="0"/>
          <w:color w:val="auto"/>
          <w:sz w:val="32"/>
          <w:szCs w:val="32"/>
          <w:highlight w:val="none"/>
          <w:lang w:val="en-US" w:eastAsia="zh-CN" w:bidi="ar"/>
        </w:rPr>
        <w:t>基本支出</w:t>
      </w:r>
      <w:r>
        <w:rPr>
          <w:rStyle w:val="10"/>
          <w:rFonts w:hint="eastAsia" w:ascii="仿宋_GB2312" w:hAnsi="仿宋_GB2312" w:eastAsia="仿宋_GB2312" w:cs="仿宋_GB2312"/>
          <w:b w:val="0"/>
          <w:color w:val="auto"/>
          <w:sz w:val="32"/>
          <w:szCs w:val="32"/>
          <w:highlight w:val="none"/>
          <w:lang w:bidi="ar"/>
        </w:rPr>
        <w:t>预算执行率</w:t>
      </w:r>
      <w:r>
        <w:rPr>
          <w:rStyle w:val="10"/>
          <w:rFonts w:hint="eastAsia" w:ascii="仿宋_GB2312" w:hAnsi="仿宋_GB2312" w:eastAsia="仿宋_GB2312" w:cs="仿宋_GB2312"/>
          <w:b w:val="0"/>
          <w:color w:val="auto"/>
          <w:sz w:val="32"/>
          <w:szCs w:val="32"/>
          <w:highlight w:val="none"/>
          <w:lang w:val="en-US" w:eastAsia="zh-CN" w:bidi="ar"/>
        </w:rPr>
        <w:t>100%</w:t>
      </w:r>
      <w:r>
        <w:rPr>
          <w:rStyle w:val="10"/>
          <w:rFonts w:hint="eastAsia" w:ascii="仿宋_GB2312" w:hAnsi="仿宋_GB2312" w:eastAsia="仿宋_GB2312" w:cs="仿宋_GB2312"/>
          <w:b w:val="0"/>
          <w:color w:val="auto"/>
          <w:sz w:val="32"/>
          <w:szCs w:val="32"/>
          <w:highlight w:val="none"/>
          <w:lang w:bidi="ar"/>
        </w:rPr>
        <w:t>。</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eastAsia="zh-CN"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2.三公经费控制情况</w:t>
      </w:r>
    </w:p>
    <w:p>
      <w:pPr>
        <w:pStyle w:val="11"/>
        <w:snapToGrid w:val="0"/>
        <w:spacing w:line="540" w:lineRule="exact"/>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eastAsia="zh-CN" w:bidi="ar"/>
        </w:rPr>
        <w:t>我单位坚决贯彻落实中央、自治区、</w:t>
      </w:r>
      <w:r>
        <w:rPr>
          <w:rFonts w:hint="eastAsia" w:ascii="仿宋" w:hAnsi="仿宋" w:eastAsia="仿宋" w:cs="宋体"/>
          <w:bCs/>
          <w:color w:val="333333"/>
          <w:sz w:val="32"/>
          <w:szCs w:val="32"/>
          <w:lang w:val="en-US" w:eastAsia="zh-CN" w:bidi="ar"/>
        </w:rPr>
        <w:t>阿克陶</w:t>
      </w:r>
      <w:r>
        <w:rPr>
          <w:rFonts w:hint="eastAsia" w:ascii="仿宋" w:hAnsi="仿宋" w:eastAsia="仿宋" w:cs="宋体"/>
          <w:bCs/>
          <w:color w:val="333333"/>
          <w:sz w:val="32"/>
          <w:szCs w:val="32"/>
          <w:lang w:val="en-US" w:eastAsia="zh-Hans" w:bidi="ar"/>
        </w:rPr>
        <w:t>县</w:t>
      </w:r>
      <w:r>
        <w:rPr>
          <w:rFonts w:hint="eastAsia" w:ascii="仿宋" w:hAnsi="仿宋" w:eastAsia="仿宋" w:cs="宋体"/>
          <w:bCs/>
          <w:color w:val="333333"/>
          <w:sz w:val="32"/>
          <w:szCs w:val="32"/>
          <w:lang w:eastAsia="zh-CN" w:bidi="ar"/>
        </w:rPr>
        <w:t>厉行勤俭办公的工作要求，提倡本单位全体干部职工，勤俭节约，切实降低行政运行成本，确保每年“三公经费”只减不增。202</w:t>
      </w: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年“三公经费”预算为</w:t>
      </w:r>
      <w:r>
        <w:rPr>
          <w:rFonts w:hint="eastAsia" w:ascii="仿宋" w:hAnsi="仿宋" w:eastAsia="仿宋" w:cs="宋体"/>
          <w:bCs/>
          <w:color w:val="333333"/>
          <w:sz w:val="32"/>
          <w:szCs w:val="32"/>
          <w:lang w:val="en-US" w:eastAsia="zh-CN" w:bidi="ar"/>
        </w:rPr>
        <w:t>4.67</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2.11</w:t>
      </w:r>
      <w:r>
        <w:rPr>
          <w:rFonts w:hint="eastAsia" w:ascii="仿宋" w:hAnsi="仿宋" w:eastAsia="仿宋" w:cs="宋体"/>
          <w:bCs/>
          <w:color w:val="333333"/>
          <w:sz w:val="32"/>
          <w:szCs w:val="32"/>
          <w:lang w:eastAsia="zh-CN" w:bidi="ar"/>
        </w:rPr>
        <w:t>万元，“三公经费”控制率为</w:t>
      </w:r>
      <w:r>
        <w:rPr>
          <w:rFonts w:hint="eastAsia" w:ascii="仿宋" w:hAnsi="仿宋" w:eastAsia="仿宋" w:cs="宋体"/>
          <w:bCs/>
          <w:color w:val="333333"/>
          <w:sz w:val="32"/>
          <w:szCs w:val="32"/>
          <w:lang w:val="en-US" w:eastAsia="zh-CN" w:bidi="ar"/>
        </w:rPr>
        <w:t>45.18</w:t>
      </w:r>
      <w:r>
        <w:rPr>
          <w:rFonts w:hint="eastAsia" w:ascii="仿宋" w:hAnsi="仿宋" w:eastAsia="仿宋" w:cs="宋体"/>
          <w:bCs/>
          <w:color w:val="333333"/>
          <w:sz w:val="32"/>
          <w:szCs w:val="32"/>
          <w:lang w:eastAsia="zh-CN" w:bidi="ar"/>
        </w:rPr>
        <w:t>%，其中：因公出国（境）费预算为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万元；公务接待费预算为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万元；公务用车购置费预算为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万元；公务用车运行维护费预算为</w:t>
      </w:r>
      <w:r>
        <w:rPr>
          <w:rFonts w:hint="eastAsia" w:ascii="仿宋" w:hAnsi="仿宋" w:eastAsia="仿宋" w:cs="宋体"/>
          <w:bCs/>
          <w:color w:val="333333"/>
          <w:sz w:val="32"/>
          <w:szCs w:val="32"/>
          <w:lang w:val="en-US" w:eastAsia="zh-CN" w:bidi="ar"/>
        </w:rPr>
        <w:t>4.67</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2.11</w:t>
      </w:r>
      <w:r>
        <w:rPr>
          <w:rFonts w:hint="eastAsia" w:ascii="仿宋" w:hAnsi="仿宋" w:eastAsia="仿宋" w:cs="宋体"/>
          <w:bCs/>
          <w:color w:val="333333"/>
          <w:sz w:val="32"/>
          <w:szCs w:val="32"/>
          <w:lang w:eastAsia="zh-CN" w:bidi="ar"/>
        </w:rPr>
        <w:t>万元，公务用车运行维护费控制率</w:t>
      </w:r>
      <w:r>
        <w:rPr>
          <w:rFonts w:hint="eastAsia" w:ascii="仿宋" w:hAnsi="仿宋" w:eastAsia="仿宋" w:cs="宋体"/>
          <w:bCs/>
          <w:color w:val="333333"/>
          <w:sz w:val="32"/>
          <w:szCs w:val="32"/>
          <w:lang w:val="en-US" w:eastAsia="zh-CN" w:bidi="ar"/>
        </w:rPr>
        <w:t>45.18</w:t>
      </w:r>
      <w:r>
        <w:rPr>
          <w:rFonts w:hint="eastAsia" w:ascii="仿宋" w:hAnsi="仿宋" w:eastAsia="仿宋" w:cs="宋体"/>
          <w:bCs/>
          <w:color w:val="333333"/>
          <w:sz w:val="32"/>
          <w:szCs w:val="32"/>
          <w:lang w:eastAsia="zh-CN" w:bidi="ar"/>
        </w:rPr>
        <w:t>%，符合财政部门本年预算要求和相关管理制度要求。</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（三）专项支出管理和使用情况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bidi="ar"/>
        </w:rPr>
      </w:pPr>
      <w:r>
        <w:rPr>
          <w:rStyle w:val="10"/>
          <w:rFonts w:hint="eastAsia" w:ascii="仿宋_GB2312" w:hAnsi="仿宋_GB2312" w:eastAsia="仿宋_GB2312" w:cs="仿宋_GB2312"/>
          <w:b w:val="0"/>
          <w:color w:val="auto"/>
          <w:sz w:val="32"/>
          <w:szCs w:val="32"/>
          <w:highlight w:val="none"/>
          <w:lang w:bidi="ar"/>
        </w:rPr>
        <w:t>专项资金的使用符合国家法规和财务管理制度，专项资金拨付有完整的审批程序和手续，符合项目预算批复或合同规定的用途，不存在截留、挤占、挪用、虚列支出等情况。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eastAsia="zh-CN" w:bidi="ar"/>
        </w:rPr>
        <w:t>2021</w:t>
      </w:r>
      <w:r>
        <w:rPr>
          <w:rStyle w:val="10"/>
          <w:rFonts w:hint="eastAsia" w:ascii="仿宋_GB2312" w:hAnsi="仿宋_GB2312" w:eastAsia="仿宋_GB2312" w:cs="仿宋_GB2312"/>
          <w:b w:val="0"/>
          <w:color w:val="auto"/>
          <w:sz w:val="32"/>
          <w:szCs w:val="32"/>
          <w:highlight w:val="none"/>
          <w:lang w:bidi="ar"/>
        </w:rPr>
        <w:t>年</w:t>
      </w:r>
      <w:r>
        <w:rPr>
          <w:rStyle w:val="10"/>
          <w:rFonts w:hint="eastAsia" w:ascii="仿宋_GB2312" w:hAnsi="仿宋_GB2312" w:eastAsia="仿宋_GB2312" w:cs="仿宋_GB2312"/>
          <w:b w:val="0"/>
          <w:color w:val="auto"/>
          <w:sz w:val="32"/>
          <w:szCs w:val="32"/>
          <w:highlight w:val="none"/>
          <w:lang w:val="en-US" w:eastAsia="zh-CN" w:bidi="ar"/>
        </w:rPr>
        <w:t>本单位安排</w:t>
      </w:r>
      <w:r>
        <w:rPr>
          <w:rStyle w:val="10"/>
          <w:rFonts w:hint="eastAsia" w:ascii="仿宋_GB2312" w:hAnsi="仿宋_GB2312" w:eastAsia="仿宋_GB2312" w:cs="仿宋_GB2312"/>
          <w:b w:val="0"/>
          <w:color w:val="auto"/>
          <w:sz w:val="32"/>
          <w:szCs w:val="32"/>
          <w:highlight w:val="none"/>
          <w:lang w:bidi="ar"/>
        </w:rPr>
        <w:t>专项支出预算总额</w:t>
      </w:r>
      <w:r>
        <w:rPr>
          <w:rStyle w:val="10"/>
          <w:rFonts w:hint="eastAsia" w:ascii="仿宋_GB2312" w:hAnsi="仿宋_GB2312" w:eastAsia="仿宋_GB2312" w:cs="仿宋_GB2312"/>
          <w:b w:val="0"/>
          <w:color w:val="auto"/>
          <w:sz w:val="32"/>
          <w:szCs w:val="32"/>
          <w:highlight w:val="none"/>
          <w:lang w:val="en-US" w:eastAsia="zh-CN" w:bidi="ar"/>
        </w:rPr>
        <w:t>9739.35</w:t>
      </w:r>
      <w:r>
        <w:rPr>
          <w:rStyle w:val="10"/>
          <w:rFonts w:hint="eastAsia" w:ascii="仿宋_GB2312" w:hAnsi="仿宋_GB2312" w:eastAsia="仿宋_GB2312" w:cs="仿宋_GB2312"/>
          <w:b w:val="0"/>
          <w:color w:val="auto"/>
          <w:sz w:val="32"/>
          <w:szCs w:val="32"/>
          <w:highlight w:val="none"/>
          <w:lang w:bidi="ar"/>
        </w:rPr>
        <w:t>万元，实际支出</w:t>
      </w:r>
      <w:r>
        <w:rPr>
          <w:rStyle w:val="10"/>
          <w:rFonts w:hint="eastAsia" w:ascii="仿宋_GB2312" w:hAnsi="仿宋_GB2312" w:eastAsia="仿宋_GB2312" w:cs="仿宋_GB2312"/>
          <w:b w:val="0"/>
          <w:color w:val="auto"/>
          <w:sz w:val="32"/>
          <w:szCs w:val="32"/>
          <w:highlight w:val="none"/>
          <w:lang w:val="en-US" w:eastAsia="zh-CN" w:bidi="ar"/>
        </w:rPr>
        <w:t>9739.35</w:t>
      </w:r>
      <w:r>
        <w:rPr>
          <w:rStyle w:val="10"/>
          <w:rFonts w:hint="eastAsia" w:ascii="仿宋_GB2312" w:hAnsi="仿宋_GB2312" w:eastAsia="仿宋_GB2312" w:cs="仿宋_GB2312"/>
          <w:b w:val="0"/>
          <w:color w:val="auto"/>
          <w:sz w:val="32"/>
          <w:szCs w:val="32"/>
          <w:highlight w:val="none"/>
          <w:lang w:bidi="ar"/>
        </w:rPr>
        <w:t>万元，</w:t>
      </w:r>
      <w:r>
        <w:rPr>
          <w:rStyle w:val="10"/>
          <w:rFonts w:hint="eastAsia" w:ascii="仿宋_GB2312" w:hAnsi="仿宋_GB2312" w:eastAsia="仿宋_GB2312" w:cs="仿宋_GB2312"/>
          <w:b w:val="0"/>
          <w:color w:val="auto"/>
          <w:sz w:val="32"/>
          <w:szCs w:val="32"/>
          <w:highlight w:val="none"/>
          <w:lang w:val="en-US" w:eastAsia="zh-CN" w:bidi="ar"/>
        </w:rPr>
        <w:t>专项支出</w:t>
      </w:r>
      <w:r>
        <w:rPr>
          <w:rStyle w:val="10"/>
          <w:rFonts w:hint="eastAsia" w:ascii="仿宋_GB2312" w:hAnsi="仿宋_GB2312" w:eastAsia="仿宋_GB2312" w:cs="仿宋_GB2312"/>
          <w:b w:val="0"/>
          <w:color w:val="auto"/>
          <w:sz w:val="32"/>
          <w:szCs w:val="32"/>
          <w:highlight w:val="none"/>
          <w:lang w:bidi="ar"/>
        </w:rPr>
        <w:t>预算执行率</w:t>
      </w:r>
      <w:r>
        <w:rPr>
          <w:rStyle w:val="10"/>
          <w:rFonts w:hint="eastAsia" w:ascii="仿宋_GB2312" w:hAnsi="仿宋_GB2312" w:eastAsia="仿宋_GB2312" w:cs="仿宋_GB2312"/>
          <w:b w:val="0"/>
          <w:color w:val="auto"/>
          <w:sz w:val="32"/>
          <w:szCs w:val="32"/>
          <w:highlight w:val="none"/>
          <w:lang w:val="en-US" w:eastAsia="zh-CN" w:bidi="ar"/>
        </w:rPr>
        <w:t>100%</w:t>
      </w:r>
      <w:r>
        <w:rPr>
          <w:rStyle w:val="10"/>
          <w:rFonts w:hint="eastAsia" w:ascii="仿宋_GB2312" w:hAnsi="仿宋_GB2312" w:eastAsia="仿宋_GB2312" w:cs="仿宋_GB2312"/>
          <w:b w:val="0"/>
          <w:color w:val="auto"/>
          <w:sz w:val="32"/>
          <w:szCs w:val="32"/>
          <w:highlight w:val="none"/>
          <w:lang w:bidi="ar"/>
        </w:rPr>
        <w:t>。</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eastAsia="zh-CN" w:bidi="ar"/>
        </w:rPr>
        <w:t>2021</w:t>
      </w:r>
      <w:r>
        <w:rPr>
          <w:rStyle w:val="10"/>
          <w:rFonts w:hint="eastAsia" w:ascii="仿宋_GB2312" w:hAnsi="仿宋_GB2312" w:eastAsia="仿宋_GB2312" w:cs="仿宋_GB2312"/>
          <w:b w:val="0"/>
          <w:color w:val="auto"/>
          <w:sz w:val="32"/>
          <w:szCs w:val="32"/>
          <w:highlight w:val="none"/>
          <w:lang w:bidi="ar"/>
        </w:rPr>
        <w:t>年</w:t>
      </w:r>
      <w:r>
        <w:rPr>
          <w:rStyle w:val="10"/>
          <w:rFonts w:hint="eastAsia" w:ascii="仿宋_GB2312" w:hAnsi="仿宋_GB2312" w:eastAsia="仿宋_GB2312" w:cs="仿宋_GB2312"/>
          <w:b w:val="0"/>
          <w:color w:val="auto"/>
          <w:sz w:val="32"/>
          <w:szCs w:val="32"/>
          <w:highlight w:val="none"/>
          <w:lang w:val="en-US" w:eastAsia="zh-CN" w:bidi="ar"/>
        </w:rPr>
        <w:t>本单位</w:t>
      </w:r>
      <w:r>
        <w:rPr>
          <w:rStyle w:val="10"/>
          <w:rFonts w:hint="eastAsia" w:ascii="仿宋_GB2312" w:hAnsi="仿宋_GB2312" w:eastAsia="仿宋_GB2312" w:cs="仿宋_GB2312"/>
          <w:b w:val="0"/>
          <w:color w:val="auto"/>
          <w:sz w:val="32"/>
          <w:szCs w:val="32"/>
          <w:highlight w:val="none"/>
          <w:lang w:bidi="ar"/>
        </w:rPr>
        <w:t>共有</w:t>
      </w:r>
      <w:r>
        <w:rPr>
          <w:rStyle w:val="10"/>
          <w:rFonts w:hint="eastAsia" w:ascii="仿宋_GB2312" w:hAnsi="仿宋_GB2312" w:eastAsia="仿宋_GB2312" w:cs="仿宋_GB2312"/>
          <w:b w:val="0"/>
          <w:color w:val="auto"/>
          <w:sz w:val="32"/>
          <w:szCs w:val="32"/>
          <w:highlight w:val="none"/>
          <w:lang w:val="en-US" w:eastAsia="zh-CN" w:bidi="ar"/>
        </w:rPr>
        <w:t>11</w:t>
      </w:r>
      <w:r>
        <w:rPr>
          <w:rStyle w:val="10"/>
          <w:rFonts w:hint="eastAsia" w:ascii="仿宋_GB2312" w:hAnsi="仿宋_GB2312" w:eastAsia="仿宋_GB2312" w:cs="仿宋_GB2312"/>
          <w:b w:val="0"/>
          <w:color w:val="auto"/>
          <w:sz w:val="32"/>
          <w:szCs w:val="32"/>
          <w:highlight w:val="none"/>
          <w:lang w:bidi="ar"/>
        </w:rPr>
        <w:t>个资金项目，其中</w:t>
      </w:r>
      <w:r>
        <w:rPr>
          <w:rStyle w:val="10"/>
          <w:rFonts w:hint="eastAsia" w:ascii="仿宋_GB2312" w:hAnsi="仿宋_GB2312" w:eastAsia="仿宋_GB2312" w:cs="仿宋_GB2312"/>
          <w:b w:val="0"/>
          <w:color w:val="auto"/>
          <w:sz w:val="32"/>
          <w:szCs w:val="32"/>
          <w:highlight w:val="none"/>
          <w:lang w:val="en-US" w:eastAsia="zh-CN" w:bidi="ar"/>
        </w:rPr>
        <w:t>11</w:t>
      </w:r>
      <w:r>
        <w:rPr>
          <w:rStyle w:val="10"/>
          <w:rFonts w:hint="eastAsia" w:ascii="仿宋_GB2312" w:hAnsi="仿宋_GB2312" w:eastAsia="仿宋_GB2312" w:cs="仿宋_GB2312"/>
          <w:b w:val="0"/>
          <w:color w:val="auto"/>
          <w:sz w:val="32"/>
          <w:szCs w:val="32"/>
          <w:highlight w:val="none"/>
          <w:lang w:bidi="ar"/>
        </w:rPr>
        <w:t>个属经常性项目、</w:t>
      </w:r>
      <w:r>
        <w:rPr>
          <w:rStyle w:val="10"/>
          <w:rFonts w:hint="eastAsia" w:ascii="仿宋_GB2312" w:hAnsi="仿宋_GB2312" w:eastAsia="仿宋_GB2312" w:cs="仿宋_GB2312"/>
          <w:b w:val="0"/>
          <w:color w:val="auto"/>
          <w:sz w:val="32"/>
          <w:szCs w:val="32"/>
          <w:highlight w:val="none"/>
          <w:lang w:val="en-US" w:eastAsia="zh-CN" w:bidi="ar"/>
        </w:rPr>
        <w:t>0</w:t>
      </w:r>
      <w:r>
        <w:rPr>
          <w:rStyle w:val="10"/>
          <w:rFonts w:hint="eastAsia" w:ascii="仿宋_GB2312" w:hAnsi="仿宋_GB2312" w:eastAsia="仿宋_GB2312" w:cs="仿宋_GB2312"/>
          <w:b w:val="0"/>
          <w:color w:val="auto"/>
          <w:sz w:val="32"/>
          <w:szCs w:val="32"/>
          <w:highlight w:val="none"/>
          <w:lang w:bidi="ar"/>
        </w:rPr>
        <w:t>个属当年度新增项目，已完成项目</w:t>
      </w:r>
      <w:r>
        <w:rPr>
          <w:rStyle w:val="10"/>
          <w:rFonts w:hint="eastAsia" w:ascii="仿宋_GB2312" w:hAnsi="仿宋_GB2312" w:eastAsia="仿宋_GB2312" w:cs="仿宋_GB2312"/>
          <w:b w:val="0"/>
          <w:color w:val="auto"/>
          <w:sz w:val="32"/>
          <w:szCs w:val="32"/>
          <w:highlight w:val="none"/>
          <w:lang w:val="en-US" w:eastAsia="zh-CN" w:bidi="ar"/>
        </w:rPr>
        <w:t>6</w:t>
      </w:r>
      <w:r>
        <w:rPr>
          <w:rStyle w:val="10"/>
          <w:rFonts w:hint="eastAsia" w:ascii="仿宋_GB2312" w:hAnsi="仿宋_GB2312" w:eastAsia="仿宋_GB2312" w:cs="仿宋_GB2312"/>
          <w:b w:val="0"/>
          <w:color w:val="auto"/>
          <w:sz w:val="32"/>
          <w:szCs w:val="32"/>
          <w:highlight w:val="none"/>
          <w:lang w:bidi="ar"/>
        </w:rPr>
        <w:t>个、未完成项目</w:t>
      </w:r>
      <w:r>
        <w:rPr>
          <w:rStyle w:val="10"/>
          <w:rFonts w:hint="eastAsia" w:ascii="仿宋_GB2312" w:hAnsi="仿宋_GB2312" w:eastAsia="仿宋_GB2312" w:cs="仿宋_GB2312"/>
          <w:b w:val="0"/>
          <w:color w:val="auto"/>
          <w:sz w:val="32"/>
          <w:szCs w:val="32"/>
          <w:highlight w:val="none"/>
          <w:lang w:val="en-US" w:eastAsia="zh-CN" w:bidi="ar"/>
        </w:rPr>
        <w:t>5</w:t>
      </w:r>
      <w:r>
        <w:rPr>
          <w:rStyle w:val="10"/>
          <w:rFonts w:hint="eastAsia" w:ascii="仿宋_GB2312" w:hAnsi="仿宋_GB2312" w:eastAsia="仿宋_GB2312" w:cs="仿宋_GB2312"/>
          <w:b w:val="0"/>
          <w:color w:val="auto"/>
          <w:sz w:val="32"/>
          <w:szCs w:val="32"/>
          <w:highlight w:val="none"/>
          <w:lang w:bidi="ar"/>
        </w:rPr>
        <w:t>个。</w:t>
      </w:r>
    </w:p>
    <w:p>
      <w:pPr>
        <w:keepNext w:val="0"/>
        <w:keepLines w:val="0"/>
        <w:pageBreakBefore w:val="0"/>
        <w:widowControl w:val="0"/>
        <w:kinsoku/>
        <w:wordWrap/>
        <w:overflowPunct/>
        <w:topLinePunct w:val="0"/>
        <w:autoSpaceDE/>
        <w:autoSpaceDN/>
        <w:bidi w:val="0"/>
        <w:adjustRightInd/>
        <w:snapToGrid w:val="0"/>
        <w:spacing w:line="540" w:lineRule="exact"/>
        <w:ind w:left="648"/>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3" w:name="_Toc1734_WPSOffice_Level1"/>
      <w:r>
        <w:rPr>
          <w:rFonts w:hint="eastAsia" w:ascii="仿宋_GB2312" w:hAnsi="仿宋_GB2312" w:eastAsia="仿宋_GB2312" w:cs="仿宋_GB2312"/>
          <w:b/>
          <w:bCs w:val="0"/>
          <w:color w:val="333333"/>
          <w:sz w:val="32"/>
          <w:szCs w:val="32"/>
          <w:highlight w:val="none"/>
          <w:lang w:bidi="ar"/>
        </w:rPr>
        <w:t>三、部门单位专项组织实施情况</w:t>
      </w:r>
      <w:bookmarkEnd w:id="3"/>
    </w:p>
    <w:p>
      <w:pPr>
        <w:ind w:firstLine="640" w:firstLineChars="200"/>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本年我单位供实施11个项目，金额11439.56万元，分别为2021年顶岗实习生生活补助及往返路费项目，173.2万元；2021年教育局972名保安厨师项目，2587.95万元；2021年考务经费项目，27万元，教育附加费项目，1023.1万元；2021年教师培训预算经费项目，438.41万元，援疆资金项目项目，3292.6万元；雨露计划项目，1442.4万元，巴仁乡古勒巴格小学运动场建设项目占用林地罚款项目，6.76万元，特岗教师工资保障项目项目，337.58万元，中小学保安工资保障项目项目，657.09万元，南疆四地州乡村教师补助保障项目项目，1453.47万元；</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bCs w:val="0"/>
          <w:spacing w:val="-4"/>
          <w:sz w:val="32"/>
          <w:szCs w:val="32"/>
          <w:highlight w:val="none"/>
          <w:lang w:val="en-US" w:eastAsia="zh-CN"/>
        </w:rPr>
      </w:pPr>
      <w:r>
        <w:rPr>
          <w:rStyle w:val="10"/>
          <w:rFonts w:hint="eastAsia" w:ascii="仿宋_GB2312" w:hAnsi="仿宋_GB2312" w:eastAsia="仿宋_GB2312" w:cs="仿宋_GB2312"/>
          <w:b w:val="0"/>
          <w:color w:val="auto"/>
          <w:sz w:val="32"/>
          <w:szCs w:val="32"/>
          <w:highlight w:val="none"/>
          <w:lang w:val="en-US" w:eastAsia="zh-CN" w:bidi="ar"/>
        </w:rPr>
        <w:t>本年我单位实施专项项目11个，涉及金额11439.56万元，其中：中央专项项目4个涉及金额3890.54万元，援疆专项项目1个涉及金额3292.6万元，地区本级专项项目6个涉及金额4256.42万元，</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val="0"/>
          <w:spacing w:val="-4"/>
          <w:sz w:val="32"/>
          <w:szCs w:val="32"/>
          <w:highlight w:val="none"/>
          <w:lang w:val="en-US" w:eastAsia="zh-CN"/>
        </w:rPr>
        <w:t>（一）阿克陶县教育局项目专项组织情况分析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1.前期准备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我单位成立专项支出绩效评价小组，</w:t>
      </w:r>
      <w:r>
        <w:rPr>
          <w:rStyle w:val="10"/>
          <w:rFonts w:hint="eastAsia" w:ascii="仿宋_GB2312" w:hAnsi="仿宋_GB2312" w:eastAsia="仿宋_GB2312" w:cs="仿宋_GB2312"/>
          <w:b w:val="0"/>
          <w:color w:val="auto"/>
          <w:sz w:val="32"/>
          <w:szCs w:val="32"/>
          <w:highlight w:val="none"/>
          <w:lang w:eastAsia="zh-CN" w:bidi="ar"/>
        </w:rPr>
        <w:t>成员如下：</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阿布都乃比·阿布都热依木</w:t>
      </w:r>
      <w:r>
        <w:rPr>
          <w:rStyle w:val="10"/>
          <w:rFonts w:hint="eastAsia" w:ascii="仿宋_GB2312" w:hAnsi="仿宋_GB2312" w:eastAsia="仿宋_GB2312" w:cs="仿宋_GB2312"/>
          <w:b w:val="0"/>
          <w:color w:val="auto"/>
          <w:sz w:val="32"/>
          <w:szCs w:val="32"/>
          <w:highlight w:val="none"/>
          <w:lang w:eastAsia="zh-CN" w:bidi="ar"/>
        </w:rPr>
        <w:t>任评价组组长，绩效评价工作职责为负责全盘工作。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闫旭波</w:t>
      </w:r>
      <w:r>
        <w:rPr>
          <w:rStyle w:val="10"/>
          <w:rFonts w:hint="eastAsia" w:ascii="仿宋_GB2312" w:hAnsi="仿宋_GB2312" w:eastAsia="仿宋_GB2312" w:cs="仿宋_GB2312"/>
          <w:b w:val="0"/>
          <w:color w:val="auto"/>
          <w:sz w:val="32"/>
          <w:szCs w:val="32"/>
          <w:highlight w:val="none"/>
          <w:lang w:eastAsia="zh-CN" w:bidi="ar"/>
        </w:rPr>
        <w:t>任评价组副组长，绩效评价工作职责为为对项目实施情况进行实地调查。</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邓欢、曹志昊</w:t>
      </w:r>
      <w:r>
        <w:rPr>
          <w:rStyle w:val="10"/>
          <w:rFonts w:hint="eastAsia" w:ascii="仿宋_GB2312" w:hAnsi="仿宋_GB2312" w:eastAsia="仿宋_GB2312" w:cs="仿宋_GB2312"/>
          <w:b w:val="0"/>
          <w:color w:val="auto"/>
          <w:sz w:val="32"/>
          <w:szCs w:val="32"/>
          <w:highlight w:val="none"/>
          <w:lang w:eastAsia="zh-CN" w:bidi="ar"/>
        </w:rPr>
        <w:t>任评价组成员，绩效评价工作职责为负责资料审核、填报等工作。</w:t>
      </w:r>
      <w:r>
        <w:rPr>
          <w:rStyle w:val="10"/>
          <w:rFonts w:hint="eastAsia" w:ascii="仿宋_GB2312" w:hAnsi="仿宋_GB2312" w:eastAsia="仿宋_GB2312" w:cs="仿宋_GB2312"/>
          <w:b w:val="0"/>
          <w:color w:val="auto"/>
          <w:sz w:val="32"/>
          <w:szCs w:val="32"/>
          <w:highlight w:val="none"/>
          <w:lang w:val="en-US" w:eastAsia="zh-CN" w:bidi="ar"/>
        </w:rPr>
        <w:t>通过与相关成员前期沟通，明确评价目标、识别重要评价事项和履行的评价责任。制定文件清单，了解项目基本情况，确认部门整体的绩效指标，梳理部门内部管理制度，确定当年整体绩效评价重点。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2.组织实施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（二）专项管理情况分析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1.项目资金情况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该项目预算资金6364.56万元，实际到位13599.83万元，实际支出13599.83万元。到位足额及时，预算编制依据充分，预算编制准确，资金不存在截留、挪用，支付审批合规、不存在用途改变、范围超支和虚列项目支出等情况；本项目严格按照《阿克陶县教育局单位财务管理制度》执行项目资金，实行专账核算、逐级审批。认真落实项目资金的使用各项管理制度，确保专款专用，及时拨付到位。</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2.项目实施情况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项目组织情况：</w:t>
      </w:r>
      <w:r>
        <w:rPr>
          <w:rStyle w:val="10"/>
          <w:rFonts w:hint="eastAsia" w:ascii="仿宋_GB2312" w:hAnsi="仿宋_GB2312" w:eastAsia="仿宋_GB2312" w:cs="仿宋_GB2312"/>
          <w:b w:val="0"/>
          <w:bCs w:val="0"/>
          <w:spacing w:val="-4"/>
          <w:sz w:val="32"/>
          <w:szCs w:val="32"/>
          <w:highlight w:val="none"/>
          <w:lang w:val="en-US" w:eastAsia="zh-CN"/>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项目管理情况：</w:t>
      </w:r>
      <w:r>
        <w:rPr>
          <w:rStyle w:val="10"/>
          <w:rFonts w:hint="eastAsia" w:ascii="仿宋_GB2312" w:hAnsi="仿宋_GB2312" w:eastAsia="仿宋_GB2312" w:cs="仿宋_GB2312"/>
          <w:b w:val="0"/>
          <w:bCs w:val="0"/>
          <w:spacing w:val="-4"/>
          <w:sz w:val="32"/>
          <w:szCs w:val="32"/>
          <w:highlight w:val="none"/>
          <w:lang w:val="en-US" w:eastAsia="zh-CN"/>
        </w:rPr>
        <w:t>根据《项目绩效管理办法》及单位相关项目管理制度的规定，对项目的实施进行监督管理。建立健全项目后续各项监督管理制度，确保项目正常运转，长期发挥效益。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项目监管情况：</w:t>
      </w:r>
      <w:r>
        <w:rPr>
          <w:rStyle w:val="10"/>
          <w:rFonts w:hint="eastAsia" w:ascii="仿宋_GB2312" w:hAnsi="仿宋_GB2312" w:eastAsia="仿宋_GB2312" w:cs="仿宋_GB2312"/>
          <w:b w:val="0"/>
          <w:bCs w:val="0"/>
          <w:spacing w:val="-4"/>
          <w:sz w:val="32"/>
          <w:szCs w:val="32"/>
          <w:highlight w:val="none"/>
          <w:lang w:val="en-US" w:eastAsia="zh-CN"/>
        </w:rPr>
        <w:t>不定期对项目进度和质量等进行监督检查，并且组织开展多种形式的监督检查，以加强日常监管为主，自查、随机抽查、专项检查等方式进行。对检查中发现的问题，及时纠正。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3.项目绩效情况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成本控制情况：</w:t>
      </w:r>
      <w:r>
        <w:rPr>
          <w:rStyle w:val="10"/>
          <w:rFonts w:hint="eastAsia" w:ascii="仿宋_GB2312" w:hAnsi="仿宋_GB2312" w:eastAsia="仿宋_GB2312" w:cs="仿宋_GB2312"/>
          <w:b w:val="0"/>
          <w:bCs w:val="0"/>
          <w:color w:val="auto"/>
          <w:spacing w:val="-4"/>
          <w:sz w:val="32"/>
          <w:szCs w:val="32"/>
          <w:highlight w:val="none"/>
          <w:lang w:val="en-US" w:eastAsia="zh-CN"/>
        </w:rPr>
        <w:t>严格按照相关的专项资金管理办法，实行多重审批控制专项经费的支出。</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成本节约情况：</w:t>
      </w:r>
      <w:r>
        <w:rPr>
          <w:rStyle w:val="10"/>
          <w:rFonts w:hint="eastAsia" w:ascii="仿宋_GB2312" w:hAnsi="仿宋_GB2312" w:eastAsia="仿宋_GB2312" w:cs="仿宋_GB2312"/>
          <w:b w:val="0"/>
          <w:bCs w:val="0"/>
          <w:color w:val="auto"/>
          <w:spacing w:val="-4"/>
          <w:sz w:val="32"/>
          <w:szCs w:val="32"/>
          <w:highlight w:val="none"/>
          <w:lang w:val="en-US" w:eastAsia="zh-CN"/>
        </w:rPr>
        <w:t>项目根据实际情况做出合理预算，支出严格控制在预算范围内，本着节约成本，防止资源浪费的原则将项目成效最大化。</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4.项目效率性</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项目实施进度：</w:t>
      </w:r>
      <w:r>
        <w:rPr>
          <w:rStyle w:val="10"/>
          <w:rFonts w:hint="eastAsia" w:ascii="仿宋_GB2312" w:hAnsi="仿宋_GB2312" w:eastAsia="仿宋_GB2312" w:cs="仿宋_GB2312"/>
          <w:b w:val="0"/>
          <w:bCs w:val="0"/>
          <w:color w:val="auto"/>
          <w:spacing w:val="-4"/>
          <w:sz w:val="32"/>
          <w:szCs w:val="32"/>
          <w:highlight w:val="none"/>
          <w:lang w:val="en-US" w:eastAsia="zh-CN"/>
        </w:rPr>
        <w:t>项目实施紧扣各个环节，逐步推进，及时与职能部门跟踪项目进展，加强项目督办，充分调动职能部门的积极性，加大项目投入工作的力度，加快项目实施进度。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项目完成质量：</w:t>
      </w:r>
      <w:r>
        <w:rPr>
          <w:rStyle w:val="10"/>
          <w:rFonts w:hint="eastAsia" w:ascii="仿宋_GB2312" w:hAnsi="仿宋_GB2312" w:eastAsia="仿宋_GB2312" w:cs="仿宋_GB2312"/>
          <w:b w:val="0"/>
          <w:bCs w:val="0"/>
          <w:spacing w:val="-4"/>
          <w:sz w:val="32"/>
          <w:szCs w:val="32"/>
          <w:highlight w:val="none"/>
          <w:lang w:val="en-US" w:eastAsia="zh-CN"/>
        </w:rPr>
        <w:t>项目严格按照年度预期目标执行，项目完成质量达标。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5.项目效益性</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预期目标完成程度：</w:t>
      </w:r>
      <w:r>
        <w:rPr>
          <w:rStyle w:val="10"/>
          <w:rFonts w:hint="eastAsia" w:ascii="仿宋_GB2312" w:hAnsi="仿宋_GB2312" w:eastAsia="仿宋_GB2312" w:cs="仿宋_GB2312"/>
          <w:b w:val="0"/>
          <w:bCs w:val="0"/>
          <w:color w:val="auto"/>
          <w:spacing w:val="-4"/>
          <w:sz w:val="32"/>
          <w:szCs w:val="32"/>
          <w:highlight w:val="none"/>
          <w:lang w:val="en-US" w:eastAsia="zh-CN"/>
        </w:rPr>
        <w:t>按预定目标完成了年初所设定的各项指标。专项经费实际支出未超出预算规定，保障了专项工作的开展。</w:t>
      </w:r>
    </w:p>
    <w:p>
      <w:pPr>
        <w:pStyle w:val="11"/>
        <w:keepNext w:val="0"/>
        <w:keepLines w:val="0"/>
        <w:pageBreakBefore w:val="0"/>
        <w:widowControl w:val="0"/>
        <w:kinsoku/>
        <w:wordWrap/>
        <w:overflowPunct/>
        <w:topLinePunct w:val="0"/>
        <w:autoSpaceDE/>
        <w:autoSpaceDN/>
        <w:bidi w:val="0"/>
        <w:adjustRightInd/>
        <w:snapToGrid w:val="0"/>
        <w:spacing w:line="540" w:lineRule="exact"/>
        <w:ind w:left="319" w:leftChars="152" w:firstLine="313" w:firstLineChars="1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项目实施对效益的影响：</w:t>
      </w:r>
      <w:r>
        <w:rPr>
          <w:rStyle w:val="10"/>
          <w:rFonts w:hint="eastAsia" w:ascii="仿宋_GB2312" w:hAnsi="仿宋_GB2312" w:eastAsia="仿宋_GB2312" w:cs="仿宋_GB2312"/>
          <w:b w:val="0"/>
          <w:bCs w:val="0"/>
          <w:color w:val="auto"/>
          <w:spacing w:val="-4"/>
          <w:sz w:val="32"/>
          <w:szCs w:val="32"/>
          <w:highlight w:val="none"/>
          <w:lang w:val="en-US" w:eastAsia="zh-CN"/>
        </w:rPr>
        <w:t>项目的实施有效提升了培训人员的爱国主义意识，持续保障了培训工作的顺利开展。</w:t>
      </w:r>
    </w:p>
    <w:p>
      <w:pPr>
        <w:pStyle w:val="11"/>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spacing w:val="-4"/>
          <w:sz w:val="32"/>
          <w:szCs w:val="32"/>
          <w:highlight w:val="none"/>
        </w:rPr>
      </w:pPr>
      <w:bookmarkStart w:id="4" w:name="_Toc27846_WPSOffice_Level1"/>
      <w:r>
        <w:rPr>
          <w:rStyle w:val="10"/>
          <w:rFonts w:hint="eastAsia" w:ascii="仿宋_GB2312" w:hAnsi="仿宋_GB2312" w:eastAsia="仿宋_GB2312" w:cs="仿宋_GB2312"/>
          <w:b/>
          <w:bCs/>
          <w:spacing w:val="-4"/>
          <w:sz w:val="32"/>
          <w:szCs w:val="32"/>
          <w:highlight w:val="none"/>
        </w:rPr>
        <w:t>资产管理情况</w:t>
      </w:r>
      <w:bookmarkEnd w:id="4"/>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eastAsia="zh-CN"/>
        </w:rPr>
        <w:t>（</w:t>
      </w:r>
      <w:r>
        <w:rPr>
          <w:rStyle w:val="10"/>
          <w:rFonts w:hint="eastAsia" w:ascii="仿宋_GB2312" w:hAnsi="仿宋_GB2312" w:eastAsia="仿宋_GB2312" w:cs="仿宋_GB2312"/>
          <w:b/>
          <w:bCs/>
          <w:spacing w:val="-4"/>
          <w:sz w:val="32"/>
          <w:szCs w:val="32"/>
          <w:highlight w:val="none"/>
          <w:lang w:val="en-US" w:eastAsia="zh-CN"/>
        </w:rPr>
        <w:t>一）资产管理规范性</w:t>
      </w:r>
    </w:p>
    <w:p>
      <w:pPr>
        <w:pStyle w:val="11"/>
        <w:snapToGrid w:val="0"/>
        <w:spacing w:line="540" w:lineRule="exact"/>
        <w:rPr>
          <w:rFonts w:hint="default" w:ascii="仿宋" w:hAnsi="仿宋" w:eastAsia="仿宋" w:cs="宋体"/>
          <w:bCs/>
          <w:color w:val="auto"/>
          <w:sz w:val="32"/>
          <w:szCs w:val="32"/>
          <w:lang w:val="en-US" w:eastAsia="zh-CN" w:bidi="ar"/>
        </w:rPr>
      </w:pPr>
      <w:r>
        <w:rPr>
          <w:rFonts w:hint="eastAsia" w:ascii="仿宋" w:hAnsi="仿宋" w:eastAsia="仿宋" w:cs="宋体"/>
          <w:bCs/>
          <w:color w:val="auto"/>
          <w:sz w:val="32"/>
          <w:szCs w:val="32"/>
          <w:lang w:eastAsia="zh-CN" w:bidi="ar"/>
        </w:rPr>
        <w:t>我单位202</w:t>
      </w:r>
      <w:r>
        <w:rPr>
          <w:rFonts w:hint="eastAsia" w:ascii="仿宋" w:hAnsi="仿宋" w:eastAsia="仿宋" w:cs="宋体"/>
          <w:bCs/>
          <w:color w:val="auto"/>
          <w:sz w:val="32"/>
          <w:szCs w:val="32"/>
          <w:lang w:val="en-US" w:eastAsia="zh-CN" w:bidi="ar"/>
        </w:rPr>
        <w:t>1</w:t>
      </w:r>
      <w:r>
        <w:rPr>
          <w:rFonts w:hint="eastAsia" w:ascii="仿宋" w:hAnsi="仿宋" w:eastAsia="仿宋" w:cs="宋体"/>
          <w:bCs/>
          <w:color w:val="auto"/>
          <w:sz w:val="32"/>
          <w:szCs w:val="32"/>
          <w:lang w:eastAsia="zh-CN" w:bidi="ar"/>
        </w:rPr>
        <w:t>年资产合计数为</w:t>
      </w:r>
      <w:r>
        <w:rPr>
          <w:rFonts w:hint="eastAsia" w:ascii="仿宋" w:hAnsi="仿宋" w:eastAsia="仿宋" w:cs="宋体"/>
          <w:bCs/>
          <w:color w:val="auto"/>
          <w:sz w:val="32"/>
          <w:szCs w:val="32"/>
          <w:lang w:val="en-US" w:eastAsia="zh-CN" w:bidi="ar"/>
        </w:rPr>
        <w:t>2803.98万元，比上年减少854.51万元，主要原因是银行账户项目援疆资金年底支出较大，货币资金减少，其中：货币资金2717.06万元，比上年减少846.7万元；财政应返还额度0万元，比上年相比</w:t>
      </w:r>
      <w:r>
        <w:rPr>
          <w:rFonts w:hint="eastAsia" w:ascii="仿宋" w:hAnsi="仿宋" w:eastAsia="仿宋" w:cs="宋体"/>
          <w:bCs/>
          <w:color w:val="auto"/>
          <w:sz w:val="32"/>
          <w:szCs w:val="32"/>
          <w:lang w:eastAsia="zh-CN" w:bidi="ar"/>
        </w:rPr>
        <w:t>无变化；房屋</w:t>
      </w:r>
      <w:r>
        <w:rPr>
          <w:rFonts w:hint="eastAsia" w:ascii="仿宋" w:hAnsi="仿宋" w:eastAsia="仿宋" w:cs="宋体"/>
          <w:bCs/>
          <w:color w:val="auto"/>
          <w:sz w:val="32"/>
          <w:szCs w:val="32"/>
          <w:lang w:val="en-US" w:eastAsia="zh-CN" w:bidi="ar"/>
        </w:rPr>
        <w:t>2994.49</w:t>
      </w:r>
      <w:r>
        <w:rPr>
          <w:rFonts w:hint="eastAsia" w:ascii="仿宋" w:hAnsi="仿宋" w:eastAsia="仿宋" w:cs="宋体"/>
          <w:bCs/>
          <w:color w:val="auto"/>
          <w:sz w:val="32"/>
          <w:szCs w:val="32"/>
          <w:lang w:eastAsia="zh-CN" w:bidi="ar"/>
        </w:rPr>
        <w:t>平方米</w:t>
      </w:r>
      <w:r>
        <w:rPr>
          <w:rFonts w:hint="eastAsia" w:ascii="仿宋" w:hAnsi="仿宋" w:eastAsia="仿宋" w:cs="宋体"/>
          <w:bCs/>
          <w:color w:val="auto"/>
          <w:sz w:val="32"/>
          <w:szCs w:val="32"/>
          <w:lang w:val="en-US" w:eastAsia="zh-CN" w:bidi="ar"/>
        </w:rPr>
        <w:t>300.44</w:t>
      </w:r>
      <w:r>
        <w:rPr>
          <w:rFonts w:hint="eastAsia" w:ascii="仿宋" w:hAnsi="仿宋" w:eastAsia="仿宋" w:cs="宋体"/>
          <w:bCs/>
          <w:color w:val="auto"/>
          <w:sz w:val="32"/>
          <w:szCs w:val="32"/>
          <w:lang w:eastAsia="zh-CN" w:bidi="ar"/>
        </w:rPr>
        <w:t>万元，比上年增加</w:t>
      </w:r>
      <w:r>
        <w:rPr>
          <w:rFonts w:hint="eastAsia" w:ascii="仿宋" w:hAnsi="仿宋" w:eastAsia="仿宋" w:cs="宋体"/>
          <w:bCs/>
          <w:color w:val="auto"/>
          <w:sz w:val="32"/>
          <w:szCs w:val="32"/>
          <w:lang w:val="en-US" w:eastAsia="zh-CN" w:bidi="ar"/>
        </w:rPr>
        <w:t>180.36</w:t>
      </w:r>
      <w:r>
        <w:rPr>
          <w:rFonts w:hint="eastAsia" w:ascii="仿宋" w:hAnsi="仿宋" w:eastAsia="仿宋" w:cs="宋体"/>
          <w:bCs/>
          <w:color w:val="auto"/>
          <w:sz w:val="32"/>
          <w:szCs w:val="32"/>
          <w:lang w:eastAsia="zh-CN" w:bidi="ar"/>
        </w:rPr>
        <w:t>万元；车辆</w:t>
      </w:r>
      <w:r>
        <w:rPr>
          <w:rFonts w:hint="eastAsia" w:ascii="仿宋" w:hAnsi="仿宋" w:eastAsia="仿宋" w:cs="宋体"/>
          <w:bCs/>
          <w:color w:val="auto"/>
          <w:sz w:val="32"/>
          <w:szCs w:val="32"/>
          <w:lang w:val="en-US" w:eastAsia="zh-CN" w:bidi="ar"/>
        </w:rPr>
        <w:t>4</w:t>
      </w:r>
      <w:r>
        <w:rPr>
          <w:rFonts w:hint="eastAsia" w:ascii="仿宋" w:hAnsi="仿宋" w:eastAsia="仿宋" w:cs="宋体"/>
          <w:bCs/>
          <w:color w:val="auto"/>
          <w:sz w:val="32"/>
          <w:szCs w:val="32"/>
          <w:lang w:eastAsia="zh-CN" w:bidi="ar"/>
        </w:rPr>
        <w:t>辆</w:t>
      </w:r>
      <w:r>
        <w:rPr>
          <w:rFonts w:hint="eastAsia" w:ascii="仿宋" w:hAnsi="仿宋" w:eastAsia="仿宋" w:cs="宋体"/>
          <w:bCs/>
          <w:color w:val="auto"/>
          <w:sz w:val="32"/>
          <w:szCs w:val="32"/>
          <w:lang w:val="en-US" w:eastAsia="zh-CN" w:bidi="ar"/>
        </w:rPr>
        <w:t>72.80</w:t>
      </w:r>
      <w:r>
        <w:rPr>
          <w:rFonts w:hint="eastAsia" w:ascii="仿宋" w:hAnsi="仿宋" w:eastAsia="仿宋" w:cs="宋体"/>
          <w:bCs/>
          <w:color w:val="auto"/>
          <w:sz w:val="32"/>
          <w:szCs w:val="32"/>
          <w:lang w:eastAsia="zh-CN" w:bidi="ar"/>
        </w:rPr>
        <w:t>万元，与上年相比无变化；在建工程</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万元，与上年持平；办公设备及家具</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万元，与上年相比无变化。我单位本年无资产处置情况，资产配置合理，使用规范，安全完整。</w:t>
      </w:r>
    </w:p>
    <w:p>
      <w:pPr>
        <w:pStyle w:val="11"/>
        <w:numPr>
          <w:ilvl w:val="0"/>
          <w:numId w:val="0"/>
        </w:numPr>
        <w:snapToGrid w:val="0"/>
        <w:spacing w:line="540" w:lineRule="exact"/>
        <w:ind w:firstLine="640" w:firstLineChars="200"/>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资产管理情况。</w:t>
      </w:r>
    </w:p>
    <w:p>
      <w:pPr>
        <w:pStyle w:val="11"/>
        <w:numPr>
          <w:ilvl w:val="0"/>
          <w:numId w:val="0"/>
        </w:numPr>
        <w:snapToGrid w:val="0"/>
        <w:spacing w:line="540" w:lineRule="exact"/>
        <w:ind w:firstLine="640" w:firstLineChars="200"/>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eastAsia="zh-CN"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1"/>
        <w:snapToGrid w:val="0"/>
        <w:spacing w:line="540" w:lineRule="exact"/>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val="en-US" w:eastAsia="zh-CN" w:bidi="ar"/>
        </w:rPr>
        <w:t>2.</w:t>
      </w:r>
      <w:r>
        <w:rPr>
          <w:rFonts w:hint="eastAsia" w:ascii="仿宋" w:hAnsi="仿宋" w:eastAsia="仿宋" w:cs="宋体"/>
          <w:bCs/>
          <w:color w:val="333333"/>
          <w:sz w:val="32"/>
          <w:szCs w:val="32"/>
          <w:lang w:eastAsia="zh-CN" w:bidi="ar"/>
        </w:rPr>
        <w:t>固定资产利用情况。</w:t>
      </w:r>
    </w:p>
    <w:p>
      <w:pPr>
        <w:pStyle w:val="11"/>
        <w:snapToGrid w:val="0"/>
        <w:spacing w:line="540" w:lineRule="exact"/>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eastAsia="zh-CN" w:bidi="ar"/>
        </w:rPr>
        <w:t>我单位固定资产</w:t>
      </w:r>
      <w:r>
        <w:rPr>
          <w:rFonts w:hint="eastAsia" w:ascii="仿宋" w:hAnsi="仿宋" w:eastAsia="仿宋" w:cs="宋体"/>
          <w:bCs/>
          <w:color w:val="333333"/>
          <w:sz w:val="32"/>
          <w:szCs w:val="32"/>
          <w:lang w:val="en-US" w:eastAsia="zh-CN" w:bidi="ar"/>
        </w:rPr>
        <w:t>448.16</w:t>
      </w:r>
      <w:r>
        <w:rPr>
          <w:rFonts w:hint="eastAsia" w:ascii="仿宋" w:hAnsi="仿宋" w:eastAsia="仿宋" w:cs="宋体"/>
          <w:bCs/>
          <w:color w:val="333333"/>
          <w:sz w:val="32"/>
          <w:szCs w:val="32"/>
          <w:lang w:eastAsia="zh-CN" w:bidi="ar"/>
        </w:rPr>
        <w:t>万元,其中:</w:t>
      </w:r>
      <w:r>
        <w:rPr>
          <w:rFonts w:hint="eastAsia" w:ascii="仿宋" w:hAnsi="仿宋" w:eastAsia="仿宋" w:cs="宋体"/>
          <w:bCs/>
          <w:color w:val="333333"/>
          <w:sz w:val="32"/>
          <w:szCs w:val="32"/>
          <w:lang w:val="en-US" w:eastAsia="zh-CN" w:bidi="ar"/>
        </w:rPr>
        <w:t xml:space="preserve"> 2994.49</w:t>
      </w:r>
      <w:r>
        <w:rPr>
          <w:rFonts w:hint="eastAsia" w:ascii="仿宋" w:hAnsi="仿宋" w:eastAsia="仿宋" w:cs="宋体"/>
          <w:bCs/>
          <w:color w:val="333333"/>
          <w:sz w:val="32"/>
          <w:szCs w:val="32"/>
          <w:lang w:eastAsia="zh-CN" w:bidi="ar"/>
        </w:rPr>
        <w:t>平方米房屋</w:t>
      </w:r>
      <w:r>
        <w:rPr>
          <w:rFonts w:hint="eastAsia" w:ascii="仿宋" w:hAnsi="仿宋" w:eastAsia="仿宋" w:cs="宋体"/>
          <w:bCs/>
          <w:color w:val="333333"/>
          <w:sz w:val="32"/>
          <w:szCs w:val="32"/>
          <w:lang w:val="en-US" w:eastAsia="zh-CN" w:bidi="ar"/>
        </w:rPr>
        <w:t>300.44</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333333"/>
          <w:sz w:val="32"/>
          <w:szCs w:val="32"/>
          <w:lang w:val="en-US" w:eastAsia="zh-CN" w:bidi="ar"/>
        </w:rPr>
        <w:t>4</w:t>
      </w:r>
      <w:r>
        <w:rPr>
          <w:rFonts w:hint="eastAsia" w:ascii="仿宋" w:hAnsi="仿宋" w:eastAsia="仿宋" w:cs="宋体"/>
          <w:bCs/>
          <w:color w:val="333333"/>
          <w:sz w:val="32"/>
          <w:szCs w:val="32"/>
          <w:lang w:eastAsia="zh-CN" w:bidi="ar"/>
        </w:rPr>
        <w:t>辆车</w:t>
      </w:r>
      <w:r>
        <w:rPr>
          <w:rFonts w:hint="eastAsia" w:ascii="仿宋" w:hAnsi="仿宋" w:eastAsia="仿宋" w:cs="宋体"/>
          <w:bCs/>
          <w:color w:val="333333"/>
          <w:sz w:val="32"/>
          <w:szCs w:val="32"/>
          <w:lang w:val="en-US" w:eastAsia="zh-CN" w:bidi="ar"/>
        </w:rPr>
        <w:t>72.8</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333333"/>
          <w:sz w:val="32"/>
          <w:szCs w:val="32"/>
          <w:lang w:val="en-US" w:eastAsia="zh-CN" w:bidi="ar"/>
        </w:rPr>
        <w:t>10</w:t>
      </w:r>
      <w:r>
        <w:rPr>
          <w:rFonts w:hint="eastAsia" w:ascii="仿宋" w:hAnsi="仿宋" w:eastAsia="仿宋" w:cs="宋体"/>
          <w:bCs/>
          <w:color w:val="333333"/>
          <w:sz w:val="32"/>
          <w:szCs w:val="32"/>
          <w:lang w:eastAsia="zh-CN" w:bidi="ar"/>
        </w:rPr>
        <w:t>个专用设备</w:t>
      </w:r>
      <w:r>
        <w:rPr>
          <w:rFonts w:hint="eastAsia" w:ascii="仿宋" w:hAnsi="仿宋" w:eastAsia="仿宋" w:cs="宋体"/>
          <w:bCs/>
          <w:color w:val="333333"/>
          <w:sz w:val="32"/>
          <w:szCs w:val="32"/>
          <w:lang w:val="en-US" w:eastAsia="zh-CN" w:bidi="ar"/>
        </w:rPr>
        <w:t>5</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333333"/>
          <w:sz w:val="32"/>
          <w:szCs w:val="32"/>
          <w:lang w:val="en-US" w:eastAsia="zh-CN" w:bidi="ar"/>
        </w:rPr>
        <w:t>100</w:t>
      </w:r>
      <w:r>
        <w:rPr>
          <w:rFonts w:hint="eastAsia" w:ascii="仿宋" w:hAnsi="仿宋" w:eastAsia="仿宋" w:cs="宋体"/>
          <w:bCs/>
          <w:color w:val="333333"/>
          <w:sz w:val="32"/>
          <w:szCs w:val="32"/>
          <w:lang w:eastAsia="zh-CN" w:bidi="ar"/>
        </w:rPr>
        <w:t>个办公设备</w:t>
      </w:r>
      <w:r>
        <w:rPr>
          <w:rFonts w:hint="eastAsia" w:ascii="仿宋" w:hAnsi="仿宋" w:eastAsia="仿宋" w:cs="宋体"/>
          <w:bCs/>
          <w:color w:val="333333"/>
          <w:sz w:val="32"/>
          <w:szCs w:val="32"/>
          <w:lang w:val="en-US" w:eastAsia="zh-CN" w:bidi="ar"/>
        </w:rPr>
        <w:t>69.92</w:t>
      </w:r>
      <w:r>
        <w:rPr>
          <w:rFonts w:hint="eastAsia" w:ascii="仿宋" w:hAnsi="仿宋" w:eastAsia="仿宋" w:cs="宋体"/>
          <w:bCs/>
          <w:color w:val="333333"/>
          <w:sz w:val="32"/>
          <w:szCs w:val="32"/>
          <w:lang w:eastAsia="zh-CN" w:bidi="ar"/>
        </w:rPr>
        <w:t>万元。目前正在使用的固定资产总额</w:t>
      </w:r>
      <w:r>
        <w:rPr>
          <w:rFonts w:hint="eastAsia" w:ascii="仿宋" w:hAnsi="仿宋" w:eastAsia="仿宋" w:cs="宋体"/>
          <w:bCs/>
          <w:color w:val="333333"/>
          <w:sz w:val="32"/>
          <w:szCs w:val="32"/>
          <w:lang w:val="en-US" w:eastAsia="zh-CN" w:bidi="ar"/>
        </w:rPr>
        <w:t>448.16</w:t>
      </w:r>
      <w:r>
        <w:rPr>
          <w:rFonts w:hint="eastAsia" w:ascii="仿宋" w:hAnsi="仿宋" w:eastAsia="仿宋" w:cs="宋体"/>
          <w:bCs/>
          <w:color w:val="333333"/>
          <w:sz w:val="32"/>
          <w:szCs w:val="32"/>
          <w:lang w:eastAsia="zh-CN" w:bidi="ar"/>
        </w:rPr>
        <w:t>万元，固定资产利用率为</w:t>
      </w:r>
      <w:r>
        <w:rPr>
          <w:rFonts w:hint="eastAsia" w:ascii="仿宋" w:hAnsi="仿宋" w:eastAsia="仿宋" w:cs="宋体"/>
          <w:bCs/>
          <w:color w:val="333333"/>
          <w:sz w:val="32"/>
          <w:szCs w:val="32"/>
          <w:lang w:val="en-US" w:eastAsia="zh-CN" w:bidi="ar"/>
        </w:rPr>
        <w:t>100%</w:t>
      </w:r>
      <w:r>
        <w:rPr>
          <w:rFonts w:hint="eastAsia" w:ascii="仿宋" w:hAnsi="仿宋" w:eastAsia="仿宋" w:cs="宋体"/>
          <w:bCs/>
          <w:color w:val="333333"/>
          <w:sz w:val="32"/>
          <w:szCs w:val="32"/>
          <w:lang w:eastAsia="zh-CN" w:bidi="ar"/>
        </w:rPr>
        <w:t>。</w:t>
      </w:r>
    </w:p>
    <w:p>
      <w:pPr>
        <w:pStyle w:val="11"/>
        <w:snapToGrid w:val="0"/>
        <w:spacing w:line="540" w:lineRule="exact"/>
        <w:rPr>
          <w:rStyle w:val="10"/>
          <w:rFonts w:hint="eastAsia" w:ascii="仿宋" w:hAnsi="仿宋" w:eastAsia="仿宋"/>
          <w:b w:val="0"/>
          <w:bCs w:val="0"/>
          <w:color w:val="000000" w:themeColor="text1"/>
          <w:spacing w:val="-4"/>
          <w:sz w:val="32"/>
          <w:szCs w:val="32"/>
          <w:lang w:eastAsia="zh-CN"/>
          <w14:textFill>
            <w14:solidFill>
              <w14:schemeClr w14:val="tx1"/>
            </w14:solidFill>
          </w14:textFill>
        </w:rPr>
      </w:pPr>
      <w:r>
        <w:rPr>
          <w:rStyle w:val="10"/>
          <w:rFonts w:hint="eastAsia" w:ascii="仿宋" w:hAnsi="仿宋" w:eastAsia="仿宋"/>
          <w:b w:val="0"/>
          <w:bCs w:val="0"/>
          <w:spacing w:val="-4"/>
          <w:sz w:val="32"/>
          <w:szCs w:val="32"/>
          <w:lang w:val="en-US" w:eastAsia="zh-CN"/>
        </w:rPr>
        <w:t>3.</w:t>
      </w:r>
      <w:r>
        <w:rPr>
          <w:rStyle w:val="10"/>
          <w:rFonts w:hint="eastAsia" w:ascii="仿宋" w:hAnsi="仿宋" w:eastAsia="仿宋"/>
          <w:b w:val="0"/>
          <w:bCs w:val="0"/>
          <w:color w:val="000000" w:themeColor="text1"/>
          <w:spacing w:val="-4"/>
          <w:sz w:val="32"/>
          <w:szCs w:val="32"/>
          <w:lang w:eastAsia="zh-CN"/>
          <w14:textFill>
            <w14:solidFill>
              <w14:schemeClr w14:val="tx1"/>
            </w14:solidFill>
          </w14:textFill>
        </w:rPr>
        <w:t>流动资产管理情况。</w:t>
      </w:r>
    </w:p>
    <w:p>
      <w:pPr>
        <w:pStyle w:val="11"/>
        <w:snapToGrid w:val="0"/>
        <w:spacing w:line="540" w:lineRule="exact"/>
        <w:rPr>
          <w:rStyle w:val="10"/>
          <w:rFonts w:hint="eastAsia" w:ascii="仿宋_GB2312" w:hAnsi="仿宋_GB2312" w:eastAsia="仿宋_GB2312" w:cs="仿宋_GB2312"/>
          <w:b/>
          <w:bCs/>
          <w:color w:val="auto"/>
          <w:spacing w:val="-4"/>
          <w:sz w:val="32"/>
          <w:szCs w:val="32"/>
          <w:highlight w:val="none"/>
        </w:rPr>
      </w:pPr>
      <w:r>
        <w:rPr>
          <w:rStyle w:val="10"/>
          <w:rFonts w:hint="eastAsia" w:ascii="仿宋" w:hAnsi="仿宋" w:eastAsia="仿宋"/>
          <w:b w:val="0"/>
          <w:bCs w:val="0"/>
          <w:color w:val="auto"/>
          <w:spacing w:val="-4"/>
          <w:sz w:val="32"/>
          <w:szCs w:val="32"/>
          <w:lang w:eastAsia="zh-CN"/>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eastAsia="zh-CN"/>
        </w:rPr>
        <w:t>（</w:t>
      </w:r>
      <w:r>
        <w:rPr>
          <w:rStyle w:val="10"/>
          <w:rFonts w:hint="eastAsia" w:ascii="仿宋_GB2312" w:hAnsi="仿宋_GB2312" w:eastAsia="仿宋_GB2312" w:cs="仿宋_GB2312"/>
          <w:b/>
          <w:bCs/>
          <w:spacing w:val="-4"/>
          <w:sz w:val="32"/>
          <w:szCs w:val="32"/>
          <w:highlight w:val="none"/>
          <w:lang w:val="en-US" w:eastAsia="zh-CN"/>
        </w:rPr>
        <w:t>二）固定资产利用率</w:t>
      </w:r>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截止本年度固定资产账面净值86.92万元，年末实际在用固定资产86.92万元，固定资产利用率为100%。</w:t>
      </w:r>
    </w:p>
    <w:p>
      <w:pPr>
        <w:pStyle w:val="11"/>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spacing w:val="-4"/>
          <w:sz w:val="32"/>
          <w:szCs w:val="32"/>
          <w:highlight w:val="none"/>
        </w:rPr>
      </w:pPr>
      <w:bookmarkStart w:id="5" w:name="_Toc13582_WPSOffice_Level1"/>
      <w:r>
        <w:rPr>
          <w:rStyle w:val="10"/>
          <w:rFonts w:hint="eastAsia" w:ascii="仿宋_GB2312" w:hAnsi="仿宋_GB2312" w:eastAsia="仿宋_GB2312" w:cs="仿宋_GB2312"/>
          <w:b/>
          <w:bCs/>
          <w:spacing w:val="-4"/>
          <w:sz w:val="32"/>
          <w:szCs w:val="32"/>
          <w:highlight w:val="none"/>
        </w:rPr>
        <w:t>部门单位整体支出绩效情况</w:t>
      </w:r>
      <w:bookmarkEnd w:id="5"/>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部门单位整体支出</w:t>
      </w:r>
      <w:r>
        <w:rPr>
          <w:rStyle w:val="10"/>
          <w:rFonts w:hint="eastAsia" w:ascii="仿宋_GB2312" w:hAnsi="仿宋_GB2312" w:eastAsia="仿宋_GB2312" w:cs="仿宋_GB2312"/>
          <w:b w:val="0"/>
          <w:bCs w:val="0"/>
          <w:color w:val="auto"/>
          <w:spacing w:val="-4"/>
          <w:sz w:val="32"/>
          <w:szCs w:val="32"/>
          <w:highlight w:val="none"/>
          <w:lang w:eastAsia="zh-CN"/>
        </w:rPr>
        <w:t>自评表，</w:t>
      </w:r>
      <w:r>
        <w:rPr>
          <w:rStyle w:val="10"/>
          <w:rFonts w:hint="eastAsia" w:ascii="仿宋_GB2312" w:hAnsi="仿宋_GB2312" w:eastAsia="仿宋_GB2312" w:cs="仿宋_GB2312"/>
          <w:b w:val="0"/>
          <w:bCs w:val="0"/>
          <w:color w:val="auto"/>
          <w:spacing w:val="-4"/>
          <w:sz w:val="32"/>
          <w:szCs w:val="32"/>
          <w:highlight w:val="none"/>
        </w:rPr>
        <w:t>共设置一级指标3个，二级指标</w:t>
      </w:r>
      <w:r>
        <w:rPr>
          <w:rStyle w:val="10"/>
          <w:rFonts w:hint="eastAsia" w:ascii="仿宋_GB2312" w:hAnsi="仿宋_GB2312" w:eastAsia="仿宋_GB2312" w:cs="仿宋_GB2312"/>
          <w:b w:val="0"/>
          <w:bCs w:val="0"/>
          <w:color w:val="auto"/>
          <w:spacing w:val="-4"/>
          <w:sz w:val="32"/>
          <w:szCs w:val="32"/>
          <w:highlight w:val="none"/>
          <w:lang w:val="en-US" w:eastAsia="zh-CN"/>
        </w:rPr>
        <w:t>7</w:t>
      </w:r>
      <w:r>
        <w:rPr>
          <w:rStyle w:val="10"/>
          <w:rFonts w:hint="eastAsia" w:ascii="仿宋_GB2312" w:hAnsi="仿宋_GB2312" w:eastAsia="仿宋_GB2312" w:cs="仿宋_GB2312"/>
          <w:b w:val="0"/>
          <w:bCs w:val="0"/>
          <w:color w:val="auto"/>
          <w:spacing w:val="-4"/>
          <w:sz w:val="32"/>
          <w:szCs w:val="32"/>
          <w:highlight w:val="none"/>
        </w:rPr>
        <w:t>个，三级指标</w:t>
      </w:r>
      <w:r>
        <w:rPr>
          <w:rStyle w:val="10"/>
          <w:rFonts w:hint="eastAsia" w:ascii="仿宋_GB2312" w:hAnsi="仿宋_GB2312" w:eastAsia="仿宋_GB2312" w:cs="仿宋_GB2312"/>
          <w:b w:val="0"/>
          <w:bCs w:val="0"/>
          <w:color w:val="auto"/>
          <w:spacing w:val="-4"/>
          <w:sz w:val="32"/>
          <w:szCs w:val="32"/>
          <w:highlight w:val="none"/>
          <w:lang w:val="en-US" w:eastAsia="zh-CN"/>
        </w:rPr>
        <w:t>12</w:t>
      </w:r>
      <w:r>
        <w:rPr>
          <w:rStyle w:val="10"/>
          <w:rFonts w:hint="eastAsia" w:ascii="仿宋_GB2312" w:hAnsi="仿宋_GB2312" w:eastAsia="仿宋_GB2312" w:cs="仿宋_GB2312"/>
          <w:b w:val="0"/>
          <w:bCs w:val="0"/>
          <w:color w:val="auto"/>
          <w:spacing w:val="-4"/>
          <w:sz w:val="32"/>
          <w:szCs w:val="32"/>
          <w:highlight w:val="none"/>
        </w:rPr>
        <w:t>个。</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spacing w:val="-4"/>
          <w:sz w:val="32"/>
          <w:szCs w:val="32"/>
          <w:highlight w:val="none"/>
        </w:rPr>
      </w:pPr>
      <w:r>
        <w:rPr>
          <w:rStyle w:val="10"/>
          <w:rFonts w:hint="eastAsia" w:ascii="仿宋_GB2312" w:hAnsi="仿宋_GB2312" w:eastAsia="仿宋_GB2312" w:cs="仿宋_GB2312"/>
          <w:b/>
          <w:bCs/>
          <w:spacing w:val="-4"/>
          <w:sz w:val="32"/>
          <w:szCs w:val="32"/>
          <w:highlight w:val="none"/>
          <w:lang w:eastAsia="zh-CN"/>
        </w:rPr>
        <w:t>（</w:t>
      </w:r>
      <w:r>
        <w:rPr>
          <w:rStyle w:val="10"/>
          <w:rFonts w:hint="eastAsia" w:ascii="仿宋_GB2312" w:hAnsi="仿宋_GB2312" w:eastAsia="仿宋_GB2312" w:cs="仿宋_GB2312"/>
          <w:b/>
          <w:bCs/>
          <w:spacing w:val="-4"/>
          <w:sz w:val="32"/>
          <w:szCs w:val="32"/>
          <w:highlight w:val="none"/>
          <w:lang w:val="en-US" w:eastAsia="zh-CN"/>
        </w:rPr>
        <w:t>一）</w:t>
      </w:r>
      <w:r>
        <w:rPr>
          <w:rStyle w:val="10"/>
          <w:rFonts w:hint="eastAsia" w:ascii="仿宋_GB2312" w:hAnsi="仿宋_GB2312" w:eastAsia="仿宋_GB2312" w:cs="仿宋_GB2312"/>
          <w:b/>
          <w:bCs/>
          <w:spacing w:val="-4"/>
          <w:sz w:val="32"/>
          <w:szCs w:val="32"/>
          <w:highlight w:val="none"/>
        </w:rPr>
        <w:t>产出指标完成情况分析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spacing w:val="-4"/>
          <w:sz w:val="32"/>
          <w:szCs w:val="32"/>
          <w:highlight w:val="none"/>
        </w:rPr>
      </w:pPr>
      <w:r>
        <w:rPr>
          <w:rStyle w:val="10"/>
          <w:rFonts w:hint="eastAsia" w:ascii="仿宋_GB2312" w:hAnsi="仿宋_GB2312" w:eastAsia="仿宋_GB2312" w:cs="仿宋_GB2312"/>
          <w:b/>
          <w:bCs/>
          <w:spacing w:val="-4"/>
          <w:sz w:val="32"/>
          <w:szCs w:val="32"/>
          <w:highlight w:val="none"/>
          <w:lang w:val="en-US" w:eastAsia="zh-CN"/>
        </w:rPr>
        <w:t>1.产出</w:t>
      </w:r>
      <w:r>
        <w:rPr>
          <w:rStyle w:val="10"/>
          <w:rFonts w:hint="eastAsia" w:ascii="仿宋_GB2312" w:hAnsi="仿宋_GB2312" w:eastAsia="仿宋_GB2312" w:cs="仿宋_GB2312"/>
          <w:b/>
          <w:bCs/>
          <w:spacing w:val="-4"/>
          <w:sz w:val="32"/>
          <w:szCs w:val="32"/>
          <w:highlight w:val="none"/>
        </w:rPr>
        <w:t>数量</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保障局机关人数指标，预期指标是等于56人，实际完成值是56人，指标完成率是100%，达到预期目标。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保障车辆数指标，预期指标是等于4辆，实际完成值是4辆，指标完成率是100%，达到预期目标。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保障学校数指标，预期指标是等于184所，实际完成值是184所，指标完成率是100%，达到预期目标。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auto"/>
          <w:spacing w:val="-4"/>
          <w:sz w:val="32"/>
          <w:szCs w:val="32"/>
          <w:highlight w:val="none"/>
          <w:lang w:val="en-US" w:eastAsia="zh-CN"/>
        </w:rPr>
        <w:t>数量指标共计3</w:t>
      </w:r>
      <w:r>
        <w:rPr>
          <w:rStyle w:val="10"/>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lang w:val="en-US" w:eastAsia="zh-CN" w:bidi="ar"/>
        </w:rPr>
        <w:t>3</w:t>
      </w:r>
      <w:r>
        <w:rPr>
          <w:rStyle w:val="10"/>
          <w:rFonts w:hint="eastAsia" w:ascii="仿宋_GB2312" w:hAnsi="仿宋_GB2312" w:eastAsia="仿宋_GB2312" w:cs="仿宋_GB2312"/>
          <w:b w:val="0"/>
          <w:bCs w:val="0"/>
          <w:color w:val="auto"/>
          <w:spacing w:val="-4"/>
          <w:sz w:val="32"/>
          <w:szCs w:val="32"/>
          <w:highlight w:val="none"/>
        </w:rPr>
        <w:t>个，</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达到预期目标，数量指标完成。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spacing w:val="-4"/>
          <w:sz w:val="32"/>
          <w:szCs w:val="32"/>
          <w:highlight w:val="none"/>
        </w:rPr>
      </w:pPr>
      <w:r>
        <w:rPr>
          <w:rStyle w:val="10"/>
          <w:rFonts w:hint="eastAsia" w:ascii="仿宋_GB2312" w:hAnsi="仿宋_GB2312" w:eastAsia="仿宋_GB2312" w:cs="仿宋_GB2312"/>
          <w:b/>
          <w:bCs/>
          <w:spacing w:val="-4"/>
          <w:sz w:val="32"/>
          <w:szCs w:val="32"/>
          <w:highlight w:val="none"/>
          <w:lang w:val="en-US" w:eastAsia="zh-CN"/>
        </w:rPr>
        <w:t>2.产出</w:t>
      </w:r>
      <w:r>
        <w:rPr>
          <w:rStyle w:val="10"/>
          <w:rFonts w:hint="eastAsia" w:ascii="仿宋_GB2312" w:hAnsi="仿宋_GB2312" w:eastAsia="仿宋_GB2312" w:cs="仿宋_GB2312"/>
          <w:b/>
          <w:bCs/>
          <w:spacing w:val="-4"/>
          <w:sz w:val="32"/>
          <w:szCs w:val="32"/>
          <w:highlight w:val="none"/>
        </w:rPr>
        <w:t>质量</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资金使用合规率指标，预期指标是等于</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%，实际完成值是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%，指标完成率是100%，达到质量提升及标准。</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质量指标共计</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lang w:val="en-US" w:eastAsia="zh-CN" w:bidi="ar"/>
        </w:rPr>
        <w:t>1</w:t>
      </w:r>
      <w:r>
        <w:rPr>
          <w:rStyle w:val="10"/>
          <w:rFonts w:hint="eastAsia" w:ascii="仿宋_GB2312" w:hAnsi="仿宋_GB2312" w:eastAsia="仿宋_GB2312" w:cs="仿宋_GB2312"/>
          <w:b w:val="0"/>
          <w:bCs w:val="0"/>
          <w:color w:val="auto"/>
          <w:spacing w:val="-4"/>
          <w:sz w:val="32"/>
          <w:szCs w:val="32"/>
          <w:highlight w:val="none"/>
        </w:rPr>
        <w:t>个，</w:t>
      </w:r>
      <w:r>
        <w:rPr>
          <w:rStyle w:val="10"/>
          <w:rFonts w:hint="eastAsia" w:ascii="仿宋_GB2312" w:hAnsi="仿宋_GB2312" w:eastAsia="仿宋_GB2312" w:cs="仿宋_GB2312"/>
          <w:b w:val="0"/>
          <w:bCs w:val="0"/>
          <w:color w:val="auto"/>
          <w:spacing w:val="-4"/>
          <w:sz w:val="32"/>
          <w:szCs w:val="32"/>
          <w:highlight w:val="none"/>
          <w:lang w:val="en-US" w:eastAsia="zh-CN"/>
        </w:rPr>
        <w:t>达到质量提升及标准。</w:t>
      </w:r>
      <w:r>
        <w:rPr>
          <w:rStyle w:val="10"/>
          <w:rFonts w:hint="eastAsia" w:ascii="仿宋_GB2312" w:hAnsi="仿宋_GB2312" w:eastAsia="仿宋_GB2312" w:cs="仿宋_GB2312"/>
          <w:b w:val="0"/>
          <w:bCs w:val="0"/>
          <w:color w:val="auto"/>
          <w:spacing w:val="-4"/>
          <w:sz w:val="32"/>
          <w:szCs w:val="32"/>
          <w:highlight w:val="none"/>
        </w:rPr>
        <w:t>质量指标完成。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spacing w:val="-4"/>
          <w:sz w:val="32"/>
          <w:szCs w:val="32"/>
          <w:highlight w:val="none"/>
        </w:rPr>
      </w:pPr>
      <w:r>
        <w:rPr>
          <w:rStyle w:val="10"/>
          <w:rFonts w:hint="eastAsia" w:ascii="仿宋_GB2312" w:hAnsi="仿宋_GB2312" w:eastAsia="仿宋_GB2312" w:cs="仿宋_GB2312"/>
          <w:b/>
          <w:bCs/>
          <w:i w:val="0"/>
          <w:iCs w:val="0"/>
          <w:spacing w:val="-4"/>
          <w:sz w:val="32"/>
          <w:szCs w:val="32"/>
          <w:highlight w:val="none"/>
          <w:lang w:val="en-US" w:eastAsia="zh-CN"/>
        </w:rPr>
        <w:t>3.产出进</w:t>
      </w:r>
      <w:r>
        <w:rPr>
          <w:rStyle w:val="10"/>
          <w:rFonts w:hint="eastAsia" w:ascii="仿宋_GB2312" w:hAnsi="仿宋_GB2312" w:eastAsia="仿宋_GB2312" w:cs="仿宋_GB2312"/>
          <w:b/>
          <w:bCs/>
          <w:i w:val="0"/>
          <w:iCs w:val="0"/>
          <w:spacing w:val="-4"/>
          <w:sz w:val="32"/>
          <w:szCs w:val="32"/>
          <w:highlight w:val="none"/>
        </w:rPr>
        <w:t>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lang w:val="en-US" w:eastAsia="zh-CN"/>
        </w:rPr>
        <w:t>资金拨付及时率指标，预期指标是等于100%，实际完成值是100%，指标完成率是100%，达到预期目标。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时效指标共计</w:t>
      </w:r>
      <w:r>
        <w:rPr>
          <w:rFonts w:hint="eastAsia" w:ascii="仿宋" w:hAnsi="仿宋" w:eastAsia="仿宋" w:cs="宋体"/>
          <w:bCs/>
          <w:color w:val="auto"/>
          <w:sz w:val="32"/>
          <w:szCs w:val="32"/>
          <w:lang w:val="en-US" w:eastAsia="zh-CN" w:bidi="ar"/>
        </w:rPr>
        <w:t>1</w:t>
      </w:r>
      <w:r>
        <w:rPr>
          <w:rStyle w:val="10"/>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lang w:val="en-US" w:eastAsia="zh-CN" w:bidi="ar"/>
        </w:rPr>
        <w:t>1</w:t>
      </w:r>
      <w:r>
        <w:rPr>
          <w:rStyle w:val="10"/>
          <w:rFonts w:hint="eastAsia" w:ascii="仿宋_GB2312" w:hAnsi="仿宋_GB2312" w:eastAsia="仿宋_GB2312" w:cs="仿宋_GB2312"/>
          <w:b w:val="0"/>
          <w:bCs w:val="0"/>
          <w:color w:val="auto"/>
          <w:spacing w:val="-4"/>
          <w:sz w:val="32"/>
          <w:szCs w:val="32"/>
          <w:highlight w:val="none"/>
        </w:rPr>
        <w:t>个，达达到预期目标，数量指标完成。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spacing w:val="-4"/>
          <w:sz w:val="32"/>
          <w:szCs w:val="32"/>
          <w:highlight w:val="none"/>
          <w:lang w:val="en-US" w:eastAsia="zh-CN"/>
        </w:rPr>
        <w:t>4.产出成本</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人员经费指标，预期指标是等于</w:t>
      </w:r>
      <w:r>
        <w:rPr>
          <w:rStyle w:val="10"/>
          <w:rFonts w:hint="eastAsia" w:ascii="仿宋_GB2312" w:hAnsi="仿宋_GB2312" w:eastAsia="仿宋_GB2312" w:cs="仿宋_GB2312"/>
          <w:b w:val="0"/>
          <w:bCs w:val="0"/>
          <w:color w:val="auto"/>
          <w:spacing w:val="-4"/>
          <w:sz w:val="32"/>
          <w:szCs w:val="32"/>
          <w:highlight w:val="none"/>
          <w:lang w:eastAsia="zh-CN"/>
        </w:rPr>
        <w:t>1675.68</w:t>
      </w:r>
      <w:r>
        <w:rPr>
          <w:rStyle w:val="10"/>
          <w:rFonts w:hint="eastAsia" w:ascii="仿宋_GB2312" w:hAnsi="仿宋_GB2312" w:eastAsia="仿宋_GB2312" w:cs="仿宋_GB2312"/>
          <w:b w:val="0"/>
          <w:bCs w:val="0"/>
          <w:color w:val="auto"/>
          <w:spacing w:val="-4"/>
          <w:sz w:val="32"/>
          <w:szCs w:val="32"/>
          <w:highlight w:val="none"/>
        </w:rPr>
        <w:t>万元，实际完成值是</w:t>
      </w:r>
      <w:r>
        <w:rPr>
          <w:rStyle w:val="10"/>
          <w:rFonts w:hint="eastAsia" w:ascii="仿宋_GB2312" w:hAnsi="仿宋_GB2312" w:eastAsia="仿宋_GB2312" w:cs="仿宋_GB2312"/>
          <w:b w:val="0"/>
          <w:bCs w:val="0"/>
          <w:color w:val="auto"/>
          <w:spacing w:val="-4"/>
          <w:sz w:val="32"/>
          <w:szCs w:val="32"/>
          <w:highlight w:val="none"/>
          <w:lang w:eastAsia="zh-CN"/>
        </w:rPr>
        <w:t>1767.11</w:t>
      </w:r>
      <w:r>
        <w:rPr>
          <w:rStyle w:val="10"/>
          <w:rFonts w:hint="eastAsia" w:ascii="仿宋_GB2312" w:hAnsi="仿宋_GB2312" w:eastAsia="仿宋_GB2312" w:cs="仿宋_GB2312"/>
          <w:b w:val="0"/>
          <w:bCs w:val="0"/>
          <w:color w:val="auto"/>
          <w:spacing w:val="-4"/>
          <w:sz w:val="32"/>
          <w:szCs w:val="32"/>
          <w:highlight w:val="none"/>
        </w:rPr>
        <w:t>万元，指标完成率是</w:t>
      </w:r>
      <w:r>
        <w:rPr>
          <w:rStyle w:val="10"/>
          <w:rFonts w:hint="eastAsia" w:ascii="仿宋_GB2312" w:hAnsi="仿宋_GB2312" w:eastAsia="仿宋_GB2312" w:cs="仿宋_GB2312"/>
          <w:b w:val="0"/>
          <w:bCs w:val="0"/>
          <w:color w:val="auto"/>
          <w:spacing w:val="-4"/>
          <w:sz w:val="32"/>
          <w:szCs w:val="32"/>
          <w:highlight w:val="none"/>
          <w:lang w:val="en-US" w:eastAsia="zh-CN"/>
        </w:rPr>
        <w:t>100</w:t>
      </w:r>
      <w:r>
        <w:rPr>
          <w:rStyle w:val="10"/>
          <w:rFonts w:hint="eastAsia" w:ascii="仿宋_GB2312" w:hAnsi="仿宋_GB2312" w:eastAsia="仿宋_GB2312" w:cs="仿宋_GB2312"/>
          <w:b w:val="0"/>
          <w:bCs w:val="0"/>
          <w:color w:val="auto"/>
          <w:spacing w:val="-4"/>
          <w:sz w:val="32"/>
          <w:szCs w:val="32"/>
          <w:highlight w:val="none"/>
          <w:lang w:eastAsia="zh-CN"/>
        </w:rPr>
        <w:t>%</w:t>
      </w:r>
      <w:r>
        <w:rPr>
          <w:rStyle w:val="10"/>
          <w:rFonts w:hint="eastAsia" w:ascii="仿宋_GB2312" w:hAnsi="仿宋_GB2312" w:eastAsia="仿宋_GB2312" w:cs="仿宋_GB2312"/>
          <w:b w:val="0"/>
          <w:bCs w:val="0"/>
          <w:color w:val="auto"/>
          <w:spacing w:val="-4"/>
          <w:sz w:val="32"/>
          <w:szCs w:val="32"/>
          <w:highlight w:val="none"/>
        </w:rPr>
        <w:t>，达到</w:t>
      </w:r>
      <w:r>
        <w:rPr>
          <w:rStyle w:val="10"/>
          <w:rFonts w:hint="eastAsia" w:ascii="仿宋_GB2312" w:hAnsi="仿宋_GB2312" w:eastAsia="仿宋_GB2312" w:cs="仿宋_GB2312"/>
          <w:b w:val="0"/>
          <w:bCs w:val="0"/>
          <w:color w:val="auto"/>
          <w:spacing w:val="-4"/>
          <w:sz w:val="32"/>
          <w:szCs w:val="32"/>
          <w:highlight w:val="none"/>
          <w:lang w:eastAsia="zh-CN"/>
        </w:rPr>
        <w:t>成本控制及改善</w:t>
      </w:r>
      <w:r>
        <w:rPr>
          <w:rStyle w:val="10"/>
          <w:rFonts w:hint="eastAsia" w:ascii="仿宋_GB2312" w:hAnsi="仿宋_GB2312" w:eastAsia="仿宋_GB2312" w:cs="仿宋_GB2312"/>
          <w:b w:val="0"/>
          <w:bCs w:val="0"/>
          <w:color w:val="auto"/>
          <w:spacing w:val="-4"/>
          <w:sz w:val="32"/>
          <w:szCs w:val="32"/>
          <w:highlight w:val="none"/>
        </w:rPr>
        <w:t>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rPr>
        <w:t>公用经费指标，预期指标是等于</w:t>
      </w:r>
      <w:r>
        <w:rPr>
          <w:rStyle w:val="10"/>
          <w:rFonts w:hint="eastAsia" w:ascii="仿宋_GB2312" w:hAnsi="仿宋_GB2312" w:eastAsia="仿宋_GB2312" w:cs="仿宋_GB2312"/>
          <w:b w:val="0"/>
          <w:bCs w:val="0"/>
          <w:color w:val="auto"/>
          <w:spacing w:val="-4"/>
          <w:sz w:val="32"/>
          <w:szCs w:val="32"/>
          <w:highlight w:val="none"/>
          <w:lang w:eastAsia="zh-CN"/>
        </w:rPr>
        <w:t>39.64</w:t>
      </w:r>
      <w:r>
        <w:rPr>
          <w:rStyle w:val="10"/>
          <w:rFonts w:hint="eastAsia" w:ascii="仿宋_GB2312" w:hAnsi="仿宋_GB2312" w:eastAsia="仿宋_GB2312" w:cs="仿宋_GB2312"/>
          <w:b w:val="0"/>
          <w:bCs w:val="0"/>
          <w:color w:val="auto"/>
          <w:spacing w:val="-4"/>
          <w:sz w:val="32"/>
          <w:szCs w:val="32"/>
          <w:highlight w:val="none"/>
        </w:rPr>
        <w:t>万元，实际完成值是</w:t>
      </w:r>
      <w:r>
        <w:rPr>
          <w:rStyle w:val="10"/>
          <w:rFonts w:hint="eastAsia" w:ascii="仿宋_GB2312" w:hAnsi="仿宋_GB2312" w:eastAsia="仿宋_GB2312" w:cs="仿宋_GB2312"/>
          <w:b w:val="0"/>
          <w:bCs w:val="0"/>
          <w:color w:val="auto"/>
          <w:spacing w:val="-4"/>
          <w:sz w:val="32"/>
          <w:szCs w:val="32"/>
          <w:highlight w:val="none"/>
          <w:lang w:eastAsia="zh-CN"/>
        </w:rPr>
        <w:t>24.27</w:t>
      </w:r>
      <w:r>
        <w:rPr>
          <w:rStyle w:val="10"/>
          <w:rFonts w:hint="eastAsia" w:ascii="仿宋_GB2312" w:hAnsi="仿宋_GB2312" w:eastAsia="仿宋_GB2312" w:cs="仿宋_GB2312"/>
          <w:b w:val="0"/>
          <w:bCs w:val="0"/>
          <w:color w:val="auto"/>
          <w:spacing w:val="-4"/>
          <w:sz w:val="32"/>
          <w:szCs w:val="32"/>
          <w:highlight w:val="none"/>
        </w:rPr>
        <w:t>万元，指标完成率是</w:t>
      </w:r>
      <w:r>
        <w:rPr>
          <w:rStyle w:val="10"/>
          <w:rFonts w:hint="eastAsia" w:ascii="仿宋_GB2312" w:hAnsi="仿宋_GB2312" w:eastAsia="仿宋_GB2312" w:cs="仿宋_GB2312"/>
          <w:b w:val="0"/>
          <w:bCs w:val="0"/>
          <w:color w:val="auto"/>
          <w:spacing w:val="-4"/>
          <w:sz w:val="32"/>
          <w:szCs w:val="32"/>
          <w:highlight w:val="none"/>
          <w:lang w:val="en-US" w:eastAsia="zh-CN"/>
        </w:rPr>
        <w:t>61.23</w:t>
      </w:r>
      <w:r>
        <w:rPr>
          <w:rStyle w:val="10"/>
          <w:rFonts w:hint="eastAsia" w:ascii="仿宋_GB2312" w:hAnsi="仿宋_GB2312" w:eastAsia="仿宋_GB2312" w:cs="仿宋_GB2312"/>
          <w:b w:val="0"/>
          <w:bCs w:val="0"/>
          <w:color w:val="auto"/>
          <w:spacing w:val="-4"/>
          <w:sz w:val="32"/>
          <w:szCs w:val="32"/>
          <w:highlight w:val="none"/>
          <w:lang w:eastAsia="zh-CN"/>
        </w:rPr>
        <w:t>%</w:t>
      </w:r>
      <w:r>
        <w:rPr>
          <w:rStyle w:val="10"/>
          <w:rFonts w:hint="eastAsia" w:ascii="仿宋_GB2312" w:hAnsi="仿宋_GB2312" w:eastAsia="仿宋_GB2312" w:cs="仿宋_GB2312"/>
          <w:b w:val="0"/>
          <w:bCs w:val="0"/>
          <w:color w:val="auto"/>
          <w:spacing w:val="-4"/>
          <w:sz w:val="32"/>
          <w:szCs w:val="32"/>
          <w:highlight w:val="none"/>
        </w:rPr>
        <w:t>，达到</w:t>
      </w:r>
      <w:r>
        <w:rPr>
          <w:rStyle w:val="10"/>
          <w:rFonts w:hint="eastAsia" w:ascii="仿宋_GB2312" w:hAnsi="仿宋_GB2312" w:eastAsia="仿宋_GB2312" w:cs="仿宋_GB2312"/>
          <w:b w:val="0"/>
          <w:bCs w:val="0"/>
          <w:color w:val="auto"/>
          <w:spacing w:val="-4"/>
          <w:sz w:val="32"/>
          <w:szCs w:val="32"/>
          <w:highlight w:val="none"/>
          <w:lang w:eastAsia="zh-CN"/>
        </w:rPr>
        <w:t>成本控制及改善</w:t>
      </w:r>
      <w:r>
        <w:rPr>
          <w:rStyle w:val="10"/>
          <w:rFonts w:hint="eastAsia" w:ascii="仿宋_GB2312" w:hAnsi="仿宋_GB2312" w:eastAsia="仿宋_GB2312" w:cs="仿宋_GB2312"/>
          <w:b w:val="0"/>
          <w:bCs w:val="0"/>
          <w:color w:val="auto"/>
          <w:spacing w:val="-4"/>
          <w:sz w:val="32"/>
          <w:szCs w:val="32"/>
          <w:highlight w:val="none"/>
        </w:rPr>
        <w:t>目标。</w:t>
      </w:r>
      <w:r>
        <w:rPr>
          <w:rStyle w:val="10"/>
          <w:rFonts w:hint="eastAsia" w:ascii="仿宋_GB2312" w:hAnsi="仿宋_GB2312" w:eastAsia="仿宋_GB2312" w:cs="仿宋_GB2312"/>
          <w:b w:val="0"/>
          <w:bCs w:val="0"/>
          <w:color w:val="auto"/>
          <w:spacing w:val="-4"/>
          <w:sz w:val="32"/>
          <w:szCs w:val="32"/>
          <w:highlight w:val="none"/>
          <w:lang w:eastAsia="zh-CN"/>
        </w:rPr>
        <w:t>取暖费及车辆保险未让支出。</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项目支出指标，预期指标是小于等于</w:t>
      </w:r>
      <w:r>
        <w:rPr>
          <w:rStyle w:val="10"/>
          <w:rFonts w:hint="eastAsia" w:ascii="仿宋_GB2312" w:hAnsi="仿宋_GB2312" w:eastAsia="仿宋_GB2312" w:cs="仿宋_GB2312"/>
          <w:b w:val="0"/>
          <w:bCs w:val="0"/>
          <w:color w:val="auto"/>
          <w:spacing w:val="-4"/>
          <w:sz w:val="32"/>
          <w:szCs w:val="32"/>
          <w:highlight w:val="none"/>
          <w:lang w:eastAsia="zh-CN"/>
        </w:rPr>
        <w:t>4649.24</w:t>
      </w:r>
      <w:r>
        <w:rPr>
          <w:rStyle w:val="10"/>
          <w:rFonts w:hint="eastAsia" w:ascii="仿宋_GB2312" w:hAnsi="仿宋_GB2312" w:eastAsia="仿宋_GB2312" w:cs="仿宋_GB2312"/>
          <w:b w:val="0"/>
          <w:bCs w:val="0"/>
          <w:color w:val="auto"/>
          <w:spacing w:val="-4"/>
          <w:sz w:val="32"/>
          <w:szCs w:val="32"/>
          <w:highlight w:val="none"/>
        </w:rPr>
        <w:t>万元，实际完成值是</w:t>
      </w:r>
      <w:r>
        <w:rPr>
          <w:rStyle w:val="10"/>
          <w:rFonts w:hint="eastAsia" w:ascii="仿宋_GB2312" w:hAnsi="仿宋_GB2312" w:eastAsia="仿宋_GB2312" w:cs="仿宋_GB2312"/>
          <w:b w:val="0"/>
          <w:bCs w:val="0"/>
          <w:color w:val="auto"/>
          <w:spacing w:val="-4"/>
          <w:sz w:val="32"/>
          <w:szCs w:val="32"/>
          <w:highlight w:val="none"/>
          <w:lang w:eastAsia="zh-CN"/>
        </w:rPr>
        <w:t>2680.64</w:t>
      </w:r>
      <w:r>
        <w:rPr>
          <w:rStyle w:val="10"/>
          <w:rFonts w:hint="eastAsia" w:ascii="仿宋_GB2312" w:hAnsi="仿宋_GB2312" w:eastAsia="仿宋_GB2312" w:cs="仿宋_GB2312"/>
          <w:b w:val="0"/>
          <w:bCs w:val="0"/>
          <w:color w:val="auto"/>
          <w:spacing w:val="-4"/>
          <w:sz w:val="32"/>
          <w:szCs w:val="32"/>
          <w:highlight w:val="none"/>
        </w:rPr>
        <w:t>万元，指标完成率是</w:t>
      </w:r>
      <w:r>
        <w:rPr>
          <w:rStyle w:val="10"/>
          <w:rFonts w:hint="eastAsia" w:ascii="仿宋_GB2312" w:hAnsi="仿宋_GB2312" w:eastAsia="仿宋_GB2312" w:cs="仿宋_GB2312"/>
          <w:b w:val="0"/>
          <w:bCs w:val="0"/>
          <w:color w:val="auto"/>
          <w:spacing w:val="-4"/>
          <w:sz w:val="32"/>
          <w:szCs w:val="32"/>
          <w:highlight w:val="none"/>
          <w:lang w:val="en-US" w:eastAsia="zh-CN"/>
        </w:rPr>
        <w:t>57.66</w:t>
      </w:r>
      <w:r>
        <w:rPr>
          <w:rStyle w:val="10"/>
          <w:rFonts w:hint="eastAsia" w:ascii="仿宋_GB2312" w:hAnsi="仿宋_GB2312" w:eastAsia="仿宋_GB2312" w:cs="仿宋_GB2312"/>
          <w:b w:val="0"/>
          <w:bCs w:val="0"/>
          <w:color w:val="auto"/>
          <w:spacing w:val="-4"/>
          <w:sz w:val="32"/>
          <w:szCs w:val="32"/>
          <w:highlight w:val="none"/>
          <w:lang w:eastAsia="zh-CN"/>
        </w:rPr>
        <w:t>%</w:t>
      </w:r>
      <w:r>
        <w:rPr>
          <w:rStyle w:val="10"/>
          <w:rFonts w:hint="eastAsia" w:ascii="仿宋_GB2312" w:hAnsi="仿宋_GB2312" w:eastAsia="仿宋_GB2312" w:cs="仿宋_GB2312"/>
          <w:b w:val="0"/>
          <w:bCs w:val="0"/>
          <w:color w:val="auto"/>
          <w:spacing w:val="-4"/>
          <w:sz w:val="32"/>
          <w:szCs w:val="32"/>
          <w:highlight w:val="none"/>
        </w:rPr>
        <w:t>，达到</w:t>
      </w:r>
      <w:r>
        <w:rPr>
          <w:rStyle w:val="10"/>
          <w:rFonts w:hint="eastAsia" w:ascii="仿宋_GB2312" w:hAnsi="仿宋_GB2312" w:eastAsia="仿宋_GB2312" w:cs="仿宋_GB2312"/>
          <w:b w:val="0"/>
          <w:bCs w:val="0"/>
          <w:color w:val="auto"/>
          <w:spacing w:val="-4"/>
          <w:sz w:val="32"/>
          <w:szCs w:val="32"/>
          <w:highlight w:val="none"/>
          <w:lang w:eastAsia="zh-CN"/>
        </w:rPr>
        <w:t>成本控制及改善</w:t>
      </w:r>
      <w:r>
        <w:rPr>
          <w:rStyle w:val="10"/>
          <w:rFonts w:hint="eastAsia" w:ascii="仿宋_GB2312" w:hAnsi="仿宋_GB2312" w:eastAsia="仿宋_GB2312" w:cs="仿宋_GB2312"/>
          <w:b w:val="0"/>
          <w:bCs w:val="0"/>
          <w:color w:val="auto"/>
          <w:spacing w:val="-4"/>
          <w:sz w:val="32"/>
          <w:szCs w:val="32"/>
          <w:highlight w:val="none"/>
        </w:rPr>
        <w:t>目标2021年顶岗实习生生活补助及往返路费</w:t>
      </w:r>
      <w:r>
        <w:rPr>
          <w:rStyle w:val="10"/>
          <w:rFonts w:hint="eastAsia" w:ascii="仿宋_GB2312" w:hAnsi="仿宋_GB2312" w:eastAsia="仿宋_GB2312" w:cs="仿宋_GB2312"/>
          <w:b w:val="0"/>
          <w:bCs w:val="0"/>
          <w:color w:val="auto"/>
          <w:spacing w:val="-4"/>
          <w:sz w:val="32"/>
          <w:szCs w:val="32"/>
          <w:highlight w:val="none"/>
          <w:lang w:eastAsia="zh-CN"/>
        </w:rPr>
        <w:t>、</w:t>
      </w:r>
      <w:r>
        <w:rPr>
          <w:rStyle w:val="10"/>
          <w:rFonts w:hint="eastAsia" w:ascii="仿宋_GB2312" w:hAnsi="仿宋_GB2312" w:eastAsia="仿宋_GB2312" w:cs="仿宋_GB2312"/>
          <w:b w:val="0"/>
          <w:bCs w:val="0"/>
          <w:color w:val="auto"/>
          <w:spacing w:val="-4"/>
          <w:sz w:val="32"/>
          <w:szCs w:val="32"/>
          <w:highlight w:val="none"/>
        </w:rPr>
        <w:t>2022年公用经费费县级配套资金</w:t>
      </w:r>
      <w:r>
        <w:rPr>
          <w:rStyle w:val="10"/>
          <w:rFonts w:hint="eastAsia" w:ascii="仿宋_GB2312" w:hAnsi="仿宋_GB2312" w:eastAsia="仿宋_GB2312" w:cs="仿宋_GB2312"/>
          <w:b w:val="0"/>
          <w:bCs w:val="0"/>
          <w:color w:val="auto"/>
          <w:spacing w:val="-4"/>
          <w:sz w:val="32"/>
          <w:szCs w:val="32"/>
          <w:highlight w:val="none"/>
          <w:lang w:eastAsia="zh-CN"/>
        </w:rPr>
        <w:t>、2021年寄宿生生活补助费县级配套资金等项目为让支出使用。</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成本指标共计</w:t>
      </w:r>
      <w:r>
        <w:rPr>
          <w:rStyle w:val="10"/>
          <w:rFonts w:hint="eastAsia" w:ascii="仿宋_GB2312" w:hAnsi="仿宋_GB2312" w:eastAsia="仿宋_GB2312" w:cs="仿宋_GB2312"/>
          <w:b w:val="0"/>
          <w:bCs w:val="0"/>
          <w:color w:val="auto"/>
          <w:spacing w:val="-4"/>
          <w:sz w:val="32"/>
          <w:szCs w:val="32"/>
          <w:highlight w:val="none"/>
          <w:lang w:val="en-US" w:eastAsia="zh-CN"/>
        </w:rPr>
        <w:t>3</w:t>
      </w:r>
      <w:r>
        <w:rPr>
          <w:rStyle w:val="10"/>
          <w:rFonts w:hint="eastAsia" w:ascii="仿宋_GB2312" w:hAnsi="仿宋_GB2312" w:eastAsia="仿宋_GB2312" w:cs="仿宋_GB2312"/>
          <w:b w:val="0"/>
          <w:bCs w:val="0"/>
          <w:color w:val="auto"/>
          <w:spacing w:val="-4"/>
          <w:sz w:val="32"/>
          <w:szCs w:val="32"/>
          <w:highlight w:val="none"/>
        </w:rPr>
        <w:t>个，完成</w:t>
      </w:r>
      <w:r>
        <w:rPr>
          <w:rStyle w:val="10"/>
          <w:rFonts w:hint="eastAsia" w:ascii="仿宋_GB2312" w:hAnsi="仿宋_GB2312" w:eastAsia="仿宋_GB2312" w:cs="仿宋_GB2312"/>
          <w:b w:val="0"/>
          <w:bCs w:val="0"/>
          <w:color w:val="auto"/>
          <w:spacing w:val="-4"/>
          <w:sz w:val="32"/>
          <w:szCs w:val="32"/>
          <w:highlight w:val="none"/>
          <w:lang w:val="en-US" w:eastAsia="zh-CN"/>
        </w:rPr>
        <w:t>3</w:t>
      </w:r>
      <w:r>
        <w:rPr>
          <w:rStyle w:val="10"/>
          <w:rFonts w:hint="eastAsia" w:ascii="仿宋_GB2312" w:hAnsi="仿宋_GB2312" w:eastAsia="仿宋_GB2312" w:cs="仿宋_GB2312"/>
          <w:b w:val="0"/>
          <w:bCs w:val="0"/>
          <w:color w:val="auto"/>
          <w:spacing w:val="-4"/>
          <w:sz w:val="32"/>
          <w:szCs w:val="32"/>
          <w:highlight w:val="none"/>
        </w:rPr>
        <w:t>个，达到</w:t>
      </w:r>
      <w:r>
        <w:rPr>
          <w:rStyle w:val="10"/>
          <w:rFonts w:hint="eastAsia" w:ascii="仿宋_GB2312" w:hAnsi="仿宋_GB2312" w:eastAsia="仿宋_GB2312" w:cs="仿宋_GB2312"/>
          <w:b w:val="0"/>
          <w:bCs w:val="0"/>
          <w:color w:val="auto"/>
          <w:spacing w:val="-4"/>
          <w:sz w:val="32"/>
          <w:szCs w:val="32"/>
          <w:highlight w:val="none"/>
          <w:lang w:eastAsia="zh-CN"/>
        </w:rPr>
        <w:t>成本控制及改善</w:t>
      </w:r>
      <w:r>
        <w:rPr>
          <w:rStyle w:val="10"/>
          <w:rFonts w:hint="eastAsia" w:ascii="仿宋_GB2312" w:hAnsi="仿宋_GB2312" w:eastAsia="仿宋_GB2312" w:cs="仿宋_GB2312"/>
          <w:b w:val="0"/>
          <w:bCs w:val="0"/>
          <w:color w:val="auto"/>
          <w:spacing w:val="-4"/>
          <w:sz w:val="32"/>
          <w:szCs w:val="32"/>
          <w:highlight w:val="none"/>
        </w:rPr>
        <w:t>目标，成本指标完成。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spacing w:val="-4"/>
          <w:sz w:val="32"/>
          <w:szCs w:val="32"/>
          <w:highlight w:val="none"/>
          <w:lang w:val="en-US" w:eastAsia="zh-CN"/>
        </w:rPr>
        <w:t>（二）效益指标完成情况分析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spacing w:val="-4"/>
          <w:sz w:val="32"/>
          <w:szCs w:val="32"/>
          <w:highlight w:val="none"/>
          <w:lang w:val="en-US" w:eastAsia="zh-CN"/>
        </w:rPr>
        <w:t>1.项目实施的经济效益分析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无。</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auto"/>
          <w:spacing w:val="-4"/>
          <w:sz w:val="32"/>
          <w:szCs w:val="32"/>
          <w:highlight w:val="none"/>
          <w:lang w:val="en-US" w:eastAsia="zh-CN"/>
        </w:rPr>
      </w:pPr>
      <w:r>
        <w:rPr>
          <w:rStyle w:val="10"/>
          <w:rFonts w:hint="eastAsia" w:ascii="仿宋_GB2312" w:hAnsi="仿宋_GB2312" w:eastAsia="仿宋_GB2312" w:cs="仿宋_GB2312"/>
          <w:b/>
          <w:bCs/>
          <w:i w:val="0"/>
          <w:iCs w:val="0"/>
          <w:color w:val="auto"/>
          <w:spacing w:val="-4"/>
          <w:sz w:val="32"/>
          <w:szCs w:val="32"/>
          <w:highlight w:val="none"/>
          <w:lang w:val="en-US" w:eastAsia="zh-CN"/>
        </w:rPr>
        <w:t>2.项目实施的社会效益分析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提升教育公信力和教育教学质量指标，预期指标是显著提升，实际完成值是显著提升，指标完成率是100%，达到单位履职能力对社会带来的影响预期目标。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社会效益指标共计</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个，完成</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w:t>
      </w:r>
      <w:r>
        <w:rPr>
          <w:rStyle w:val="10"/>
          <w:rFonts w:hint="eastAsia" w:ascii="仿宋_GB2312" w:hAnsi="仿宋_GB2312" w:eastAsia="仿宋_GB2312" w:cs="仿宋_GB2312"/>
          <w:b w:val="0"/>
          <w:bCs w:val="0"/>
          <w:color w:val="auto"/>
          <w:spacing w:val="-4"/>
          <w:sz w:val="32"/>
          <w:szCs w:val="32"/>
          <w:highlight w:val="none"/>
          <w:lang w:val="en-US" w:eastAsia="zh-CN"/>
        </w:rPr>
        <w:t>达到单位履职能力对社会带来的影响预期目标</w:t>
      </w:r>
      <w:r>
        <w:rPr>
          <w:rStyle w:val="10"/>
          <w:rFonts w:hint="eastAsia" w:ascii="仿宋_GB2312" w:hAnsi="仿宋_GB2312" w:eastAsia="仿宋_GB2312" w:cs="仿宋_GB2312"/>
          <w:b w:val="0"/>
          <w:bCs w:val="0"/>
          <w:color w:val="auto"/>
          <w:spacing w:val="-4"/>
          <w:sz w:val="32"/>
          <w:szCs w:val="32"/>
          <w:highlight w:val="none"/>
        </w:rPr>
        <w:t>，社会效益指标完成。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auto"/>
          <w:spacing w:val="-4"/>
          <w:sz w:val="32"/>
          <w:szCs w:val="32"/>
          <w:highlight w:val="none"/>
          <w:lang w:val="en-US" w:eastAsia="zh-CN"/>
        </w:rPr>
      </w:pPr>
      <w:r>
        <w:rPr>
          <w:rStyle w:val="10"/>
          <w:rFonts w:hint="eastAsia" w:ascii="仿宋_GB2312" w:hAnsi="仿宋_GB2312" w:eastAsia="仿宋_GB2312" w:cs="仿宋_GB2312"/>
          <w:b/>
          <w:bCs/>
          <w:i w:val="0"/>
          <w:iCs w:val="0"/>
          <w:color w:val="auto"/>
          <w:spacing w:val="-4"/>
          <w:sz w:val="32"/>
          <w:szCs w:val="32"/>
          <w:highlight w:val="none"/>
          <w:lang w:val="en-US" w:eastAsia="zh-CN"/>
        </w:rPr>
        <w:t>3.项目实施的生态效益分析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无。</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spacing w:val="-4"/>
          <w:sz w:val="32"/>
          <w:szCs w:val="32"/>
          <w:highlight w:val="none"/>
          <w:lang w:val="en-US" w:eastAsia="zh-CN"/>
        </w:rPr>
        <w:t>4.项目实施的可持续影响分析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促进教育事业可持续发展指标，预期指标是有效促进，实际完成值是有效促进，指标完成率是100%，实现部门绩效长效机制建设，提高工作效率目标。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lang w:val="en-US" w:eastAsia="zh-CN"/>
        </w:rPr>
        <w:t>可持续影响</w:t>
      </w:r>
      <w:r>
        <w:rPr>
          <w:rStyle w:val="10"/>
          <w:rFonts w:hint="eastAsia" w:ascii="仿宋_GB2312" w:hAnsi="仿宋_GB2312" w:eastAsia="仿宋_GB2312" w:cs="仿宋_GB2312"/>
          <w:b w:val="0"/>
          <w:bCs w:val="0"/>
          <w:color w:val="auto"/>
          <w:spacing w:val="-4"/>
          <w:sz w:val="32"/>
          <w:szCs w:val="32"/>
          <w:highlight w:val="none"/>
        </w:rPr>
        <w:t>指标共计</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个，完成</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个，达到预期目标，</w:t>
      </w:r>
      <w:r>
        <w:rPr>
          <w:rStyle w:val="10"/>
          <w:rFonts w:hint="eastAsia" w:ascii="仿宋_GB2312" w:hAnsi="仿宋_GB2312" w:eastAsia="仿宋_GB2312" w:cs="仿宋_GB2312"/>
          <w:b w:val="0"/>
          <w:bCs w:val="0"/>
          <w:color w:val="auto"/>
          <w:spacing w:val="-4"/>
          <w:sz w:val="32"/>
          <w:szCs w:val="32"/>
          <w:highlight w:val="none"/>
          <w:lang w:val="en-US" w:eastAsia="zh-CN"/>
        </w:rPr>
        <w:t>可持续影响</w:t>
      </w:r>
      <w:r>
        <w:rPr>
          <w:rStyle w:val="10"/>
          <w:rFonts w:hint="eastAsia" w:ascii="仿宋_GB2312" w:hAnsi="仿宋_GB2312" w:eastAsia="仿宋_GB2312" w:cs="仿宋_GB2312"/>
          <w:b w:val="0"/>
          <w:bCs w:val="0"/>
          <w:color w:val="auto"/>
          <w:spacing w:val="-4"/>
          <w:sz w:val="32"/>
          <w:szCs w:val="32"/>
          <w:highlight w:val="none"/>
        </w:rPr>
        <w:t>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spacing w:val="-4"/>
          <w:sz w:val="32"/>
          <w:szCs w:val="32"/>
          <w:highlight w:val="none"/>
          <w:lang w:val="en-US" w:eastAsia="zh-CN"/>
        </w:rPr>
        <w:t>（三）满意度指标完成情况分析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按计划完成项目实施，已做满意度调查抽样问卷，具体如下：</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受益局机关工作人员满意度指标，预期指标是大于等于95%，实际完成值是98%，指标完成率是100%，达到部门（单位）服务对象对部门履职效果的满意度。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lang w:val="en-US" w:eastAsia="zh-CN"/>
        </w:rPr>
        <w:t>受益学校满意度指标，预期指标是大于等于95%，实际完成值是98%，指标完成率是100%，达到部门（单位）服务对象对部门履职效果的满意度。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满意度指标共计</w:t>
      </w:r>
      <w:r>
        <w:rPr>
          <w:rStyle w:val="10"/>
          <w:rFonts w:hint="eastAsia" w:ascii="仿宋_GB2312" w:hAnsi="仿宋_GB2312" w:eastAsia="仿宋_GB2312" w:cs="仿宋_GB2312"/>
          <w:b w:val="0"/>
          <w:bCs w:val="0"/>
          <w:color w:val="auto"/>
          <w:spacing w:val="-4"/>
          <w:sz w:val="32"/>
          <w:szCs w:val="32"/>
          <w:highlight w:val="none"/>
          <w:lang w:val="en-US" w:eastAsia="zh-CN"/>
        </w:rPr>
        <w:t>2</w:t>
      </w:r>
      <w:r>
        <w:rPr>
          <w:rStyle w:val="10"/>
          <w:rFonts w:hint="eastAsia" w:ascii="仿宋_GB2312" w:hAnsi="仿宋_GB2312" w:eastAsia="仿宋_GB2312" w:cs="仿宋_GB2312"/>
          <w:b w:val="0"/>
          <w:bCs w:val="0"/>
          <w:color w:val="auto"/>
          <w:spacing w:val="-4"/>
          <w:sz w:val="32"/>
          <w:szCs w:val="32"/>
          <w:highlight w:val="none"/>
        </w:rPr>
        <w:t>个，完成</w:t>
      </w:r>
      <w:r>
        <w:rPr>
          <w:rStyle w:val="10"/>
          <w:rFonts w:hint="eastAsia" w:ascii="仿宋_GB2312" w:hAnsi="仿宋_GB2312" w:eastAsia="仿宋_GB2312" w:cs="仿宋_GB2312"/>
          <w:b w:val="0"/>
          <w:bCs w:val="0"/>
          <w:color w:val="auto"/>
          <w:spacing w:val="-4"/>
          <w:sz w:val="32"/>
          <w:szCs w:val="32"/>
          <w:highlight w:val="none"/>
          <w:lang w:val="en-US" w:eastAsia="zh-CN"/>
        </w:rPr>
        <w:t>2</w:t>
      </w:r>
      <w:r>
        <w:rPr>
          <w:rStyle w:val="10"/>
          <w:rFonts w:hint="eastAsia" w:ascii="仿宋_GB2312" w:hAnsi="仿宋_GB2312" w:eastAsia="仿宋_GB2312" w:cs="仿宋_GB2312"/>
          <w:b w:val="0"/>
          <w:bCs w:val="0"/>
          <w:color w:val="auto"/>
          <w:spacing w:val="-4"/>
          <w:sz w:val="32"/>
          <w:szCs w:val="32"/>
          <w:highlight w:val="none"/>
        </w:rPr>
        <w:t>个，</w:t>
      </w:r>
      <w:r>
        <w:rPr>
          <w:rStyle w:val="10"/>
          <w:rFonts w:hint="eastAsia" w:ascii="仿宋_GB2312" w:hAnsi="仿宋_GB2312" w:eastAsia="仿宋_GB2312" w:cs="仿宋_GB2312"/>
          <w:b w:val="0"/>
          <w:bCs w:val="0"/>
          <w:color w:val="auto"/>
          <w:spacing w:val="-4"/>
          <w:sz w:val="32"/>
          <w:szCs w:val="32"/>
          <w:highlight w:val="none"/>
          <w:lang w:val="en-US" w:eastAsia="zh-CN"/>
        </w:rPr>
        <w:t>达到部门（单位）服务对象对部门履职效果的满意度</w:t>
      </w:r>
      <w:r>
        <w:rPr>
          <w:rStyle w:val="10"/>
          <w:rFonts w:hint="eastAsia" w:ascii="仿宋_GB2312" w:hAnsi="仿宋_GB2312" w:eastAsia="仿宋_GB2312" w:cs="仿宋_GB2312"/>
          <w:b w:val="0"/>
          <w:bCs w:val="0"/>
          <w:color w:val="auto"/>
          <w:spacing w:val="-4"/>
          <w:sz w:val="32"/>
          <w:szCs w:val="32"/>
          <w:highlight w:val="none"/>
        </w:rPr>
        <w:t>，服务对象满意度指标完成。</w:t>
      </w:r>
    </w:p>
    <w:p>
      <w:pPr>
        <w:pStyle w:val="11"/>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spacing w:val="-4"/>
          <w:sz w:val="32"/>
          <w:szCs w:val="32"/>
          <w:highlight w:val="none"/>
        </w:rPr>
      </w:pPr>
      <w:bookmarkStart w:id="6" w:name="_Toc22800_WPSOffice_Level1"/>
      <w:r>
        <w:rPr>
          <w:rStyle w:val="10"/>
          <w:rFonts w:hint="eastAsia" w:ascii="仿宋_GB2312" w:hAnsi="仿宋_GB2312" w:eastAsia="仿宋_GB2312" w:cs="仿宋_GB2312"/>
          <w:b/>
          <w:bCs/>
          <w:spacing w:val="-4"/>
          <w:sz w:val="32"/>
          <w:szCs w:val="32"/>
          <w:highlight w:val="none"/>
        </w:rPr>
        <w:t>存在的主要问题</w:t>
      </w:r>
      <w:bookmarkEnd w:id="6"/>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0"/>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0"/>
          <w:rFonts w:hint="eastAsia" w:ascii="仿宋_GB2312" w:hAnsi="仿宋_GB2312" w:eastAsia="仿宋_GB2312" w:cs="仿宋_GB2312"/>
          <w:b w:val="0"/>
          <w:bCs w:val="0"/>
          <w:color w:val="auto"/>
          <w:spacing w:val="-4"/>
          <w:kern w:val="2"/>
          <w:sz w:val="32"/>
          <w:szCs w:val="32"/>
          <w:highlight w:val="none"/>
          <w:lang w:val="en-US" w:eastAsia="zh-CN" w:bidi="ar-SA"/>
        </w:rPr>
        <w:t>部分业务人员绩效管理意识有待增强，未能全面深入认识理解绩效管理工作的意义。绩效管理经验不足，预算绩效管理工作有待进一步落实。</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0"/>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0"/>
          <w:rFonts w:hint="eastAsia" w:ascii="仿宋_GB2312" w:hAnsi="仿宋_GB2312" w:eastAsia="仿宋_GB2312" w:cs="仿宋_GB2312"/>
          <w:b w:val="0"/>
          <w:bCs w:val="0"/>
          <w:color w:val="auto"/>
          <w:spacing w:val="-4"/>
          <w:kern w:val="2"/>
          <w:sz w:val="32"/>
          <w:szCs w:val="32"/>
          <w:highlight w:val="none"/>
          <w:lang w:val="en-US" w:eastAsia="zh-CN" w:bidi="ar-SA"/>
        </w:rPr>
        <w:t>绩效指标的明确性、可衡量性、相关性还需进一步提升。预算精细化管理还需完善，预算编制管理水平仍有进一步提升的空间。</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0"/>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0"/>
          <w:rFonts w:hint="eastAsia" w:ascii="仿宋_GB2312" w:hAnsi="仿宋_GB2312" w:eastAsia="仿宋_GB2312" w:cs="仿宋_GB2312"/>
          <w:b w:val="0"/>
          <w:bCs w:val="0"/>
          <w:color w:val="auto"/>
          <w:spacing w:val="-4"/>
          <w:kern w:val="2"/>
          <w:sz w:val="32"/>
          <w:szCs w:val="32"/>
          <w:highlight w:val="none"/>
          <w:lang w:val="en-US" w:eastAsia="zh-CN" w:bidi="ar-SA"/>
        </w:rPr>
        <w:t>因2021年顶岗实习生学业问题，只来小部分人员支教，我单位2021年顶岗实习生生活补助及往返路费项目部分实施。</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0"/>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0"/>
          <w:rFonts w:hint="eastAsia" w:ascii="仿宋_GB2312" w:hAnsi="仿宋_GB2312" w:eastAsia="仿宋_GB2312" w:cs="仿宋_GB2312"/>
          <w:b w:val="0"/>
          <w:bCs w:val="0"/>
          <w:color w:val="auto"/>
          <w:spacing w:val="-4"/>
          <w:kern w:val="2"/>
          <w:sz w:val="32"/>
          <w:szCs w:val="32"/>
          <w:highlight w:val="none"/>
          <w:lang w:val="en-US" w:eastAsia="zh-CN" w:bidi="ar-SA"/>
        </w:rPr>
        <w:t>年初预算保安厨师全年发放总金额2587.95万元，因疫情影响实际发放1973.85万元，后期严格执行相关规定，按时发放。</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0"/>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0"/>
          <w:rFonts w:hint="eastAsia" w:ascii="仿宋_GB2312" w:hAnsi="仿宋_GB2312" w:eastAsia="仿宋_GB2312" w:cs="仿宋_GB2312"/>
          <w:b w:val="0"/>
          <w:bCs w:val="0"/>
          <w:color w:val="auto"/>
          <w:spacing w:val="-4"/>
          <w:kern w:val="2"/>
          <w:sz w:val="32"/>
          <w:szCs w:val="32"/>
          <w:highlight w:val="none"/>
          <w:lang w:val="en-US" w:eastAsia="zh-CN" w:bidi="ar-SA"/>
        </w:rPr>
        <w:t>2021年考务经费项目，因供货商未开发票，导致未支付。后期及时催促供货商开票。</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0"/>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0"/>
          <w:rFonts w:hint="eastAsia" w:ascii="仿宋_GB2312" w:hAnsi="仿宋_GB2312" w:eastAsia="仿宋_GB2312" w:cs="仿宋_GB2312"/>
          <w:b w:val="0"/>
          <w:bCs w:val="0"/>
          <w:color w:val="auto"/>
          <w:spacing w:val="-4"/>
          <w:kern w:val="2"/>
          <w:sz w:val="32"/>
          <w:szCs w:val="32"/>
          <w:highlight w:val="none"/>
          <w:lang w:val="en-US" w:eastAsia="zh-CN" w:bidi="ar-SA"/>
        </w:rPr>
        <w:t>教育附加费项目，因财政资金紧张未能发放。后期严格按照文件要求落实，及时拨付资金。</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Fonts w:hint="eastAsia"/>
          <w:lang w:val="en-US" w:eastAsia="zh-CN"/>
        </w:rPr>
      </w:pPr>
      <w:r>
        <w:rPr>
          <w:rStyle w:val="10"/>
          <w:rFonts w:hint="eastAsia" w:ascii="仿宋_GB2312" w:hAnsi="仿宋_GB2312" w:eastAsia="仿宋_GB2312" w:cs="仿宋_GB2312"/>
          <w:b w:val="0"/>
          <w:bCs w:val="0"/>
          <w:color w:val="auto"/>
          <w:spacing w:val="-4"/>
          <w:kern w:val="2"/>
          <w:sz w:val="32"/>
          <w:szCs w:val="32"/>
          <w:highlight w:val="none"/>
          <w:lang w:val="en-US" w:eastAsia="zh-CN" w:bidi="ar-SA"/>
        </w:rPr>
        <w:t>2021年教师培训预算经费项目，因财政资金紧张未能发放。后期严格按照文件要求落实，及时拨付资金。</w:t>
      </w:r>
    </w:p>
    <w:p>
      <w:pPr>
        <w:pStyle w:val="11"/>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spacing w:val="-4"/>
          <w:sz w:val="32"/>
          <w:szCs w:val="32"/>
          <w:highlight w:val="none"/>
        </w:rPr>
      </w:pPr>
      <w:bookmarkStart w:id="7" w:name="_Toc29546_WPSOffice_Level1"/>
      <w:r>
        <w:rPr>
          <w:rStyle w:val="10"/>
          <w:rFonts w:hint="eastAsia" w:ascii="仿宋_GB2312" w:hAnsi="仿宋_GB2312" w:eastAsia="仿宋_GB2312" w:cs="仿宋_GB2312"/>
          <w:b/>
          <w:bCs/>
          <w:spacing w:val="-4"/>
          <w:sz w:val="32"/>
          <w:szCs w:val="32"/>
          <w:highlight w:val="none"/>
        </w:rPr>
        <w:t>改进措施和建议</w:t>
      </w:r>
      <w:bookmarkEnd w:id="7"/>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（一）改进措施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加大绩效工作宣传力度，强化绩效理念。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完善绩效指标，提高整体绩效目标质量。提升预算精细化管理水平。</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继续完善预算绩效管理相关工作制度，建立全过程预算绩效管理链条，有效贯彻落实全面实施绩效管理的精神。</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w:t>
      </w:r>
      <w:r>
        <w:rPr>
          <w:rStyle w:val="10"/>
          <w:rFonts w:hint="eastAsia" w:ascii="仿宋_GB2312" w:hAnsi="仿宋_GB2312" w:eastAsia="仿宋_GB2312" w:cs="仿宋_GB2312"/>
          <w:b/>
          <w:bCs/>
          <w:color w:val="auto"/>
          <w:spacing w:val="-4"/>
          <w:sz w:val="32"/>
          <w:szCs w:val="32"/>
          <w:highlight w:val="none"/>
          <w:lang w:val="en-US" w:eastAsia="zh-CN"/>
        </w:rPr>
        <w:t>二）建议</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加强预算绩效目标管理工作。明确预算项目绩效目标编制要求，分类别建立科学合理、细化量化、可比可测预算绩效指标体系，突出结果导向，重点考核实绩。</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借助第三方专业机构力量，贯彻落实全面预算绩效管理工作，建立全过程预算绩效管理链条，将绩效各个环节紧密贯通。</w:t>
      </w:r>
    </w:p>
    <w:p>
      <w:pPr>
        <w:snapToGrid w:val="0"/>
        <w:spacing w:line="540" w:lineRule="exact"/>
        <w:rPr>
          <w:rStyle w:val="10"/>
          <w:rFonts w:hint="eastAsia" w:ascii="仿宋_GB2312" w:hAnsi="仿宋_GB2312" w:eastAsia="仿宋_GB2312" w:cs="仿宋_GB2312"/>
          <w:b w:val="0"/>
          <w:color w:val="auto"/>
          <w:spacing w:val="-4"/>
          <w:sz w:val="32"/>
          <w:szCs w:val="32"/>
          <w:highlight w:val="none"/>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F2ACD"/>
    <w:rsid w:val="012008EE"/>
    <w:rsid w:val="01CC583F"/>
    <w:rsid w:val="04FF0482"/>
    <w:rsid w:val="05062887"/>
    <w:rsid w:val="05F70F85"/>
    <w:rsid w:val="07685AEB"/>
    <w:rsid w:val="084208C4"/>
    <w:rsid w:val="098A3C0A"/>
    <w:rsid w:val="0A9A7091"/>
    <w:rsid w:val="10FE60D7"/>
    <w:rsid w:val="175D58E3"/>
    <w:rsid w:val="18061B60"/>
    <w:rsid w:val="190C3DF8"/>
    <w:rsid w:val="1982475C"/>
    <w:rsid w:val="19F83E30"/>
    <w:rsid w:val="1B403139"/>
    <w:rsid w:val="1C6D319F"/>
    <w:rsid w:val="1D4D74D6"/>
    <w:rsid w:val="1DE32CFD"/>
    <w:rsid w:val="1F1A602A"/>
    <w:rsid w:val="1F2854B6"/>
    <w:rsid w:val="21C768CD"/>
    <w:rsid w:val="22E14253"/>
    <w:rsid w:val="23F209A3"/>
    <w:rsid w:val="2403516E"/>
    <w:rsid w:val="256A2A9E"/>
    <w:rsid w:val="26354389"/>
    <w:rsid w:val="27813E1F"/>
    <w:rsid w:val="2805537E"/>
    <w:rsid w:val="289437EE"/>
    <w:rsid w:val="2EBF757D"/>
    <w:rsid w:val="2F0E3F26"/>
    <w:rsid w:val="2F215977"/>
    <w:rsid w:val="31B83F5F"/>
    <w:rsid w:val="32335C0C"/>
    <w:rsid w:val="328E2AB6"/>
    <w:rsid w:val="329B12EA"/>
    <w:rsid w:val="33A83F87"/>
    <w:rsid w:val="355C2B3F"/>
    <w:rsid w:val="35F12468"/>
    <w:rsid w:val="36851B5C"/>
    <w:rsid w:val="37D360CA"/>
    <w:rsid w:val="38CB5066"/>
    <w:rsid w:val="39CD7920"/>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8542642"/>
    <w:rsid w:val="686530CC"/>
    <w:rsid w:val="6AB12D17"/>
    <w:rsid w:val="6AD46D46"/>
    <w:rsid w:val="6DE07909"/>
    <w:rsid w:val="6E58438A"/>
    <w:rsid w:val="6E9D5508"/>
    <w:rsid w:val="71EB22B3"/>
    <w:rsid w:val="72010FA6"/>
    <w:rsid w:val="730A49E2"/>
    <w:rsid w:val="748A4F72"/>
    <w:rsid w:val="75664078"/>
    <w:rsid w:val="761E4132"/>
    <w:rsid w:val="77516553"/>
    <w:rsid w:val="78061A79"/>
    <w:rsid w:val="7BC003CA"/>
    <w:rsid w:val="7CBF4BB4"/>
    <w:rsid w:val="7DC33482"/>
    <w:rsid w:val="7E5D346D"/>
    <w:rsid w:val="7FDB1E88"/>
    <w:rsid w:val="FFDF92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paragraph" w:customStyle="1" w:styleId="11">
    <w:name w:val="List Paragraph"/>
    <w:basedOn w:val="1"/>
    <w:unhideWhenUsed/>
    <w:qFormat/>
    <w:uiPriority w:val="99"/>
    <w:pPr>
      <w:ind w:firstLine="420" w:firstLineChars="200"/>
    </w:pPr>
  </w:style>
  <w:style w:type="character" w:customStyle="1" w:styleId="12">
    <w:name w:val="页脚 字符"/>
    <w:basedOn w:val="9"/>
    <w:link w:val="5"/>
    <w:qFormat/>
    <w:uiPriority w:val="99"/>
    <w:rPr>
      <w:sz w:val="18"/>
      <w:szCs w:val="18"/>
    </w:rPr>
  </w:style>
  <w:style w:type="character" w:customStyle="1" w:styleId="13">
    <w:name w:val="页眉 字符"/>
    <w:basedOn w:val="9"/>
    <w:link w:val="6"/>
    <w:qFormat/>
    <w:uiPriority w:val="99"/>
    <w:rPr>
      <w:sz w:val="18"/>
      <w:szCs w:val="18"/>
    </w:rPr>
  </w:style>
  <w:style w:type="paragraph" w:customStyle="1" w:styleId="14">
    <w:name w:val="WPSOffice手动目录 1"/>
    <w:qFormat/>
    <w:uiPriority w:val="0"/>
    <w:pPr>
      <w:ind w:leftChars="0"/>
    </w:pPr>
    <w:rPr>
      <w:rFonts w:asciiTheme="minorHAnsi" w:hAnsiTheme="minorHAnsi" w:eastAsiaTheme="minorEastAsia" w:cstheme="minorBidi"/>
      <w:sz w:val="20"/>
      <w:szCs w:val="20"/>
    </w:rPr>
  </w:style>
  <w:style w:type="paragraph" w:customStyle="1" w:styleId="15">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le\Library\Containers\com.kingsoft.wpsoffice.mac\Data\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13</Pages>
  <Words>5243</Words>
  <Characters>5551</Characters>
  <Lines>7</Lines>
  <Paragraphs>2</Paragraphs>
  <TotalTime>9</TotalTime>
  <ScaleCrop>false</ScaleCrop>
  <LinksUpToDate>false</LinksUpToDate>
  <CharactersWithSpaces>5563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JeremyGrande</cp:lastModifiedBy>
  <dcterms:modified xsi:type="dcterms:W3CDTF">2022-03-28T10:45:42Z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C005516A52AC419FABA2EAF95E26DD23</vt:lpwstr>
  </property>
</Properties>
</file>