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新疆阿克陶文化馆</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18</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3071"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3071"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3071"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1、在县委、县政府及上级有关阿克陶县文化馆的指导下，认真贯彻党和政府的各项方针、政策、法律、法规，严格按照“读者第一，服务至上”的宗旨，认真开展各项工作。</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2、运用各类文艺形式，进行政治理论等方面的宣传教育；组织开展各类群众文化，科技讲座，生活知识讲座，艺术讲座各种展览等群众艺术、娱乐活动，满足群众求知、求乐、求美的需求。</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3、指导乡、镇、企业、机关、学校等业余群众文化活动；指导乡镇文化站业务工作，辅导群众文化系统在职干部及业余文艺骨干，为国家培养人才，逐步引导群众文化走向高层次。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4、组织、辅导和研究群众文艺创作，开展群众文艺创作活动。搜集整理保护非物质文化遗产，建立健全文化艺术档案。经济发展文化产业，完成上级领导交办的各项任务。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阿克陶县文化馆于1956年6月正式成立，属于纯社会公益类事业单位，机构规格相当于股级。阿克陶县文化馆单位事业编制数6人，实有人数29人，其中：在职9人，退休20人。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3.年度重点工作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持续深化文化馆总分馆制改革，探索实施数字文化馆建设工作，加强基层群众文化队伍建设，持续做好文化馆免费开放工作，做好加大非物质文化遗产保护工作，加强农村群众文化工作，加强乡村文化阵地建设工作，做好文化润疆工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（二）决策过程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决策机制根据行政事业单位内部控制体系建设相关要求，逐步完善《阿克陶县文化馆议事规则》、《三重一大会议制度》，根据制度规定，坚持全面贯彻落实中央八项规定、县党政部门相关要求，以科学决策、民主决策为目的，以落实党的民主集中制为原则，提高认识，明确责任，完善机制，推动落实。我单位党组书记冯东明是领导班子实施“三重一大”事项集体决策制度的第一责任人，负有直接领导责任；党组副书记、局长帕提古力·买买提、副局长冯永强、副局长占恩平对分管工作负有向主要领导建议执行“三重一大”集体决策制度的重要领导责任。党组书记冯东明依据本规定针对具体事项，决定集体研究决策方案，并分别主持召开局务会等会议，按要求把握好集体决策的程序进行单位事项决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基本支出根据人员工资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（3）本年度本单位预算安排的重点项目1个，预算安排的重点项目支出金额为0万元，部门项目总支出金额为16.22万元，则重点项目支出占项目总支出的比率为0%。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Hans" w:bidi="ar"/>
        </w:rPr>
        <w:t>与绩效目标</w:t>
      </w:r>
      <w:r>
        <w:rPr>
          <w:rStyle w:val="10"/>
          <w:rFonts w:hint="eastAsia" w:ascii="仿宋_GB2312" w:hAnsi="仿宋_GB2312" w:eastAsia="仿宋_GB2312" w:cs="仿宋_GB2312"/>
          <w:b w:val="0"/>
          <w:color w:val="333333"/>
          <w:sz w:val="32"/>
          <w:szCs w:val="32"/>
          <w:highlight w:val="none"/>
          <w:lang w:val="en-US" w:eastAsia="zh-CN" w:bidi="ar"/>
        </w:rPr>
        <w:t>保持</w:t>
      </w:r>
      <w:r>
        <w:rPr>
          <w:rStyle w:val="10"/>
          <w:rFonts w:hint="eastAsia" w:ascii="仿宋_GB2312" w:hAnsi="仿宋_GB2312" w:eastAsia="仿宋_GB2312" w:cs="仿宋_GB2312"/>
          <w:b w:val="0"/>
          <w:color w:val="333333"/>
          <w:sz w:val="32"/>
          <w:szCs w:val="32"/>
          <w:highlight w:val="none"/>
          <w:lang w:val="en-US" w:eastAsia="zh-Hans" w:bidi="ar"/>
        </w:rPr>
        <w:t>一致性</w:t>
      </w:r>
      <w:r>
        <w:rPr>
          <w:rStyle w:val="10"/>
          <w:rFonts w:hint="default" w:ascii="仿宋_GB2312" w:hAnsi="仿宋_GB2312" w:eastAsia="仿宋_GB2312" w:cs="仿宋_GB2312"/>
          <w:b w:val="0"/>
          <w:color w:val="333333"/>
          <w:sz w:val="32"/>
          <w:szCs w:val="32"/>
          <w:highlight w:val="none"/>
          <w:lang w:eastAsia="zh-Hans" w:bidi="ar"/>
        </w:rPr>
        <w:t>，</w:t>
      </w:r>
      <w:r>
        <w:rPr>
          <w:rStyle w:val="10"/>
          <w:rFonts w:hint="eastAsia" w:ascii="仿宋_GB2312" w:hAnsi="仿宋_GB2312" w:eastAsia="仿宋_GB2312" w:cs="仿宋_GB2312"/>
          <w:b w:val="0"/>
          <w:color w:val="333333"/>
          <w:sz w:val="32"/>
          <w:szCs w:val="32"/>
          <w:highlight w:val="none"/>
          <w:lang w:val="en-US" w:eastAsia="zh-CN" w:bidi="ar"/>
        </w:rPr>
        <w:t>人员经费179.99万元，公用经费3.65万元，项目经费2.88万元，</w:t>
      </w:r>
      <w:r>
        <w:rPr>
          <w:rStyle w:val="10"/>
          <w:rFonts w:hint="eastAsia" w:ascii="仿宋_GB2312" w:hAnsi="仿宋_GB2312" w:eastAsia="仿宋_GB2312" w:cs="仿宋_GB2312"/>
          <w:b w:val="0"/>
          <w:color w:val="333333"/>
          <w:sz w:val="32"/>
          <w:szCs w:val="32"/>
          <w:highlight w:val="none"/>
          <w:lang w:val="en-US" w:eastAsia="zh-Hans" w:bidi="ar"/>
        </w:rPr>
        <w:t>分配结果合理</w:t>
      </w:r>
      <w:r>
        <w:rPr>
          <w:rStyle w:val="10"/>
          <w:rFonts w:hint="eastAsia" w:ascii="仿宋_GB2312" w:hAnsi="仿宋_GB2312" w:eastAsia="仿宋_GB2312" w:cs="仿宋_GB2312"/>
          <w:b w:val="0"/>
          <w:color w:val="333333"/>
          <w:sz w:val="32"/>
          <w:szCs w:val="32"/>
          <w:highlight w:val="none"/>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重点支出保障率用以反映和考核部门（单位）对履行主要职责或完成重点任务的保障程度。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主要实施2021年聘请优秀约隆传承人补助经费一个重点项目，履行了组织开展各类群众文化，科技讲座，生活知识讲座，艺术讲座各种展览等群众艺术、娱乐活动，满足群众求知、求乐、求美的需求等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本年度预算安排的重点项目支出0万元，项目总支出16.22万元，重点支出保障率为0%。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我单位年初预算数为186.52万元，实际预算执行数180.1万元，预算执行率为96.56%。</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全年预算数为204.27万元，全年实际支出资金204.27万元，预算执行率为100%。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我单位年初批复预算数186.52万元，年中调整数17.75万元，调整后全年预算数204.27万元，预算调整率9.51%。</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 xml:space="preserve">3.政府采购执行情况 </w:t>
      </w:r>
      <w:bookmarkStart w:id="8" w:name="_GoBack"/>
      <w:bookmarkEnd w:id="8"/>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w:t>
      </w:r>
      <w:r>
        <w:rPr>
          <w:rStyle w:val="10"/>
          <w:rFonts w:hint="eastAsia" w:ascii="仿宋_GB2312" w:hAnsi="仿宋_GB2312" w:eastAsia="仿宋_GB2312" w:cs="仿宋_GB2312"/>
          <w:b w:val="0"/>
          <w:color w:val="auto"/>
          <w:sz w:val="32"/>
          <w:szCs w:val="32"/>
          <w:highlight w:val="none"/>
          <w:lang w:val="en-US" w:eastAsia="zh-CN" w:bidi="ar"/>
        </w:rPr>
        <w:t>是</w:t>
      </w:r>
      <w:r>
        <w:rPr>
          <w:rStyle w:val="10"/>
          <w:rFonts w:hint="eastAsia" w:ascii="仿宋_GB2312" w:hAnsi="仿宋_GB2312" w:eastAsia="仿宋_GB2312" w:cs="仿宋_GB2312"/>
          <w:b w:val="0"/>
          <w:color w:val="auto"/>
          <w:sz w:val="32"/>
          <w:szCs w:val="32"/>
          <w:highlight w:val="none"/>
          <w:lang w:val="en-US" w:eastAsia="zh-Hans" w:bidi="ar"/>
        </w:rPr>
        <w:t>公众评判法</w:t>
      </w:r>
      <w:r>
        <w:rPr>
          <w:rStyle w:val="10"/>
          <w:rFonts w:hint="eastAsia" w:ascii="仿宋_GB2312" w:hAnsi="仿宋_GB2312" w:eastAsia="仿宋_GB2312" w:cs="仿宋_GB2312"/>
          <w:b w:val="0"/>
          <w:color w:val="auto"/>
          <w:sz w:val="32"/>
          <w:szCs w:val="32"/>
          <w:highlight w:val="none"/>
          <w:lang w:val="en-US" w:eastAsia="zh-CN" w:bidi="ar"/>
        </w:rPr>
        <w:t>。通过专家评估、公众问卷及抽样调查等方式进</w:t>
      </w:r>
      <w:r>
        <w:rPr>
          <w:rStyle w:val="10"/>
          <w:rFonts w:hint="eastAsia" w:ascii="仿宋_GB2312" w:hAnsi="仿宋_GB2312" w:eastAsia="仿宋_GB2312" w:cs="仿宋_GB2312"/>
          <w:b w:val="0"/>
          <w:color w:val="auto"/>
          <w:sz w:val="32"/>
          <w:szCs w:val="32"/>
          <w:lang w:val="en-US" w:eastAsia="zh-CN" w:bidi="ar"/>
        </w:rPr>
        <w:t>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评价的对象及主要内容为:</w:t>
      </w:r>
      <w:r>
        <w:rPr>
          <w:rStyle w:val="10"/>
          <w:rFonts w:hint="eastAsia" w:ascii="仿宋_GB2312" w:hAnsi="仿宋_GB2312" w:eastAsia="仿宋_GB2312" w:cs="仿宋_GB2312"/>
          <w:b/>
          <w:bCs w:val="0"/>
          <w:color w:val="333333"/>
          <w:sz w:val="32"/>
          <w:szCs w:val="32"/>
          <w:highlight w:val="none"/>
          <w:lang w:val="en-US" w:eastAsia="zh-CN" w:bidi="ar"/>
        </w:rPr>
        <w:t>一是</w:t>
      </w:r>
      <w:r>
        <w:rPr>
          <w:rStyle w:val="10"/>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333333"/>
          <w:sz w:val="32"/>
          <w:szCs w:val="32"/>
          <w:highlight w:val="none"/>
          <w:lang w:val="en-US" w:eastAsia="zh-CN" w:bidi="ar"/>
        </w:rPr>
        <w:t>二是</w:t>
      </w:r>
      <w:r>
        <w:rPr>
          <w:rStyle w:val="10"/>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333333"/>
          <w:sz w:val="32"/>
          <w:szCs w:val="32"/>
          <w:highlight w:val="none"/>
          <w:lang w:val="en-US" w:eastAsia="zh-CN" w:bidi="ar"/>
        </w:rPr>
        <w:t>三是</w:t>
      </w:r>
      <w:r>
        <w:rPr>
          <w:rStyle w:val="10"/>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333333"/>
          <w:sz w:val="32"/>
          <w:szCs w:val="32"/>
          <w:highlight w:val="none"/>
          <w:lang w:val="en-US" w:eastAsia="zh-CN" w:bidi="ar"/>
        </w:rPr>
        <w:t>四是</w:t>
      </w:r>
      <w:r>
        <w:rPr>
          <w:rStyle w:val="10"/>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333333"/>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本单位为加强预算管理，规范财务行为，已制定《部门单位预算绩效管理工作实施办法》，《单位财务管理制度》等健全完整的各项管理制度，有效保障了我单位高效的履行工作职能，较好的促进事业发展。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阿克陶县人民</w:t>
      </w:r>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基本支出</w:t>
      </w:r>
      <w:r>
        <w:rPr>
          <w:rStyle w:val="10"/>
          <w:rFonts w:hint="eastAsia" w:ascii="仿宋_GB2312" w:hAnsi="仿宋_GB2312" w:eastAsia="仿宋_GB2312" w:cs="仿宋_GB2312"/>
          <w:b w:val="0"/>
          <w:color w:val="auto"/>
          <w:sz w:val="32"/>
          <w:szCs w:val="32"/>
          <w:highlight w:val="none"/>
          <w:lang w:val="en-US" w:eastAsia="zh-CN" w:bidi="ar"/>
        </w:rPr>
        <w:t>全年</w:t>
      </w:r>
      <w:r>
        <w:rPr>
          <w:rStyle w:val="10"/>
          <w:rFonts w:hint="eastAsia" w:ascii="仿宋_GB2312" w:hAnsi="仿宋_GB2312" w:eastAsia="仿宋_GB2312" w:cs="仿宋_GB2312"/>
          <w:b w:val="0"/>
          <w:color w:val="auto"/>
          <w:sz w:val="32"/>
          <w:szCs w:val="32"/>
          <w:highlight w:val="none"/>
          <w:lang w:bidi="ar"/>
        </w:rPr>
        <w:t>预算总额</w:t>
      </w:r>
      <w:r>
        <w:rPr>
          <w:rStyle w:val="10"/>
          <w:rFonts w:hint="eastAsia" w:ascii="仿宋_GB2312" w:hAnsi="仿宋_GB2312" w:eastAsia="仿宋_GB2312" w:cs="仿宋_GB2312"/>
          <w:b w:val="0"/>
          <w:color w:val="auto"/>
          <w:sz w:val="32"/>
          <w:szCs w:val="32"/>
          <w:highlight w:val="none"/>
          <w:lang w:val="en-US" w:eastAsia="zh-CN" w:bidi="ar"/>
        </w:rPr>
        <w:t>188.05</w:t>
      </w:r>
      <w:r>
        <w:rPr>
          <w:rStyle w:val="10"/>
          <w:rFonts w:hint="eastAsia" w:ascii="仿宋_GB2312" w:hAnsi="仿宋_GB2312" w:eastAsia="仿宋_GB2312" w:cs="仿宋_GB2312"/>
          <w:b w:val="0"/>
          <w:color w:val="auto"/>
          <w:sz w:val="32"/>
          <w:szCs w:val="32"/>
          <w:highlight w:val="none"/>
          <w:lang w:bidi="ar"/>
        </w:rPr>
        <w:t>万元，其中</w:t>
      </w:r>
      <w:r>
        <w:rPr>
          <w:rStyle w:val="10"/>
          <w:rFonts w:hint="eastAsia" w:ascii="仿宋_GB2312" w:hAnsi="仿宋_GB2312" w:eastAsia="仿宋_GB2312" w:cs="仿宋_GB2312"/>
          <w:b w:val="0"/>
          <w:color w:val="auto"/>
          <w:sz w:val="32"/>
          <w:szCs w:val="32"/>
          <w:highlight w:val="none"/>
          <w:lang w:eastAsia="zh-CN" w:bidi="ar"/>
        </w:rPr>
        <w:t>：</w:t>
      </w:r>
      <w:r>
        <w:rPr>
          <w:rStyle w:val="10"/>
          <w:rFonts w:hint="eastAsia" w:ascii="仿宋_GB2312" w:hAnsi="仿宋_GB2312" w:eastAsia="仿宋_GB2312" w:cs="仿宋_GB2312"/>
          <w:b w:val="0"/>
          <w:color w:val="auto"/>
          <w:sz w:val="32"/>
          <w:szCs w:val="32"/>
          <w:highlight w:val="none"/>
          <w:lang w:bidi="ar"/>
        </w:rPr>
        <w:t>人员经费</w:t>
      </w:r>
      <w:r>
        <w:rPr>
          <w:rStyle w:val="10"/>
          <w:rFonts w:hint="eastAsia" w:ascii="仿宋_GB2312" w:hAnsi="仿宋_GB2312" w:eastAsia="仿宋_GB2312" w:cs="仿宋_GB2312"/>
          <w:b w:val="0"/>
          <w:color w:val="auto"/>
          <w:sz w:val="32"/>
          <w:szCs w:val="32"/>
          <w:highlight w:val="none"/>
          <w:lang w:val="en-US" w:eastAsia="zh-CN" w:bidi="ar"/>
        </w:rPr>
        <w:t>187.94</w:t>
      </w:r>
      <w:r>
        <w:rPr>
          <w:rStyle w:val="10"/>
          <w:rFonts w:hint="eastAsia" w:ascii="仿宋_GB2312" w:hAnsi="仿宋_GB2312" w:eastAsia="仿宋_GB2312" w:cs="仿宋_GB2312"/>
          <w:b w:val="0"/>
          <w:color w:val="auto"/>
          <w:sz w:val="32"/>
          <w:szCs w:val="32"/>
          <w:highlight w:val="none"/>
          <w:lang w:bidi="ar"/>
        </w:rPr>
        <w:t>万元，公用经费</w:t>
      </w:r>
      <w:r>
        <w:rPr>
          <w:rStyle w:val="10"/>
          <w:rFonts w:hint="eastAsia" w:ascii="仿宋_GB2312" w:hAnsi="仿宋_GB2312" w:eastAsia="仿宋_GB2312" w:cs="仿宋_GB2312"/>
          <w:b w:val="0"/>
          <w:color w:val="auto"/>
          <w:sz w:val="32"/>
          <w:szCs w:val="32"/>
          <w:highlight w:val="none"/>
          <w:lang w:val="en-US" w:eastAsia="zh-CN" w:bidi="ar"/>
        </w:rPr>
        <w:t>0.11</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188.05</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基本支出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2.三公经费控制情况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0.65</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0.65</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0.65</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0.65</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本单位安排</w:t>
      </w:r>
      <w:r>
        <w:rPr>
          <w:rStyle w:val="10"/>
          <w:rFonts w:hint="eastAsia" w:ascii="仿宋_GB2312" w:hAnsi="仿宋_GB2312" w:eastAsia="仿宋_GB2312" w:cs="仿宋_GB2312"/>
          <w:b w:val="0"/>
          <w:color w:val="auto"/>
          <w:sz w:val="32"/>
          <w:szCs w:val="32"/>
          <w:highlight w:val="none"/>
          <w:lang w:bidi="ar"/>
        </w:rPr>
        <w:t>专项支出预算总额</w:t>
      </w:r>
      <w:r>
        <w:rPr>
          <w:rStyle w:val="10"/>
          <w:rFonts w:hint="eastAsia" w:ascii="仿宋_GB2312" w:hAnsi="仿宋_GB2312" w:eastAsia="仿宋_GB2312" w:cs="仿宋_GB2312"/>
          <w:b w:val="0"/>
          <w:color w:val="auto"/>
          <w:sz w:val="32"/>
          <w:szCs w:val="32"/>
          <w:highlight w:val="none"/>
          <w:lang w:val="en-US" w:eastAsia="zh-CN" w:bidi="ar"/>
        </w:rPr>
        <w:t>35.69</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16.22</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专项支出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45.45%</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共有</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个资金项目，其中</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个属经常性项目、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个属当年度新增项目，已完成项目</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个、未完成项目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个以内的项目分项说明：本年我单位供实施3个项目，金额16.22万元万元，分别为2019年非物质文化遗产保护专项资金项目，3.21万元；2019年美术馆、公共图书馆、文化馆（站）免费开放补助资金项目，6.61万元；关于提前下达2021年度自治区野外文物保护单位看护人员专项补助项目，6.4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（一）2019年非物质文化遗产保护专项资金、2019年美术馆、公共图书馆、文化馆（站）免费开放补助资金项目专项组织情况分析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杰米拉、杨蓉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（二）关于提前下达2021年度自治区野外文物保护单位看护人员专项补助项目专项组织情况分析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杰米拉、杨蓉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2019年非物质文化遗产保护专项资金项目预算资金3.21万元，实际到位3.21万元，实际支出3.21万元；2019年美术馆、公共图书馆、文化馆（站）免费开放补助资金项目预算资金20万元，实际到位20万元，实际支出6.61万元；关于提前下达2021年度自治区野外文物保护单位看护人员专项补助项目预算资金9.6万元，实际到位9.6万元，实际支出6.4万元；2021年聘请优秀约隆传承人补助经费项目预算资金2.88万元，实际到位2.88万元，实际支出0万元。到位足额及时，预算编制依据充分，预算编制准确，资金不存在截留、挪用，支付审批合规、不存在用途改变、范围超支和虚列项目支出等情况；本项目严格按照《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项目完成质量：</w:t>
      </w:r>
      <w:r>
        <w:rPr>
          <w:rStyle w:val="10"/>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4" w:name="_Toc27846_WPSOffice_Level1"/>
      <w:r>
        <w:rPr>
          <w:rStyle w:val="10"/>
          <w:rFonts w:hint="eastAsia" w:ascii="仿宋_GB2312" w:hAnsi="仿宋_GB2312" w:eastAsia="仿宋_GB2312" w:cs="仿宋_GB2312"/>
          <w:b/>
          <w:bCs/>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Cs/>
          <w:color w:val="FF0000"/>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21.61</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5.42</w:t>
      </w:r>
      <w:r>
        <w:rPr>
          <w:rFonts w:hint="eastAsia" w:ascii="仿宋" w:hAnsi="仿宋" w:eastAsia="仿宋" w:cs="宋体"/>
          <w:bCs/>
          <w:color w:val="333333"/>
          <w:sz w:val="32"/>
          <w:szCs w:val="32"/>
          <w:lang w:eastAsia="zh-CN" w:bidi="ar"/>
        </w:rPr>
        <w:t>万元，主要原因是</w:t>
      </w:r>
      <w:r>
        <w:rPr>
          <w:rFonts w:hint="eastAsia" w:ascii="仿宋" w:hAnsi="仿宋" w:eastAsia="仿宋" w:cs="宋体"/>
          <w:bCs/>
          <w:color w:val="333333"/>
          <w:sz w:val="32"/>
          <w:szCs w:val="32"/>
          <w:lang w:val="en-US" w:eastAsia="zh-CN" w:bidi="ar"/>
        </w:rPr>
        <w:t>发放2020年度30%阳光工资</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val="en-US" w:eastAsia="zh-CN" w:bidi="ar"/>
        </w:rPr>
        <w:t>固定资产累计折旧增加，资产减少</w:t>
      </w:r>
      <w:r>
        <w:rPr>
          <w:rFonts w:hint="eastAsia" w:ascii="仿宋" w:hAnsi="仿宋" w:eastAsia="仿宋" w:cs="宋体"/>
          <w:bCs/>
          <w:color w:val="333333"/>
          <w:sz w:val="32"/>
          <w:szCs w:val="32"/>
          <w:lang w:eastAsia="zh-CN" w:bidi="ar"/>
        </w:rPr>
        <w:t>，其中：货币资金</w:t>
      </w:r>
      <w:r>
        <w:rPr>
          <w:rFonts w:hint="eastAsia" w:ascii="仿宋" w:hAnsi="仿宋" w:eastAsia="仿宋" w:cs="宋体"/>
          <w:bCs/>
          <w:color w:val="333333"/>
          <w:sz w:val="32"/>
          <w:szCs w:val="32"/>
          <w:lang w:val="en-US" w:eastAsia="zh-CN" w:bidi="ar"/>
        </w:rPr>
        <w:t>9.21</w:t>
      </w:r>
      <w:r>
        <w:rPr>
          <w:rFonts w:hint="eastAsia" w:ascii="仿宋" w:hAnsi="仿宋" w:eastAsia="仿宋" w:cs="宋体"/>
          <w:bCs/>
          <w:color w:val="333333"/>
          <w:sz w:val="32"/>
          <w:szCs w:val="32"/>
          <w:lang w:eastAsia="zh-CN" w:bidi="ar"/>
        </w:rPr>
        <w:t>万元，比上年</w:t>
      </w:r>
      <w:r>
        <w:rPr>
          <w:rFonts w:hint="eastAsia" w:ascii="仿宋" w:hAnsi="仿宋" w:eastAsia="仿宋" w:cs="宋体"/>
          <w:bCs/>
          <w:color w:val="333333"/>
          <w:sz w:val="32"/>
          <w:szCs w:val="32"/>
          <w:lang w:val="en-US" w:eastAsia="zh-CN" w:bidi="ar"/>
        </w:rPr>
        <w:t>增加1.22</w:t>
      </w:r>
      <w:r>
        <w:rPr>
          <w:rFonts w:hint="eastAsia" w:ascii="仿宋" w:hAnsi="仿宋" w:eastAsia="仿宋" w:cs="宋体"/>
          <w:bCs/>
          <w:color w:val="333333"/>
          <w:sz w:val="32"/>
          <w:szCs w:val="32"/>
          <w:lang w:eastAsia="zh-CN" w:bidi="ar"/>
        </w:rPr>
        <w:t>万元；财政应返还额度</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auto"/>
          <w:sz w:val="32"/>
          <w:szCs w:val="32"/>
          <w:lang w:eastAsia="zh-CN" w:bidi="ar"/>
        </w:rPr>
        <w:t>，比上年相比无变化；</w:t>
      </w:r>
      <w:r>
        <w:rPr>
          <w:rFonts w:hint="eastAsia" w:ascii="仿宋" w:hAnsi="仿宋" w:eastAsia="仿宋" w:cs="宋体"/>
          <w:bCs/>
          <w:color w:val="333333"/>
          <w:sz w:val="32"/>
          <w:szCs w:val="32"/>
          <w:lang w:eastAsia="zh-CN" w:bidi="ar"/>
        </w:rPr>
        <w:t>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平方米</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万元；车辆</w:t>
      </w: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辆</w:t>
      </w:r>
      <w:r>
        <w:rPr>
          <w:rFonts w:hint="eastAsia" w:ascii="仿宋" w:hAnsi="仿宋" w:eastAsia="仿宋" w:cs="宋体"/>
          <w:bCs/>
          <w:color w:val="333333"/>
          <w:sz w:val="32"/>
          <w:szCs w:val="32"/>
          <w:lang w:val="en-US" w:eastAsia="zh-CN" w:bidi="ar"/>
        </w:rPr>
        <w:t>原值25.95</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净值10.82万元</w:t>
      </w:r>
      <w:r>
        <w:rPr>
          <w:rFonts w:hint="eastAsia" w:ascii="仿宋" w:hAnsi="仿宋" w:eastAsia="仿宋" w:cs="宋体"/>
          <w:bCs/>
          <w:color w:val="333333"/>
          <w:sz w:val="32"/>
          <w:szCs w:val="32"/>
          <w:lang w:eastAsia="zh-CN" w:bidi="ar"/>
        </w:rPr>
        <w:t>，</w:t>
      </w:r>
      <w:r>
        <w:rPr>
          <w:rFonts w:hint="eastAsia" w:ascii="仿宋" w:hAnsi="仿宋" w:eastAsia="仿宋" w:cs="宋体"/>
          <w:bCs/>
          <w:color w:val="auto"/>
          <w:sz w:val="32"/>
          <w:szCs w:val="32"/>
          <w:lang w:eastAsia="zh-CN" w:bidi="ar"/>
        </w:rPr>
        <w:t>与上年相比</w:t>
      </w:r>
      <w:r>
        <w:rPr>
          <w:rFonts w:hint="eastAsia" w:ascii="仿宋" w:hAnsi="仿宋" w:eastAsia="仿宋" w:cs="宋体"/>
          <w:bCs/>
          <w:color w:val="auto"/>
          <w:sz w:val="32"/>
          <w:szCs w:val="32"/>
          <w:lang w:val="en-US" w:eastAsia="zh-CN" w:bidi="ar"/>
        </w:rPr>
        <w:t>资产减少2.49万元，主要原因是固定资产累计折旧增加</w:t>
      </w:r>
      <w:r>
        <w:rPr>
          <w:rFonts w:hint="eastAsia" w:ascii="仿宋" w:hAnsi="仿宋" w:eastAsia="仿宋" w:cs="宋体"/>
          <w:bCs/>
          <w:color w:val="333333"/>
          <w:sz w:val="32"/>
          <w:szCs w:val="32"/>
          <w:lang w:eastAsia="zh-CN" w:bidi="ar"/>
        </w:rPr>
        <w:t>；在建工程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auto"/>
          <w:sz w:val="32"/>
          <w:szCs w:val="32"/>
          <w:lang w:eastAsia="zh-CN" w:bidi="ar"/>
        </w:rPr>
        <w:t>与上年持平；</w:t>
      </w:r>
      <w:r>
        <w:rPr>
          <w:rFonts w:hint="eastAsia" w:ascii="仿宋" w:hAnsi="仿宋" w:eastAsia="仿宋" w:cs="宋体"/>
          <w:bCs/>
          <w:color w:val="333333"/>
          <w:sz w:val="32"/>
          <w:szCs w:val="32"/>
          <w:lang w:eastAsia="zh-CN" w:bidi="ar"/>
        </w:rPr>
        <w:t>办公设备及家具</w:t>
      </w:r>
      <w:r>
        <w:rPr>
          <w:rFonts w:hint="eastAsia" w:ascii="仿宋" w:hAnsi="仿宋" w:eastAsia="仿宋" w:cs="宋体"/>
          <w:bCs/>
          <w:color w:val="333333"/>
          <w:sz w:val="32"/>
          <w:szCs w:val="32"/>
          <w:lang w:val="en-US" w:eastAsia="zh-CN" w:bidi="ar"/>
        </w:rPr>
        <w:t>原值44.12</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净值1.58万元</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val="en-US" w:eastAsia="zh-CN" w:bidi="ar"/>
        </w:rPr>
        <w:t>与上年相比减少4.14万元，</w:t>
      </w:r>
      <w:r>
        <w:rPr>
          <w:rFonts w:hint="eastAsia" w:ascii="仿宋" w:hAnsi="仿宋" w:eastAsia="仿宋" w:cs="宋体"/>
          <w:bCs/>
          <w:color w:val="auto"/>
          <w:sz w:val="32"/>
          <w:szCs w:val="32"/>
          <w:lang w:val="en-US" w:eastAsia="zh-CN" w:bidi="ar"/>
        </w:rPr>
        <w:t>主要原因是固定资产累计折旧增加。</w:t>
      </w:r>
      <w:r>
        <w:rPr>
          <w:rFonts w:hint="eastAsia" w:ascii="仿宋" w:hAnsi="仿宋" w:eastAsia="仿宋" w:cs="宋体"/>
          <w:bCs/>
          <w:color w:val="auto"/>
          <w:sz w:val="32"/>
          <w:szCs w:val="32"/>
          <w:lang w:eastAsia="zh-CN" w:bidi="ar"/>
        </w:rPr>
        <w:t>我单位本年无资产处置情况，资产配置合理，使用规范，安</w:t>
      </w:r>
      <w:r>
        <w:rPr>
          <w:rFonts w:hint="eastAsia" w:ascii="仿宋" w:hAnsi="仿宋" w:eastAsia="仿宋" w:cs="宋体"/>
          <w:bCs/>
          <w:color w:val="000000" w:themeColor="text1"/>
          <w:sz w:val="32"/>
          <w:szCs w:val="32"/>
          <w:lang w:eastAsia="zh-CN" w:bidi="ar"/>
          <w14:textFill>
            <w14:solidFill>
              <w14:schemeClr w14:val="tx1"/>
            </w14:solidFill>
          </w14:textFill>
        </w:rPr>
        <w:t>全完整。</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70.07</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套房屋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25.95</w:t>
      </w:r>
      <w:r>
        <w:rPr>
          <w:rFonts w:hint="eastAsia" w:ascii="仿宋" w:hAnsi="仿宋" w:eastAsia="仿宋" w:cs="宋体"/>
          <w:bCs/>
          <w:color w:val="333333"/>
          <w:sz w:val="32"/>
          <w:szCs w:val="32"/>
          <w:lang w:eastAsia="zh-CN" w:bidi="ar"/>
        </w:rPr>
        <w:t>万元，办公设备</w:t>
      </w:r>
      <w:r>
        <w:rPr>
          <w:rFonts w:hint="eastAsia" w:ascii="仿宋" w:hAnsi="仿宋" w:eastAsia="仿宋" w:cs="宋体"/>
          <w:bCs/>
          <w:color w:val="333333"/>
          <w:sz w:val="32"/>
          <w:szCs w:val="32"/>
          <w:lang w:val="en-US" w:eastAsia="zh-CN" w:bidi="ar"/>
        </w:rPr>
        <w:t>44.12</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70.07</w:t>
      </w:r>
      <w:r>
        <w:rPr>
          <w:rFonts w:hint="eastAsia" w:ascii="仿宋" w:hAnsi="仿宋" w:eastAsia="仿宋" w:cs="宋体"/>
          <w:bCs/>
          <w:color w:val="333333"/>
          <w:sz w:val="32"/>
          <w:szCs w:val="32"/>
          <w:lang w:eastAsia="zh-CN" w:bidi="ar"/>
        </w:rPr>
        <w:t>万元，固定资产利用率</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1"/>
        <w:snapToGrid w:val="0"/>
        <w:spacing w:line="540" w:lineRule="exact"/>
        <w:rPr>
          <w:rStyle w:val="10"/>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0"/>
          <w:rFonts w:hint="eastAsia" w:ascii="仿宋" w:hAnsi="仿宋" w:eastAsia="仿宋"/>
          <w:b w:val="0"/>
          <w:bCs w:val="0"/>
          <w:spacing w:val="-4"/>
          <w:sz w:val="32"/>
          <w:szCs w:val="32"/>
          <w:lang w:val="en-US" w:eastAsia="zh-CN"/>
        </w:rPr>
        <w:t>3.</w:t>
      </w:r>
      <w:r>
        <w:rPr>
          <w:rStyle w:val="10"/>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截止本年度固定资产账面净值12.39万元，年末实际在用固定资产12.39万元，固定资产利用率为100%。</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5" w:name="_Toc13582_WPSOffice_Level1"/>
      <w:r>
        <w:rPr>
          <w:rStyle w:val="10"/>
          <w:rFonts w:hint="eastAsia" w:ascii="仿宋_GB2312" w:hAnsi="仿宋_GB2312" w:eastAsia="仿宋_GB2312" w:cs="仿宋_GB2312"/>
          <w:b/>
          <w:bCs/>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17</w:t>
      </w:r>
      <w:r>
        <w:rPr>
          <w:rStyle w:val="10"/>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w:t>
      </w:r>
      <w:r>
        <w:rPr>
          <w:rStyle w:val="10"/>
          <w:rFonts w:hint="eastAsia" w:ascii="仿宋_GB2312" w:hAnsi="仿宋_GB2312" w:eastAsia="仿宋_GB2312" w:cs="仿宋_GB2312"/>
          <w:b/>
          <w:bCs/>
          <w:spacing w:val="-4"/>
          <w:sz w:val="32"/>
          <w:szCs w:val="32"/>
          <w:highlight w:val="none"/>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1.产出</w:t>
      </w:r>
      <w:r>
        <w:rPr>
          <w:rStyle w:val="10"/>
          <w:rFonts w:hint="eastAsia" w:ascii="仿宋_GB2312" w:hAnsi="仿宋_GB2312" w:eastAsia="仿宋_GB2312" w:cs="仿宋_GB2312"/>
          <w:b/>
          <w:bCs/>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保障职工人数（人）指标，预期指标是9人，实际完成值是</w:t>
      </w:r>
      <w:r>
        <w:rPr>
          <w:rFonts w:hint="eastAsia" w:ascii="仿宋" w:hAnsi="仿宋" w:eastAsia="仿宋" w:cs="宋体"/>
          <w:bCs/>
          <w:color w:val="auto"/>
          <w:sz w:val="32"/>
          <w:szCs w:val="32"/>
          <w:lang w:val="en-US" w:eastAsia="zh-CN" w:bidi="ar"/>
        </w:rPr>
        <w:t>9</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办公费支付次数（次/年）指标，预期指标是3次/年，实际完成值是3次/年，指标完成率是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印刷费支付次数（次/年）指标，预期指标是1次/年，实际完成值是</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lang w:val="en-US" w:eastAsia="zh-CN"/>
        </w:rPr>
        <w:t>次/年，指标完成率100%，达到预期目标。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优秀约隆传承人人数（人）指标，预期指标是12人，实际完成值是</w:t>
      </w:r>
      <w:r>
        <w:rPr>
          <w:rFonts w:hint="eastAsia" w:ascii="仿宋" w:hAnsi="仿宋" w:eastAsia="仿宋" w:cs="宋体"/>
          <w:bCs/>
          <w:color w:val="auto"/>
          <w:sz w:val="32"/>
          <w:szCs w:val="32"/>
          <w:lang w:val="en-US" w:eastAsia="zh-CN" w:bidi="ar"/>
        </w:rPr>
        <w:t>12</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保障车辆数（辆）指标，预期指标是1辆，实际完成值是</w:t>
      </w:r>
      <w:r>
        <w:rPr>
          <w:rFonts w:hint="eastAsia" w:ascii="仿宋" w:hAnsi="仿宋" w:eastAsia="仿宋" w:cs="宋体"/>
          <w:bCs/>
          <w:color w:val="auto"/>
          <w:sz w:val="32"/>
          <w:szCs w:val="32"/>
          <w:lang w:val="en-US" w:eastAsia="zh-CN" w:bidi="ar"/>
        </w:rPr>
        <w:t>1辆</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5</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5</w:t>
      </w:r>
      <w:r>
        <w:rPr>
          <w:rStyle w:val="10"/>
          <w:rFonts w:hint="eastAsia" w:ascii="仿宋_GB2312" w:hAnsi="仿宋_GB2312" w:eastAsia="仿宋_GB2312" w:cs="仿宋_GB2312"/>
          <w:b w:val="0"/>
          <w:bCs w:val="0"/>
          <w:color w:val="auto"/>
          <w:spacing w:val="-4"/>
          <w:sz w:val="32"/>
          <w:szCs w:val="32"/>
          <w:highlight w:val="none"/>
        </w:rPr>
        <w:t>个，达到</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2.产出</w:t>
      </w:r>
      <w:r>
        <w:rPr>
          <w:rStyle w:val="10"/>
          <w:rFonts w:hint="eastAsia" w:ascii="仿宋_GB2312" w:hAnsi="仿宋_GB2312" w:eastAsia="仿宋_GB2312" w:cs="仿宋_GB2312"/>
          <w:b/>
          <w:bCs/>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工资足额发放率（%）指标，预期指标是等于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%，实际完成值是100%，指标完成率是100%，达到质量提升及标准。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车辆保险及时购买率（%）指标，预期指标是等于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%，实际完成值是100%，指标完成率是100%，达到质量提升及标准。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车辆维修及时率（%）指标，预期指标是等于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%，实际完成值是100%，指标完成率是100%，达到质量提升及标准。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优秀约隆传承活动完成率（%）指标，预期指标是等于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 xml:space="preserve">%，实际完成值是100%，指标完成率是100%，达到质量提升及标准。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rPr>
      </w:pPr>
      <w:r>
        <w:rPr>
          <w:rStyle w:val="10"/>
          <w:rFonts w:hint="eastAsia" w:ascii="仿宋_GB2312" w:hAnsi="仿宋_GB2312" w:eastAsia="仿宋_GB2312" w:cs="仿宋_GB2312"/>
          <w:b/>
          <w:bCs/>
          <w:i w:val="0"/>
          <w:iCs w:val="0"/>
          <w:spacing w:val="-4"/>
          <w:sz w:val="32"/>
          <w:szCs w:val="32"/>
          <w:highlight w:val="none"/>
          <w:lang w:val="en-US" w:eastAsia="zh-CN"/>
        </w:rPr>
        <w:t>3.产出进</w:t>
      </w:r>
      <w:r>
        <w:rPr>
          <w:rStyle w:val="10"/>
          <w:rFonts w:hint="eastAsia" w:ascii="仿宋_GB2312" w:hAnsi="仿宋_GB2312" w:eastAsia="仿宋_GB2312" w:cs="仿宋_GB2312"/>
          <w:b/>
          <w:bCs/>
          <w:i w:val="0"/>
          <w:iCs w:val="0"/>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小于</w:t>
      </w:r>
      <w:r>
        <w:rPr>
          <w:rStyle w:val="10"/>
          <w:rFonts w:hint="eastAsia" w:ascii="仿宋_GB2312" w:hAnsi="仿宋_GB2312" w:eastAsia="仿宋_GB2312" w:cs="仿宋_GB2312"/>
          <w:b w:val="0"/>
          <w:bCs w:val="0"/>
          <w:color w:val="auto"/>
          <w:spacing w:val="-4"/>
          <w:sz w:val="32"/>
          <w:szCs w:val="32"/>
          <w:highlight w:val="none"/>
        </w:rPr>
        <w:t>等于</w:t>
      </w:r>
      <w:r>
        <w:rPr>
          <w:rStyle w:val="10"/>
          <w:rFonts w:hint="eastAsia" w:ascii="仿宋_GB2312" w:hAnsi="仿宋_GB2312" w:eastAsia="仿宋_GB2312" w:cs="仿宋_GB2312"/>
          <w:b w:val="0"/>
          <w:bCs w:val="0"/>
          <w:color w:val="auto"/>
          <w:spacing w:val="-4"/>
          <w:sz w:val="32"/>
          <w:szCs w:val="32"/>
          <w:highlight w:val="none"/>
          <w:lang w:val="en-US" w:eastAsia="zh-CN"/>
        </w:rPr>
        <w:t>179.99</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179.99</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val="en-US"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rPr>
        <w:t>公用经费（万元）指标，预期指标是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小于</w:t>
      </w:r>
      <w:r>
        <w:rPr>
          <w:rStyle w:val="10"/>
          <w:rFonts w:hint="eastAsia" w:ascii="仿宋_GB2312" w:hAnsi="仿宋_GB2312" w:eastAsia="仿宋_GB2312" w:cs="仿宋_GB2312"/>
          <w:b w:val="0"/>
          <w:bCs w:val="0"/>
          <w:color w:val="auto"/>
          <w:spacing w:val="-4"/>
          <w:sz w:val="32"/>
          <w:szCs w:val="32"/>
          <w:highlight w:val="none"/>
        </w:rPr>
        <w:t>等于</w:t>
      </w:r>
      <w:r>
        <w:rPr>
          <w:rStyle w:val="10"/>
          <w:rFonts w:hint="eastAsia" w:ascii="仿宋_GB2312" w:hAnsi="仿宋_GB2312" w:eastAsia="仿宋_GB2312" w:cs="仿宋_GB2312"/>
          <w:b w:val="0"/>
          <w:bCs w:val="0"/>
          <w:color w:val="auto"/>
          <w:spacing w:val="-4"/>
          <w:sz w:val="32"/>
          <w:szCs w:val="32"/>
          <w:highlight w:val="none"/>
          <w:lang w:val="en-US" w:eastAsia="zh-CN"/>
        </w:rPr>
        <w:t>3.65</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0.11</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3.01</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w:t>
      </w:r>
      <w:r>
        <w:rPr>
          <w:rStyle w:val="10"/>
          <w:rFonts w:hint="eastAsia" w:ascii="仿宋_GB2312" w:hAnsi="仿宋_GB2312" w:eastAsia="仿宋_GB2312" w:cs="仿宋_GB2312"/>
          <w:b w:val="0"/>
          <w:bCs w:val="0"/>
          <w:color w:val="auto"/>
          <w:spacing w:val="-4"/>
          <w:sz w:val="32"/>
          <w:szCs w:val="32"/>
          <w:highlight w:val="none"/>
          <w:lang w:val="en-US" w:eastAsia="zh-CN"/>
        </w:rPr>
        <w:t>未超过预期指标值，</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项目经费</w:t>
      </w:r>
      <w:r>
        <w:rPr>
          <w:rStyle w:val="10"/>
          <w:rFonts w:hint="eastAsia" w:ascii="仿宋_GB2312" w:hAnsi="仿宋_GB2312" w:eastAsia="仿宋_GB2312" w:cs="仿宋_GB2312"/>
          <w:b w:val="0"/>
          <w:bCs w:val="0"/>
          <w:color w:val="auto"/>
          <w:spacing w:val="-4"/>
          <w:sz w:val="32"/>
          <w:szCs w:val="32"/>
          <w:highlight w:val="none"/>
        </w:rPr>
        <w:t>（万元）指标，预期指标是等于</w:t>
      </w:r>
      <w:r>
        <w:rPr>
          <w:rStyle w:val="10"/>
          <w:rFonts w:hint="eastAsia" w:ascii="仿宋_GB2312" w:hAnsi="仿宋_GB2312" w:eastAsia="仿宋_GB2312" w:cs="仿宋_GB2312"/>
          <w:b w:val="0"/>
          <w:bCs w:val="0"/>
          <w:color w:val="auto"/>
          <w:spacing w:val="-4"/>
          <w:sz w:val="32"/>
          <w:szCs w:val="32"/>
          <w:highlight w:val="none"/>
          <w:lang w:val="en-US" w:eastAsia="zh-CN"/>
        </w:rPr>
        <w:t>2.88</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lang w:val="en-US" w:eastAsia="zh-CN"/>
        </w:rPr>
        <w:t>未完成原因是项目已完成，因资金支付手续不齐全及年终决算，资金支出进度缓慢，资金未完全支付</w:t>
      </w:r>
      <w:r>
        <w:rPr>
          <w:rStyle w:val="10"/>
          <w:rFonts w:hint="eastAsia" w:ascii="仿宋_GB2312" w:hAnsi="仿宋_GB2312" w:eastAsia="仿宋_GB2312" w:cs="仿宋_GB2312"/>
          <w:b w:val="0"/>
          <w:bCs w:val="0"/>
          <w:color w:val="auto"/>
          <w:spacing w:val="-4"/>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1个未完成，指标完成率66.67%，偏差原因：项目已完成，因资金支付手续不齐全及年终决算，资金支出进度缓慢，资金未完全支付</w:t>
      </w:r>
      <w:r>
        <w:rPr>
          <w:rStyle w:val="10"/>
          <w:rFonts w:hint="eastAsia" w:ascii="仿宋_GB2312" w:hAnsi="仿宋_GB2312" w:eastAsia="仿宋_GB2312" w:cs="仿宋_GB2312"/>
          <w:b w:val="0"/>
          <w:bCs w:val="0"/>
          <w:color w:val="auto"/>
          <w:spacing w:val="-4"/>
          <w:sz w:val="32"/>
          <w:szCs w:val="32"/>
          <w:highlight w:val="none"/>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提升业务保障能力指标，预期指标是有效提升，实际完成值是有效提升，指标完成率是100%，达到单位履职能力对社会带来的影响预期目标。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保障单位防护措施指标，预期指标是有效保障，实际完成值是有效保障，指标完成率是100%，达到单位履职能力对社会带来的影响预期目标。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提升职工工作积极性指标，预期指标是有效提升，实际完成值是有效提升，指标完成率是100%，实现部门绩效长效机制建设，提高工作效率目标。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受益职工满意度（%）指标，预期指标是大于等于95%，实际完成值是100%，指标完成率是100%，达到部门（单位）服务对象对部门履职效果的满意度。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6" w:name="_Toc22800_WPSOffice_Level1"/>
      <w:r>
        <w:rPr>
          <w:rStyle w:val="10"/>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7" w:name="_Toc29546_WPSOffice_Level1"/>
      <w:r>
        <w:rPr>
          <w:rStyle w:val="10"/>
          <w:rFonts w:hint="eastAsia" w:ascii="仿宋_GB2312" w:hAnsi="仿宋_GB2312" w:eastAsia="仿宋_GB2312" w:cs="仿宋_GB2312"/>
          <w:b/>
          <w:bCs/>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进一步完善绩效指标，提高整体绩效目标质量，提升预算精细化管理水平。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val="0"/>
          <w:bCs w:val="0"/>
          <w:spacing w:val="-4"/>
          <w:sz w:val="32"/>
          <w:szCs w:val="32"/>
          <w:highlight w:val="none"/>
          <w:lang w:val="en-US" w:eastAsia="zh-CN"/>
        </w:rPr>
        <w:t>（</w:t>
      </w:r>
      <w:r>
        <w:rPr>
          <w:rStyle w:val="10"/>
          <w:rFonts w:hint="eastAsia" w:ascii="仿宋_GB2312" w:hAnsi="仿宋_GB2312" w:eastAsia="仿宋_GB2312" w:cs="仿宋_GB2312"/>
          <w:b/>
          <w:bCs/>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加强绩效业务学习及培训，提高财务人员绩效管理意识，进一步加强预算绩效管理工作，优化项目支出绩效指标体系，完善预算绩效管理制度，有效推动我单位下一年度预算绩效管理工作常态化、规范化。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借助第三方专业机构力量，提高绩效管理业务水平、实际工作能力，贯彻落实全面预算绩效管理工作，建立全过程预算绩效管理链条，将绩效各个环节紧密贯通。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8A2DFF"/>
    <w:rsid w:val="04FF0482"/>
    <w:rsid w:val="05062887"/>
    <w:rsid w:val="05F70F85"/>
    <w:rsid w:val="084208C4"/>
    <w:rsid w:val="098A3C0A"/>
    <w:rsid w:val="0A6A48F7"/>
    <w:rsid w:val="0A9A7091"/>
    <w:rsid w:val="10FE60D7"/>
    <w:rsid w:val="175D58E3"/>
    <w:rsid w:val="18061B60"/>
    <w:rsid w:val="190C3DF8"/>
    <w:rsid w:val="19F83E30"/>
    <w:rsid w:val="1B403139"/>
    <w:rsid w:val="1C6D319F"/>
    <w:rsid w:val="1D26101E"/>
    <w:rsid w:val="1D4D74D6"/>
    <w:rsid w:val="1DE32CFD"/>
    <w:rsid w:val="1F1A602A"/>
    <w:rsid w:val="1F2854B6"/>
    <w:rsid w:val="21C768CD"/>
    <w:rsid w:val="22E14253"/>
    <w:rsid w:val="23F209A3"/>
    <w:rsid w:val="2403516E"/>
    <w:rsid w:val="256A2A9E"/>
    <w:rsid w:val="2805537E"/>
    <w:rsid w:val="289437EE"/>
    <w:rsid w:val="2D536A03"/>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0308BB"/>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0670A32"/>
    <w:rsid w:val="606E6B0B"/>
    <w:rsid w:val="608C209F"/>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11</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2022-03-24T05:17:10Z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50C231398271469D86D57C635A7DDAD5</vt:lpwstr>
  </property>
</Properties>
</file>