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000000" w:themeColor="text1"/>
          <w:sz w:val="32"/>
          <w:szCs w:val="32"/>
          <w:lang w:bidi="ar"/>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阿克陶</w:t>
      </w:r>
      <w:r>
        <w:rPr>
          <w:rFonts w:hint="eastAsia" w:ascii="方正小标宋简体" w:hAnsi="方正小标宋简体" w:eastAsia="方正小标宋简体" w:cs="方正小标宋简体"/>
          <w:b/>
          <w:color w:val="000000" w:themeColor="text1"/>
          <w:kern w:val="0"/>
          <w:sz w:val="44"/>
          <w:szCs w:val="44"/>
          <w:lang w:eastAsia="zh-Hans"/>
          <w14:textFill>
            <w14:solidFill>
              <w14:schemeClr w14:val="tx1"/>
            </w14:solidFill>
          </w14:textFill>
        </w:rPr>
        <w:t>县</w:t>
      </w: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部门单位整体支出绩效</w:t>
      </w: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自评报告</w:t>
      </w: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2021  年度）</w:t>
      </w: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color w:val="000000" w:themeColor="text1"/>
          <w:kern w:val="0"/>
          <w:sz w:val="32"/>
          <w:szCs w:val="32"/>
          <w14:textFill>
            <w14:solidFill>
              <w14:schemeClr w14:val="tx1"/>
            </w14:solidFill>
          </w14:textFill>
        </w:rPr>
      </w:pP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部门单位名称（公章）：阿克陶县林业管理站</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填报时间：2022年4月15日</w:t>
      </w:r>
    </w:p>
    <w:p>
      <w:pPr>
        <w:pStyle w:val="2"/>
      </w:pPr>
    </w:p>
    <w:p/>
    <w:p>
      <w:pPr>
        <w:pStyle w:val="13"/>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0" w:name="_Toc2394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基本概况</w:t>
      </w:r>
      <w:bookmarkEnd w:id="0"/>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（一）单位基本情况</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1.部门主要职能</w:t>
      </w:r>
    </w:p>
    <w:p>
      <w:pPr>
        <w:pStyle w:val="13"/>
        <w:snapToGrid w:val="0"/>
        <w:spacing w:line="540" w:lineRule="exact"/>
        <w:ind w:firstLine="640"/>
        <w:outlineLvl w:val="2"/>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1、贯彻落实国家和自治区、自治州有关林业方面的法律、法规和政策等。宣传惯切执行林业政策，法律法规，提高群众的知法，懂法，守法的自觉性。指导和组织农村集体，个人开展各项林业生产经营活动，抓好种苗工作，实现良种苗化。</w:t>
      </w:r>
    </w:p>
    <w:p>
      <w:pPr>
        <w:pStyle w:val="13"/>
        <w:snapToGrid w:val="0"/>
        <w:spacing w:line="540" w:lineRule="exact"/>
        <w:ind w:firstLine="640"/>
        <w:outlineLvl w:val="2"/>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2.负责林地保护，开发，利用，监督，管理工作，做好害区内征占用林地的统计报表工作，严格执行限额采伐管理，按照林业行政处罚规定，及时查处林业案件处理问题，实现科学营林，造福子孙后代。</w:t>
      </w:r>
    </w:p>
    <w:p>
      <w:pPr>
        <w:pStyle w:val="13"/>
        <w:snapToGrid w:val="0"/>
        <w:spacing w:line="540" w:lineRule="exact"/>
        <w:ind w:firstLine="640"/>
        <w:outlineLvl w:val="2"/>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3.负责全县森林资源的管理，指导全县森林资源的调查、规划、动态监测和统计，审核监督森林资源的管理使用，依法保护管理林业资源，查处破坏案件，管理林木采伐工作，编制和下达年度森林采伐量计划和木材生产计划，监督森林采伐限额和木材生产计划的执行，监督管理林木的凭证采伐和经营加工，运输管理的行政执法和行政案件统计分析工作，指导全县林地、林权管理，依法负责林地征占用的审核工作，对林木补偿费、林地补偿费、安置补助费，森林植被恢复费的收取和使用进行监督管理。</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2.部门机构设置及人员构成</w:t>
      </w:r>
    </w:p>
    <w:p>
      <w:pPr>
        <w:ind w:firstLine="56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阿克陶县林业管理站无下属预算单位，财政全额拨款事业单位。阿克陶县林业管理站贯彻落实党中央关于林业工作的方针政策和决策部署以及、自治区、自治州和阿克陶县党委工作要求，在履行职责过程中坚持和加强党对林业工作的集中统一领导。</w:t>
      </w:r>
    </w:p>
    <w:p>
      <w:pPr>
        <w:spacing w:line="50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阿克陶县林业管理站单位编制数14人，其中领导职数1人。实有人数33人，其中：在职19人， 退休14人。</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3.年度重点工作</w:t>
      </w:r>
    </w:p>
    <w:p>
      <w:pPr>
        <w:pStyle w:val="8"/>
        <w:widowControl/>
        <w:spacing w:before="0" w:beforeAutospacing="0" w:after="0" w:afterAutospacing="0" w:line="560" w:lineRule="exact"/>
        <w:ind w:firstLine="640" w:firstLineChars="200"/>
        <w:jc w:val="both"/>
        <w:rPr>
          <w:rFonts w:ascii="仿宋_GB2312" w:hAnsi="仿宋_GB2312" w:eastAsia="仿宋_GB2312" w:cs="仿宋_GB2312"/>
          <w:sz w:val="32"/>
          <w:szCs w:val="32"/>
        </w:rPr>
      </w:pPr>
      <w:r>
        <w:rPr>
          <w:rFonts w:hint="eastAsia" w:ascii="黑体" w:hAnsi="黑体" w:eastAsia="黑体" w:cs="黑体"/>
          <w:bCs/>
          <w:sz w:val="32"/>
          <w:szCs w:val="32"/>
        </w:rPr>
        <w:t>（一）全力以赴抓党建，政治站位再提高</w:t>
      </w:r>
    </w:p>
    <w:p>
      <w:pPr>
        <w:spacing w:line="500" w:lineRule="exact"/>
        <w:ind w:firstLine="640" w:firstLineChars="20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一是结合本单位党员实际情况，及时向机关工委汇报党支部建设情况，在自然资源局党支部的指导下开展党建工作；二是坚持以理论学习为先导，认真开展党员干部政治思想教育，不断提升党员干部思想政治素质；二是持续开展群众工作、做好群众的困难帮扶。</w:t>
      </w:r>
    </w:p>
    <w:p>
      <w:pPr>
        <w:spacing w:line="560" w:lineRule="exact"/>
        <w:ind w:firstLine="320" w:firstLineChars="100"/>
        <w:rPr>
          <w:rFonts w:ascii="黑体" w:hAnsi="黑体" w:eastAsia="黑体" w:cs="黑体"/>
          <w:sz w:val="32"/>
          <w:szCs w:val="32"/>
        </w:rPr>
      </w:pPr>
      <w:r>
        <w:rPr>
          <w:rFonts w:hint="eastAsia" w:ascii="黑体" w:hAnsi="黑体" w:eastAsia="黑体" w:cs="黑体"/>
          <w:sz w:val="32"/>
          <w:szCs w:val="32"/>
        </w:rPr>
        <w:t>（二）全力开展绿化造林工作</w:t>
      </w:r>
    </w:p>
    <w:p>
      <w:pPr>
        <w:spacing w:line="560" w:lineRule="exact"/>
        <w:ind w:firstLine="640" w:firstLineChars="20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站在县自然资源局的指导和帮助下，认真计划，对造林地点、时间、人员等进行了统筹安排部署，扎实开展春季植树造林工作，全面落实3.12植树节全民义务植树，已完成义务植树造林6358亩，198320株，参加义务植树造林人次计11030人次。</w:t>
      </w:r>
    </w:p>
    <w:p>
      <w:pPr>
        <w:spacing w:line="560" w:lineRule="exact"/>
        <w:ind w:firstLine="320" w:firstLineChars="100"/>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Fonts w:hint="eastAsia" w:ascii="黑体" w:hAnsi="黑体" w:eastAsia="黑体" w:cs="黑体"/>
          <w:bCs/>
          <w:sz w:val="32"/>
          <w:szCs w:val="32"/>
        </w:rPr>
        <w:t>（三）</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认真落实生态建设任务，扎实推进生态林管户管护</w:t>
      </w:r>
    </w:p>
    <w:p>
      <w:pPr>
        <w:spacing w:line="560" w:lineRule="exact"/>
        <w:ind w:firstLine="320" w:firstLineChars="10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我县2021年续聘生态护林员1730名，管护面积为383242亩，平均每人管护面积221亩，为了确保管户责任落实，全部签订了管户合同，明确了管户任务，做到了管护区、管户责任、管护质量，扎实推进生态林管户管护。</w:t>
      </w:r>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（二）决策过程</w:t>
      </w:r>
    </w:p>
    <w:p>
      <w:pPr>
        <w:spacing w:line="50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单位决策机制根据行政事业单位内部控制体系建设相关要求，逐步完善《阿克陶县林业管理站党支部会议》、《三重一大会议制度》，根据制度规定；凡涉及到单位改革、发展和稳定关系工作人员切身利益的重大问题，均属于重大事项决策的范围；重要人事任免：后备干部推荐、</w:t>
      </w:r>
      <w:r>
        <w:rPr>
          <w:rStyle w:val="10"/>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选拔</w:t>
      </w:r>
      <w:bookmarkStart w:id="7" w:name="_GoBack"/>
      <w:bookmarkEnd w:id="7"/>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；领导班子工作分工。重要项目安排：大宗办公物资及设备采购等；上级批准的重大或集体考察学习活动项目经费支出。都需进行单位事项决策。</w:t>
      </w:r>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（三）项目资金分配</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1.部门（单位）预算编制及分配依据</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2.分配结果</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eastAsia="zh-Hans"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 xml:space="preserve">本年度我单位未安排预算重点项目。 </w:t>
      </w:r>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（四）部门单位整体支出规模</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1.预算执行情况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（1）年初预算执行情况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我单位年初预算数为349.82万元，实际预算执行数</w:t>
      </w:r>
      <w:r>
        <w:rPr>
          <w:rStyle w:val="10"/>
          <w:rFonts w:ascii="仿宋_GB2312" w:hAnsi="仿宋_GB2312" w:eastAsia="仿宋_GB2312" w:cs="仿宋_GB2312"/>
          <w:b w:val="0"/>
          <w:color w:val="000000" w:themeColor="text1"/>
          <w:sz w:val="32"/>
          <w:szCs w:val="32"/>
          <w:lang w:bidi="ar"/>
          <w14:textFill>
            <w14:solidFill>
              <w14:schemeClr w14:val="tx1"/>
            </w14:solidFill>
          </w14:textFill>
        </w:rPr>
        <w:t>344.79</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万元，预算执行率为</w:t>
      </w:r>
      <w:r>
        <w:rPr>
          <w:rStyle w:val="10"/>
          <w:rFonts w:ascii="仿宋_GB2312" w:hAnsi="仿宋_GB2312" w:eastAsia="仿宋_GB2312" w:cs="仿宋_GB2312"/>
          <w:b w:val="0"/>
          <w:color w:val="000000" w:themeColor="text1"/>
          <w:sz w:val="32"/>
          <w:szCs w:val="32"/>
          <w:lang w:bidi="ar"/>
          <w14:textFill>
            <w14:solidFill>
              <w14:schemeClr w14:val="tx1"/>
            </w14:solidFill>
          </w14:textFill>
        </w:rPr>
        <w:t>98.56</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（2）全年预算执行情况</w:t>
      </w:r>
    </w:p>
    <w:p>
      <w:pPr>
        <w:pStyle w:val="13"/>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全年预算数为</w:t>
      </w:r>
      <w:r>
        <w:rPr>
          <w:rStyle w:val="10"/>
          <w:rFonts w:ascii="仿宋_GB2312" w:hAnsi="仿宋_GB2312" w:eastAsia="仿宋_GB2312" w:cs="仿宋_GB2312"/>
          <w:b w:val="0"/>
          <w:color w:val="000000" w:themeColor="text1"/>
          <w:sz w:val="32"/>
          <w:szCs w:val="32"/>
          <w:lang w:bidi="ar"/>
          <w14:textFill>
            <w14:solidFill>
              <w14:schemeClr w14:val="tx1"/>
            </w14:solidFill>
          </w14:textFill>
        </w:rPr>
        <w:t>375.39</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万元，全年实际支出资金375.38万元，预算执行率为100%。</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2.预算调整情况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我单位年初批复预算数349.82万元，年中调整数25.56万元，调整后全年预算数375.3</w:t>
      </w:r>
      <w:r>
        <w:rPr>
          <w:rStyle w:val="10"/>
          <w:rFonts w:ascii="仿宋_GB2312" w:hAnsi="仿宋_GB2312" w:eastAsia="仿宋_GB2312" w:cs="仿宋_GB2312"/>
          <w:b w:val="0"/>
          <w:color w:val="000000" w:themeColor="text1"/>
          <w:sz w:val="32"/>
          <w:szCs w:val="32"/>
          <w:lang w:bidi="ar"/>
          <w14:textFill>
            <w14:solidFill>
              <w14:schemeClr w14:val="tx1"/>
            </w14:solidFill>
          </w14:textFill>
        </w:rPr>
        <w:t>9</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万元，预算调整率6.80%。</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 xml:space="preserve">3.政府采购执行情况 </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我单位本年度需政府采购的预算数为0万元。</w:t>
      </w:r>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（五）评价使用方法和主要内容、涉及范围</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1.评价使用方法</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bookmarkStart w:id="1" w:name="_Hlk49856735"/>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公众评判法</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2.评价对象及主要内容</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评价的对象及主要内容为:</w:t>
      </w: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一是</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部门单位整体管理及使用情况，具体涉及预算管理、基本支出和专项支出的管理及使用情况；</w:t>
      </w: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三是</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部门单位专项组织实施情况，具体涉及专项组织情况分析和相关管理情况；</w:t>
      </w: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四是</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资产管理情况，具体涉及资产管理规范性和资产变动情况。</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3.涉及的范围</w:t>
      </w:r>
      <w:bookmarkEnd w:id="1"/>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评价范围是对本单位整体支出从年度总体绩效目标、产出指标、效益指标、满意度指标等方面进行了全方位、多角度综合评价分析。</w:t>
      </w:r>
    </w:p>
    <w:p>
      <w:pPr>
        <w:pStyle w:val="13"/>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2" w:name="_Toc3253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部门单位整体支出管理及使用情况</w:t>
      </w:r>
      <w:bookmarkEnd w:id="2"/>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（一）预算管理情况</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1.管理制度健全性</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阿克陶县林业管理站部门单位预算绩效管理工作实施办法》，《阿克陶县林业管理站财务管理制度》等健全完整的各项管理制度，有效保障了我单位高效的履行工作职能，较好的促进事业发展。</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2.资金使用合规性和安全性</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3.预决算信息公开性</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（二）基本支出和使用情况</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1.基本支出和使用情况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2021年本单位基本支出全年预算总额</w:t>
      </w:r>
      <w:r>
        <w:rPr>
          <w:rStyle w:val="10"/>
          <w:rFonts w:ascii="仿宋_GB2312" w:hAnsi="仿宋_GB2312" w:eastAsia="仿宋_GB2312" w:cs="仿宋_GB2312"/>
          <w:b w:val="0"/>
          <w:color w:val="000000" w:themeColor="text1"/>
          <w:sz w:val="32"/>
          <w:szCs w:val="32"/>
          <w:lang w:bidi="ar"/>
          <w14:textFill>
            <w14:solidFill>
              <w14:schemeClr w14:val="tx1"/>
            </w14:solidFill>
          </w14:textFill>
        </w:rPr>
        <w:t>375.39</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万元，其中：人员经费</w:t>
      </w:r>
      <w:r>
        <w:rPr>
          <w:rFonts w:ascii="仿宋_GB2312" w:hAnsi="宋体" w:eastAsia="仿宋_GB2312" w:cs="宋体"/>
          <w:color w:val="000000" w:themeColor="text1"/>
          <w:kern w:val="0"/>
          <w:sz w:val="32"/>
          <w:szCs w:val="32"/>
          <w14:textFill>
            <w14:solidFill>
              <w14:schemeClr w14:val="tx1"/>
            </w14:solidFill>
          </w14:textFill>
        </w:rPr>
        <w:t>373.34</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万元，公用经费</w:t>
      </w:r>
      <w:r>
        <w:rPr>
          <w:rFonts w:ascii="仿宋_GB2312" w:hAnsi="宋体" w:eastAsia="仿宋_GB2312" w:cs="宋体"/>
          <w:color w:val="000000" w:themeColor="text1"/>
          <w:kern w:val="0"/>
          <w:sz w:val="32"/>
          <w:szCs w:val="32"/>
          <w14:textFill>
            <w14:solidFill>
              <w14:schemeClr w14:val="tx1"/>
            </w14:solidFill>
          </w14:textFill>
        </w:rPr>
        <w:t>1.64</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万元。实际支出375.3</w:t>
      </w:r>
      <w:r>
        <w:rPr>
          <w:rStyle w:val="10"/>
          <w:rFonts w:ascii="仿宋_GB2312" w:hAnsi="仿宋_GB2312" w:eastAsia="仿宋_GB2312" w:cs="仿宋_GB2312"/>
          <w:b w:val="0"/>
          <w:color w:val="000000" w:themeColor="text1"/>
          <w:sz w:val="32"/>
          <w:szCs w:val="32"/>
          <w:lang w:bidi="ar"/>
          <w14:textFill>
            <w14:solidFill>
              <w14:schemeClr w14:val="tx1"/>
            </w14:solidFill>
          </w14:textFill>
        </w:rPr>
        <w:t>9</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万元，基本支出预算执行率100%。</w:t>
      </w:r>
    </w:p>
    <w:p>
      <w:pPr>
        <w:pStyle w:val="13"/>
        <w:snapToGrid w:val="0"/>
        <w:spacing w:line="540" w:lineRule="exact"/>
        <w:ind w:firstLine="640"/>
        <w:rPr>
          <w:rStyle w:val="10"/>
          <w:rFonts w:ascii="仿宋_GB2312" w:hAnsi="仿宋_GB2312" w:eastAsia="仿宋_GB2312" w:cs="仿宋_GB2312"/>
          <w:b w:val="0"/>
          <w:color w:val="000000" w:themeColor="text1"/>
          <w:sz w:val="32"/>
          <w:szCs w:val="32"/>
          <w:highlight w:val="yellow"/>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snapToGrid w:val="0"/>
        <w:spacing w:line="540" w:lineRule="exact"/>
        <w:ind w:firstLine="640"/>
        <w:outlineLvl w:val="2"/>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2.三公经费控制情况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单位坚决贯彻落实中央、自治区、阿克陶县厉行勤俭办公的工作要求，提倡本单位全体干部职工，勤俭节约，切实降低行政运行成本，确保每年“三公经费”只减不增。2021年“三公经费”预算为,0.65万元，实际支出0.5万元，“三公经费”控制率为100%，其中：因公出国（境）费预算为0万元，实际支出0万元；公务接待费预算为0万元，实际支出0万元；公务用车购置费预算为0万元，实际支出0万元；公务用车运行维护费预算为0.65万元，实际支出0.5万元，公务用车运行维护费控制率100%，符合财政部门本年预算要求和相关管理制度要求。</w:t>
      </w:r>
    </w:p>
    <w:p>
      <w:pPr>
        <w:pStyle w:val="13"/>
        <w:snapToGrid w:val="0"/>
        <w:spacing w:line="540" w:lineRule="exact"/>
        <w:ind w:firstLine="640"/>
        <w:outlineLvl w:val="1"/>
        <w:rPr>
          <w:rStyle w:val="10"/>
          <w:rFonts w:ascii="仿宋_GB2312" w:hAnsi="仿宋_GB2312" w:eastAsia="仿宋_GB2312" w:cs="仿宋_GB2312"/>
          <w:bCs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Cs w:val="0"/>
          <w:color w:val="000000" w:themeColor="text1"/>
          <w:sz w:val="32"/>
          <w:szCs w:val="32"/>
          <w:lang w:bidi="ar"/>
          <w14:textFill>
            <w14:solidFill>
              <w14:schemeClr w14:val="tx1"/>
            </w14:solidFill>
          </w14:textFill>
        </w:rPr>
        <w:t>（三）专项支出管理和使用情况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2021年本单位全年未安排中央、自治区、地区本级项目支出预算。</w:t>
      </w:r>
    </w:p>
    <w:p>
      <w:pPr>
        <w:pStyle w:val="13"/>
        <w:numPr>
          <w:ilvl w:val="0"/>
          <w:numId w:val="2"/>
        </w:numPr>
        <w:snapToGrid w:val="0"/>
        <w:spacing w:line="540" w:lineRule="exact"/>
        <w:ind w:firstLineChars="0"/>
        <w:outlineLvl w:val="0"/>
        <w:rPr>
          <w:rStyle w:val="10"/>
          <w:rFonts w:ascii="仿宋_GB2312" w:hAnsi="仿宋_GB2312" w:eastAsia="仿宋_GB2312" w:cs="仿宋_GB2312"/>
          <w:color w:val="000000" w:themeColor="text1"/>
          <w:spacing w:val="-4"/>
          <w:sz w:val="32"/>
          <w:szCs w:val="32"/>
          <w14:textFill>
            <w14:solidFill>
              <w14:schemeClr w14:val="tx1"/>
            </w14:solidFill>
          </w14:textFill>
        </w:rPr>
      </w:pPr>
      <w:bookmarkStart w:id="3" w:name="_Toc27846_WPSOffice_Level1"/>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资产管理情况</w:t>
      </w:r>
      <w:bookmarkEnd w:id="3"/>
    </w:p>
    <w:p>
      <w:pPr>
        <w:pStyle w:val="13"/>
        <w:tabs>
          <w:tab w:val="left" w:pos="0"/>
        </w:tabs>
        <w:snapToGrid w:val="0"/>
        <w:spacing w:line="540" w:lineRule="exact"/>
        <w:ind w:firstLine="624"/>
        <w:outlineLvl w:val="1"/>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（一）资产管理规范性</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截至2021年底，阿克陶县林业管理站及下属各预算单位占用使用国有资产总体情况为</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1.房屋2100平方米，价值95.112万元。</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2.车辆2辆，价值13.90万元；其中：一般公务用车2辆，价值13.90万元；执法执勤用车 0辆，价值0万元；其他车辆0辆，价值0万元。</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3.办公家具价值0万元。</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4.其他资产价值 0万元。</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单位价值50万元以上大型设备 0台（套），单位价值100万元以上大型设备0台（套）。</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2021年部门预算未安排购置车辆经费（或安排购置车辆经费0万元，安排购置50万元以上大型设备0台（套），单位价值100万元以上大型设备0台（套）。</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1.资产管理情况。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2.固定资产利用情况。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我单位固定资产109.01万元,其中:房屋2100平方米，价值95.112万元，车辆2辆，价值13.90万元；其中：一般公务用车2辆，价值13.90万元；执法执勤用车 0辆，价值0万元；其他车辆0辆，价值0万元，固定资产利用率为100%。</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3.流动资产管理情况。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tabs>
          <w:tab w:val="left" w:pos="0"/>
        </w:tabs>
        <w:snapToGrid w:val="0"/>
        <w:spacing w:line="540" w:lineRule="exact"/>
        <w:ind w:firstLine="624"/>
        <w:outlineLvl w:val="1"/>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（二）固定资产利用率</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截止本年度固定资产账面净值68.41万元，年末实际在用固定资产109.75万元，固定资产利用率为62.33%。</w:t>
      </w:r>
    </w:p>
    <w:p>
      <w:pPr>
        <w:pStyle w:val="13"/>
        <w:numPr>
          <w:ilvl w:val="0"/>
          <w:numId w:val="2"/>
        </w:numPr>
        <w:snapToGrid w:val="0"/>
        <w:spacing w:line="540" w:lineRule="exact"/>
        <w:ind w:firstLineChars="0"/>
        <w:outlineLvl w:val="0"/>
        <w:rPr>
          <w:rStyle w:val="10"/>
          <w:rFonts w:ascii="仿宋_GB2312" w:hAnsi="仿宋_GB2312" w:eastAsia="仿宋_GB2312" w:cs="仿宋_GB2312"/>
          <w:color w:val="000000" w:themeColor="text1"/>
          <w:spacing w:val="-4"/>
          <w:sz w:val="32"/>
          <w:szCs w:val="32"/>
          <w14:textFill>
            <w14:solidFill>
              <w14:schemeClr w14:val="tx1"/>
            </w14:solidFill>
          </w14:textFill>
        </w:rPr>
      </w:pPr>
      <w:bookmarkStart w:id="4" w:name="_Toc13582_WPSOffice_Level1"/>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部门单位整体支出绩效情况</w:t>
      </w:r>
      <w:bookmarkEnd w:id="4"/>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部门单位整体支出自评表，共设置一级指标3个，二级指标7个，三级指标10个。</w:t>
      </w:r>
    </w:p>
    <w:p>
      <w:pPr>
        <w:pStyle w:val="13"/>
        <w:snapToGrid w:val="0"/>
        <w:spacing w:line="540" w:lineRule="exact"/>
        <w:ind w:firstLine="624"/>
        <w:outlineLvl w:val="1"/>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（一）产出指标完成情况分析</w:t>
      </w:r>
    </w:p>
    <w:p>
      <w:pPr>
        <w:pStyle w:val="13"/>
        <w:snapToGrid w:val="0"/>
        <w:spacing w:line="540" w:lineRule="exact"/>
        <w:ind w:firstLine="624"/>
        <w:outlineLvl w:val="2"/>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1.产出数量</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保障人员人数指标，预期指标是等于35人，实际完成值是35人，指标完成率是100%，达到预期目标。</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检查全县林业管理站次数指标，预期指标等于4次，实际完成值是4次，指标完成率是100%，</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检查全县林业管理工作次数指标，预期指标是等于3次，实际完成值是3次，指标完成率是100%，达到预期目标。</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数量指标共计3个，完成3个，达到预期目标，数量指标完成。</w:t>
      </w:r>
    </w:p>
    <w:p>
      <w:pPr>
        <w:pStyle w:val="13"/>
        <w:snapToGrid w:val="0"/>
        <w:spacing w:line="540" w:lineRule="exact"/>
        <w:ind w:firstLine="624"/>
        <w:outlineLvl w:val="2"/>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2.产出质量</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资金使用合规律（%）指标，预期指标是等于100%，实际完成值是100%。指标完成率是100%，达到质量提升及标准。</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质量指标共计1个，完成1个，达到质量提升及标准。质量指标完成。</w:t>
      </w:r>
    </w:p>
    <w:p>
      <w:pPr>
        <w:pStyle w:val="13"/>
        <w:snapToGrid w:val="0"/>
        <w:spacing w:line="540" w:lineRule="exact"/>
        <w:ind w:firstLine="624"/>
        <w:outlineLvl w:val="2"/>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3.产出进度</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资金拨付及时率（%）指标，预期指标是等于100%，实际完成值是100%，指标完成率是100%，达到预期目标。</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时效指标共计1个，完成1个，达到预期目标，数量指标完成。</w:t>
      </w:r>
    </w:p>
    <w:p>
      <w:pPr>
        <w:pStyle w:val="13"/>
        <w:snapToGrid w:val="0"/>
        <w:spacing w:line="540" w:lineRule="exact"/>
        <w:ind w:firstLine="624"/>
        <w:outlineLvl w:val="2"/>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4.产出成本</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人员经费（万元）指标，预期指标是等于343.15万元，实际完成值是373.74</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ab/>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万元，指标完成率是100%，达到成本控制及改善目标。</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公用经费（万元）指标，预期指标是等于6.67万元，实际完成值是1.64万元，指标完成率是40.06%，达到成本控制及改善目标。（未达成预期目标，未完成的原因：勤俭节约，缩小日常公用经费成本）。</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成本指标共计2个，完成2个，达到成本控制及改善目标，成本指标完成。</w:t>
      </w:r>
    </w:p>
    <w:p>
      <w:pPr>
        <w:pStyle w:val="13"/>
        <w:snapToGrid w:val="0"/>
        <w:spacing w:line="540" w:lineRule="exact"/>
        <w:ind w:firstLine="624"/>
        <w:outlineLvl w:val="1"/>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（二）效益指标完成情况分析</w:t>
      </w:r>
    </w:p>
    <w:p>
      <w:pPr>
        <w:pStyle w:val="13"/>
        <w:snapToGrid w:val="0"/>
        <w:spacing w:line="540" w:lineRule="exact"/>
        <w:ind w:firstLine="624"/>
        <w:outlineLvl w:val="2"/>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1.项目实施的经济效益分析</w:t>
      </w:r>
    </w:p>
    <w:p>
      <w:pPr>
        <w:pStyle w:val="13"/>
        <w:snapToGrid w:val="0"/>
        <w:spacing w:line="540" w:lineRule="exact"/>
        <w:ind w:firstLine="624"/>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3"/>
        <w:numPr>
          <w:ilvl w:val="0"/>
          <w:numId w:val="3"/>
        </w:numPr>
        <w:snapToGrid w:val="0"/>
        <w:spacing w:line="540" w:lineRule="exact"/>
        <w:ind w:left="638" w:leftChars="304" w:firstLine="0" w:firstLineChars="0"/>
        <w:outlineLvl w:val="2"/>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 xml:space="preserve">项目实施的社会效益分析  </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 xml:space="preserve">                                                                                                                                                                                                                                                                                                         </w:t>
      </w:r>
    </w:p>
    <w:p>
      <w:pPr>
        <w:pStyle w:val="13"/>
        <w:snapToGrid w:val="0"/>
        <w:spacing w:line="540" w:lineRule="exact"/>
        <w:ind w:left="638" w:leftChars="304" w:firstLine="0" w:firstLineChars="0"/>
        <w:outlineLvl w:val="2"/>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提升群众林业法律知晓率指标，预期指标是有效提升实际完成值是有效提升，指标完成率是100%，达到履职能力对社会带来的影响预期目标。</w:t>
      </w:r>
    </w:p>
    <w:p>
      <w:pPr>
        <w:pStyle w:val="13"/>
        <w:snapToGrid w:val="0"/>
        <w:spacing w:line="540" w:lineRule="exact"/>
        <w:ind w:firstLineChars="0"/>
        <w:outlineLvl w:val="2"/>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社会效益指标共计1个，完成1个，达到成本控制及改善目标，社会效益指标完成。</w:t>
      </w:r>
    </w:p>
    <w:p>
      <w:pPr>
        <w:pStyle w:val="13"/>
        <w:snapToGrid w:val="0"/>
        <w:spacing w:line="540" w:lineRule="exact"/>
        <w:ind w:firstLine="624"/>
        <w:outlineLvl w:val="2"/>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3.项目实施的生态效益分析</w:t>
      </w:r>
    </w:p>
    <w:p>
      <w:pPr>
        <w:pStyle w:val="13"/>
        <w:snapToGrid w:val="0"/>
        <w:spacing w:line="540" w:lineRule="exact"/>
        <w:ind w:firstLine="640"/>
        <w:outlineLvl w:val="2"/>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提升植树造林绿化覆盖率，保障森林资源面积指标，预期指标是有效提升，实际完成值是有效提升，指标完成率是100%,生态效益指标完成。</w:t>
      </w:r>
    </w:p>
    <w:p>
      <w:pPr>
        <w:pStyle w:val="13"/>
        <w:snapToGrid w:val="0"/>
        <w:spacing w:line="540" w:lineRule="exact"/>
        <w:ind w:firstLineChars="0"/>
        <w:outlineLvl w:val="2"/>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生态效益指标共计1个，完成1个，达到成本控制及改善目标，生态效益指标完成。</w:t>
      </w:r>
    </w:p>
    <w:p>
      <w:pPr>
        <w:pStyle w:val="13"/>
        <w:snapToGrid w:val="0"/>
        <w:spacing w:line="540" w:lineRule="exact"/>
        <w:ind w:firstLine="624"/>
        <w:outlineLvl w:val="2"/>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4.项目实施的可持续影响分析</w:t>
      </w:r>
    </w:p>
    <w:p>
      <w:pPr>
        <w:pStyle w:val="13"/>
        <w:snapToGrid w:val="0"/>
        <w:spacing w:line="540" w:lineRule="exact"/>
        <w:ind w:firstLine="624"/>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3"/>
        <w:snapToGrid w:val="0"/>
        <w:spacing w:line="540" w:lineRule="exact"/>
        <w:ind w:firstLine="624"/>
        <w:outlineLvl w:val="1"/>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（三）满意度指标完成情况分析</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受益职工满意度(%)指标，预期指标是大于等于95%，实际完成值是98%，指标完成率是100%。</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满意度指标共计1个，完成1个，达到成本控制及改善目标，满意度指标完成。</w:t>
      </w:r>
    </w:p>
    <w:p>
      <w:pPr>
        <w:pStyle w:val="13"/>
        <w:numPr>
          <w:ilvl w:val="0"/>
          <w:numId w:val="2"/>
        </w:numPr>
        <w:snapToGrid w:val="0"/>
        <w:spacing w:line="540" w:lineRule="exact"/>
        <w:ind w:firstLineChars="0"/>
        <w:outlineLvl w:val="0"/>
        <w:rPr>
          <w:rStyle w:val="10"/>
          <w:rFonts w:ascii="仿宋_GB2312" w:hAnsi="仿宋_GB2312" w:eastAsia="仿宋_GB2312" w:cs="仿宋_GB2312"/>
          <w:color w:val="000000" w:themeColor="text1"/>
          <w:spacing w:val="-4"/>
          <w:sz w:val="32"/>
          <w:szCs w:val="32"/>
          <w14:textFill>
            <w14:solidFill>
              <w14:schemeClr w14:val="tx1"/>
            </w14:solidFill>
          </w14:textFill>
        </w:rPr>
      </w:pPr>
      <w:bookmarkStart w:id="5" w:name="_Toc22800_WPSOffice_Level1"/>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存在的主要问题</w:t>
      </w:r>
      <w:bookmarkEnd w:id="5"/>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部分业务人员绩效管理意识有待增强，未能全面深入认识理解绩效管理工作的意义。绩效管理经验不足，预算绩效管理工作有待进一步落实。</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绩效指标的明确性、可衡量性、相关性还需进一步提升。预算精细化管理还需完善，预算编制管理水平仍有进一步提升的空间。</w:t>
      </w:r>
    </w:p>
    <w:p>
      <w:pPr>
        <w:pStyle w:val="13"/>
        <w:numPr>
          <w:ilvl w:val="0"/>
          <w:numId w:val="2"/>
        </w:numPr>
        <w:snapToGrid w:val="0"/>
        <w:spacing w:line="540" w:lineRule="exact"/>
        <w:ind w:firstLineChars="0"/>
        <w:outlineLvl w:val="0"/>
        <w:rPr>
          <w:rStyle w:val="10"/>
          <w:rFonts w:ascii="仿宋_GB2312" w:hAnsi="仿宋_GB2312" w:eastAsia="仿宋_GB2312" w:cs="仿宋_GB2312"/>
          <w:color w:val="000000" w:themeColor="text1"/>
          <w:spacing w:val="-4"/>
          <w:sz w:val="32"/>
          <w:szCs w:val="32"/>
          <w14:textFill>
            <w14:solidFill>
              <w14:schemeClr w14:val="tx1"/>
            </w14:solidFill>
          </w14:textFill>
        </w:rPr>
      </w:pPr>
      <w:bookmarkStart w:id="6" w:name="_Toc29546_WPSOffice_Level1"/>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改进措施和建议</w:t>
      </w:r>
      <w:bookmarkEnd w:id="6"/>
    </w:p>
    <w:p>
      <w:pPr>
        <w:pStyle w:val="13"/>
        <w:snapToGrid w:val="0"/>
        <w:spacing w:line="540" w:lineRule="exact"/>
        <w:ind w:firstLine="624"/>
        <w:outlineLvl w:val="1"/>
        <w:rPr>
          <w:rStyle w:val="10"/>
          <w:rFonts w:ascii="仿宋_GB2312" w:hAnsi="仿宋_GB2312" w:eastAsia="仿宋_GB2312" w:cs="仿宋_GB2312"/>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（一）改进措施</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加大绩效工作宣传力度，强化绩效理念。</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完善绩效指标，提高整体绩效目标质量。提升预算精细化管理水平。</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继续完善预算绩效管理相关工作制度，建立全过程预算绩效管理链条，有效贯彻落实全面实施绩效管理的精神。</w:t>
      </w:r>
    </w:p>
    <w:p>
      <w:pPr>
        <w:pStyle w:val="13"/>
        <w:snapToGrid w:val="0"/>
        <w:spacing w:line="540" w:lineRule="exact"/>
        <w:ind w:firstLine="624"/>
        <w:outlineLvl w:val="1"/>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0"/>
          <w:rFonts w:hint="eastAsia" w:ascii="仿宋_GB2312" w:hAnsi="仿宋_GB2312" w:eastAsia="仿宋_GB2312" w:cs="仿宋_GB2312"/>
          <w:color w:val="000000" w:themeColor="text1"/>
          <w:spacing w:val="-4"/>
          <w:sz w:val="32"/>
          <w:szCs w:val="32"/>
          <w14:textFill>
            <w14:solidFill>
              <w14:schemeClr w14:val="tx1"/>
            </w14:solidFill>
          </w14:textFill>
        </w:rPr>
        <w:t>二）建议</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借助第三方专业机构力量，贯彻落实全面预算绩效管理工作，建立全过程预算绩效管理链条，将绩效各个环节紧密贯通。</w:t>
      </w:r>
    </w:p>
    <w:p>
      <w:pPr>
        <w:pStyle w:val="13"/>
        <w:snapToGrid w:val="0"/>
        <w:spacing w:line="540" w:lineRule="exact"/>
        <w:ind w:firstLine="640"/>
        <w:rPr>
          <w:rStyle w:val="10"/>
          <w:rFonts w:ascii="仿宋_GB2312" w:hAnsi="仿宋_GB2312" w:eastAsia="仿宋_GB2312" w:cs="仿宋_GB2312"/>
          <w:b w:val="0"/>
          <w:color w:val="000000" w:themeColor="text1"/>
          <w:sz w:val="32"/>
          <w:szCs w:val="32"/>
          <w:lang w:bidi="ar"/>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A53AE3"/>
    <w:multiLevelType w:val="singleLevel"/>
    <w:tmpl w:val="E2A53AE3"/>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D7F79"/>
    <w:rsid w:val="001E750D"/>
    <w:rsid w:val="0022744B"/>
    <w:rsid w:val="00234372"/>
    <w:rsid w:val="00292A50"/>
    <w:rsid w:val="002939FF"/>
    <w:rsid w:val="002F7CCD"/>
    <w:rsid w:val="00310D84"/>
    <w:rsid w:val="003F0DB2"/>
    <w:rsid w:val="00424A01"/>
    <w:rsid w:val="00491D09"/>
    <w:rsid w:val="004A68AF"/>
    <w:rsid w:val="004E1483"/>
    <w:rsid w:val="0054132C"/>
    <w:rsid w:val="005519D7"/>
    <w:rsid w:val="00580BAA"/>
    <w:rsid w:val="00590FAD"/>
    <w:rsid w:val="005B1250"/>
    <w:rsid w:val="006258B7"/>
    <w:rsid w:val="00633862"/>
    <w:rsid w:val="006B4CDA"/>
    <w:rsid w:val="006C5BED"/>
    <w:rsid w:val="006C5D3A"/>
    <w:rsid w:val="006D4FCD"/>
    <w:rsid w:val="006E5B50"/>
    <w:rsid w:val="006F7865"/>
    <w:rsid w:val="00702D4A"/>
    <w:rsid w:val="007115C8"/>
    <w:rsid w:val="00722C79"/>
    <w:rsid w:val="00724F4D"/>
    <w:rsid w:val="007925C0"/>
    <w:rsid w:val="007D6A0D"/>
    <w:rsid w:val="007E7E99"/>
    <w:rsid w:val="00802CD4"/>
    <w:rsid w:val="00825D99"/>
    <w:rsid w:val="0089387B"/>
    <w:rsid w:val="008E7E52"/>
    <w:rsid w:val="0090139F"/>
    <w:rsid w:val="009304D8"/>
    <w:rsid w:val="0093778D"/>
    <w:rsid w:val="0097614B"/>
    <w:rsid w:val="0099431C"/>
    <w:rsid w:val="009F5A38"/>
    <w:rsid w:val="00A6587D"/>
    <w:rsid w:val="00AA5126"/>
    <w:rsid w:val="00AC1650"/>
    <w:rsid w:val="00AD16CD"/>
    <w:rsid w:val="00B5590F"/>
    <w:rsid w:val="00B86B60"/>
    <w:rsid w:val="00BA13C5"/>
    <w:rsid w:val="00BD7AB3"/>
    <w:rsid w:val="00BF62C2"/>
    <w:rsid w:val="00C532B7"/>
    <w:rsid w:val="00C77007"/>
    <w:rsid w:val="00CD2F35"/>
    <w:rsid w:val="00CD5A03"/>
    <w:rsid w:val="00D82401"/>
    <w:rsid w:val="00D9126A"/>
    <w:rsid w:val="00D93262"/>
    <w:rsid w:val="00DB1085"/>
    <w:rsid w:val="00E71EE9"/>
    <w:rsid w:val="00EB1FFE"/>
    <w:rsid w:val="00F326C7"/>
    <w:rsid w:val="00F84215"/>
    <w:rsid w:val="00FF2ACD"/>
    <w:rsid w:val="012008EE"/>
    <w:rsid w:val="01CC583F"/>
    <w:rsid w:val="04FF0482"/>
    <w:rsid w:val="05062887"/>
    <w:rsid w:val="05F70F85"/>
    <w:rsid w:val="084208C4"/>
    <w:rsid w:val="098A3C0A"/>
    <w:rsid w:val="0A9A7091"/>
    <w:rsid w:val="0CEF0957"/>
    <w:rsid w:val="10FE60D7"/>
    <w:rsid w:val="175D58E3"/>
    <w:rsid w:val="18061B60"/>
    <w:rsid w:val="190C3DF8"/>
    <w:rsid w:val="19F83E30"/>
    <w:rsid w:val="1B403139"/>
    <w:rsid w:val="1C6D319F"/>
    <w:rsid w:val="1D4D74D6"/>
    <w:rsid w:val="1DE32CFD"/>
    <w:rsid w:val="1EA64C16"/>
    <w:rsid w:val="1F1A602A"/>
    <w:rsid w:val="1F2854B6"/>
    <w:rsid w:val="21C768CD"/>
    <w:rsid w:val="22776641"/>
    <w:rsid w:val="22E14253"/>
    <w:rsid w:val="23F209A3"/>
    <w:rsid w:val="2403516E"/>
    <w:rsid w:val="254C103E"/>
    <w:rsid w:val="256A2A9E"/>
    <w:rsid w:val="2805537E"/>
    <w:rsid w:val="289437EE"/>
    <w:rsid w:val="28A55EB1"/>
    <w:rsid w:val="29244ED7"/>
    <w:rsid w:val="2EBF757D"/>
    <w:rsid w:val="31B83F5F"/>
    <w:rsid w:val="3278012B"/>
    <w:rsid w:val="328E2AB6"/>
    <w:rsid w:val="329B12EA"/>
    <w:rsid w:val="33A83F87"/>
    <w:rsid w:val="33B630D4"/>
    <w:rsid w:val="355C2B3F"/>
    <w:rsid w:val="35F12468"/>
    <w:rsid w:val="36851B5C"/>
    <w:rsid w:val="37D360CA"/>
    <w:rsid w:val="38CB5066"/>
    <w:rsid w:val="3A632E5C"/>
    <w:rsid w:val="3D6A7D83"/>
    <w:rsid w:val="3F301058"/>
    <w:rsid w:val="3F566806"/>
    <w:rsid w:val="417A34F9"/>
    <w:rsid w:val="418810F4"/>
    <w:rsid w:val="41A37673"/>
    <w:rsid w:val="421832F9"/>
    <w:rsid w:val="42C30950"/>
    <w:rsid w:val="45A65C7F"/>
    <w:rsid w:val="468C2A4A"/>
    <w:rsid w:val="46AD2493"/>
    <w:rsid w:val="46EC7F14"/>
    <w:rsid w:val="4851401A"/>
    <w:rsid w:val="48AF4C7F"/>
    <w:rsid w:val="4A81677A"/>
    <w:rsid w:val="4B7705C0"/>
    <w:rsid w:val="4DA177B2"/>
    <w:rsid w:val="4DF36D4F"/>
    <w:rsid w:val="501B7C76"/>
    <w:rsid w:val="504D5CCF"/>
    <w:rsid w:val="5095081C"/>
    <w:rsid w:val="533A7469"/>
    <w:rsid w:val="53526129"/>
    <w:rsid w:val="54DB173D"/>
    <w:rsid w:val="565F61A9"/>
    <w:rsid w:val="57232FC4"/>
    <w:rsid w:val="572D2326"/>
    <w:rsid w:val="57365691"/>
    <w:rsid w:val="59EE1E48"/>
    <w:rsid w:val="5A490F5C"/>
    <w:rsid w:val="5BD21464"/>
    <w:rsid w:val="5BDE2B83"/>
    <w:rsid w:val="61635F72"/>
    <w:rsid w:val="618606C5"/>
    <w:rsid w:val="63E114D3"/>
    <w:rsid w:val="6A0B0D54"/>
    <w:rsid w:val="6AD46D46"/>
    <w:rsid w:val="6DE07909"/>
    <w:rsid w:val="6E58438A"/>
    <w:rsid w:val="6E9D5508"/>
    <w:rsid w:val="6FA3087E"/>
    <w:rsid w:val="71EB22B3"/>
    <w:rsid w:val="72010FA6"/>
    <w:rsid w:val="748A4F72"/>
    <w:rsid w:val="75664078"/>
    <w:rsid w:val="761E4132"/>
    <w:rsid w:val="78061A79"/>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100" w:beforeAutospacing="1" w:after="100" w:afterAutospacing="1"/>
      <w:jc w:val="left"/>
    </w:pPr>
    <w:rPr>
      <w:kern w:val="0"/>
      <w:sz w:val="24"/>
    </w:rPr>
  </w:style>
  <w:style w:type="character" w:styleId="10">
    <w:name w:val="Strong"/>
    <w:basedOn w:val="9"/>
    <w:qFormat/>
    <w:uiPriority w:val="0"/>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列表段落1"/>
    <w:basedOn w:val="1"/>
    <w:unhideWhenUsed/>
    <w:qFormat/>
    <w:uiPriority w:val="99"/>
    <w:pPr>
      <w:ind w:firstLine="420" w:firstLineChars="200"/>
    </w:pPr>
  </w:style>
  <w:style w:type="character" w:customStyle="1" w:styleId="14">
    <w:name w:val="页脚 字符"/>
    <w:basedOn w:val="9"/>
    <w:link w:val="6"/>
    <w:qFormat/>
    <w:uiPriority w:val="99"/>
    <w:rPr>
      <w:sz w:val="18"/>
      <w:szCs w:val="18"/>
    </w:rPr>
  </w:style>
  <w:style w:type="character" w:customStyle="1" w:styleId="15">
    <w:name w:val="页眉 字符"/>
    <w:basedOn w:val="9"/>
    <w:link w:val="7"/>
    <w:qFormat/>
    <w:uiPriority w:val="99"/>
    <w:rPr>
      <w:sz w:val="18"/>
      <w:szCs w:val="18"/>
    </w:rPr>
  </w:style>
  <w:style w:type="paragraph" w:customStyle="1" w:styleId="16">
    <w:name w:val="WPSOffice手动目录 1"/>
    <w:qFormat/>
    <w:uiPriority w:val="0"/>
    <w:rPr>
      <w:rFonts w:asciiTheme="minorHAnsi" w:hAnsiTheme="minorHAnsi" w:eastAsiaTheme="minorEastAsia" w:cstheme="minorBidi"/>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列表段落11"/>
    <w:basedOn w:val="1"/>
    <w:unhideWhenUsed/>
    <w:qFormat/>
    <w:uiPriority w:val="99"/>
    <w:pPr>
      <w:ind w:firstLine="420" w:firstLineChars="200"/>
    </w:pPr>
  </w:style>
  <w:style w:type="paragraph" w:customStyle="1" w:styleId="19">
    <w:name w:val="p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927</Words>
  <Characters>5289</Characters>
  <Lines>44</Lines>
  <Paragraphs>12</Paragraphs>
  <TotalTime>16</TotalTime>
  <ScaleCrop>false</ScaleCrop>
  <LinksUpToDate>false</LinksUpToDate>
  <CharactersWithSpaces>6204</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2023-12-15T12:55:37Z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F660CCEF2EEF4B33B354BA159702D299</vt:lpwstr>
  </property>
</Properties>
</file>