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阿克陶县水政水资源服务中心整体支出绩效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left="958" w:leftChars="304" w:hanging="320" w:hanging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部门单位名称（公章）：阿克陶县水政水资源服务中心填报时间：2022年4月7日</w:t>
      </w:r>
    </w:p>
    <w:p>
      <w:pPr>
        <w:pStyle w:val="2"/>
        <w:rPr>
          <w:rFonts w:hint="eastAsia"/>
        </w:rPr>
      </w:pP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（一）单位基本情况</w:t>
      </w:r>
    </w:p>
    <w:p>
      <w:pPr>
        <w:widowControl/>
        <w:ind w:firstLine="560"/>
        <w:jc w:val="left"/>
      </w:pPr>
      <w:r>
        <w:rPr>
          <w:rStyle w:val="8"/>
          <w:rFonts w:hint="eastAsia" w:ascii="仿宋_GB2312" w:hAnsi="仿宋_GB2312" w:eastAsia="仿宋_GB2312" w:cs="仿宋_GB2312"/>
          <w:bCs w:val="0"/>
          <w:color w:val="333333"/>
          <w:sz w:val="32"/>
          <w:szCs w:val="32"/>
          <w:lang w:bidi="ar"/>
        </w:rPr>
        <w:t>1.部门主要职能：</w:t>
      </w:r>
      <w:r>
        <w:rPr>
          <w:rFonts w:hint="eastAsia"/>
        </w:rPr>
        <w:t xml:space="preserve"> </w:t>
      </w:r>
    </w:p>
    <w:p>
      <w:pPr>
        <w:widowControl/>
        <w:ind w:firstLine="560"/>
        <w:jc w:val="left"/>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负责《水法》、《水土保持法》、《防洪法》等有关法律法规的贯彻落实、组织实施和监督检查；归口管理地方性水法规、政策、规范性文件；负责全县水资源的统一调查管理和保护工作，负责组织实施取水许可证制度和水资源费征收管理制度；归口协调地区、部门和兵团间的水事纠纷；负责水事案件行为复议工作；拟定水资源保护规划，制定全县中长期供水计划和水量分配方案并监督实施；管理全州节约用水和水政执法队伍建设；组织指导水政监察、水行政执法、水土保持和河道工作；组织全县水土流失的监测和综合防治；</w:t>
      </w:r>
    </w:p>
    <w:p>
      <w:pPr>
        <w:widowControl/>
        <w:jc w:val="left"/>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负责水土保持补偿费和水土流失防治费的征收。</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2.部门机构设置及人员构成</w:t>
      </w:r>
    </w:p>
    <w:p>
      <w:pPr>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阿克陶县水政水资源服务中心事业编制8名，其中：在职9人，退休4人。实有人数13人</w:t>
      </w:r>
    </w:p>
    <w:p>
      <w:pPr>
        <w:numPr>
          <w:ilvl w:val="0"/>
          <w:numId w:val="2"/>
        </w:numPr>
        <w:spacing w:line="560" w:lineRule="exact"/>
        <w:ind w:firstLine="643" w:firstLineChars="200"/>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年度重点工作</w:t>
      </w:r>
    </w:p>
    <w:p>
      <w:pPr>
        <w:spacing w:line="560" w:lineRule="exact"/>
        <w:ind w:firstLine="643" w:firstLineChars="200"/>
        <w:rPr>
          <w:rStyle w:val="8"/>
          <w:rFonts w:ascii="仿宋_GB2312" w:hAnsi="仿宋_GB2312" w:eastAsia="仿宋_GB2312" w:cs="仿宋_GB2312"/>
          <w:b w:val="0"/>
          <w:sz w:val="32"/>
          <w:szCs w:val="32"/>
          <w:lang w:bidi="ar"/>
        </w:rPr>
      </w:pPr>
      <w:r>
        <w:rPr>
          <w:rFonts w:hint="eastAsia" w:ascii="仿宋_GB2312" w:hAnsi="仿宋_GB2312" w:eastAsia="仿宋_GB2312" w:cs="仿宋_GB2312"/>
          <w:b/>
          <w:bCs/>
          <w:sz w:val="32"/>
          <w:szCs w:val="32"/>
        </w:rPr>
        <w:t>一是积极开展县域节水型社会达标建设工作。</w:t>
      </w:r>
      <w:r>
        <w:rPr>
          <w:rStyle w:val="8"/>
          <w:rFonts w:hint="eastAsia" w:ascii="仿宋_GB2312" w:hAnsi="仿宋_GB2312" w:eastAsia="仿宋_GB2312" w:cs="仿宋_GB2312"/>
          <w:b w:val="0"/>
          <w:sz w:val="32"/>
          <w:szCs w:val="32"/>
          <w:lang w:bidi="ar"/>
        </w:rPr>
        <w:t>按照水利部、水利厅下发《关于开展县域节水型社会达标建设工作的通知》文件要求，2021年5月我县组织县直相关单位参加自治州县域节水型社会达标建设工作推进会议，落实会议要求，加快推进节水型社会工作。目前，我县已成立节水型社会达标建设工作领导小组，印发节水型社会达标建设实施方案，完成第三方技术服务合同签订，召开节水型载体会议，协调解决各居民小区安装绿化水表、喷灌等问题，全面开展节水型社会创建工作。</w:t>
      </w:r>
      <w:r>
        <w:rPr>
          <w:rFonts w:hint="eastAsia" w:ascii="仿宋_GB2312" w:hAnsi="仿宋_GB2312" w:eastAsia="仿宋_GB2312" w:cs="仿宋_GB2312"/>
          <w:b/>
          <w:bCs/>
          <w:sz w:val="32"/>
          <w:szCs w:val="32"/>
        </w:rPr>
        <w:t>二是加大宣传力度，营造良好水行政执法</w:t>
      </w:r>
      <w:bookmarkStart w:id="8" w:name="_GoBack"/>
      <w:bookmarkEnd w:id="8"/>
      <w:r>
        <w:rPr>
          <w:rFonts w:hint="eastAsia" w:ascii="仿宋_GB2312" w:hAnsi="仿宋_GB2312" w:eastAsia="仿宋_GB2312" w:cs="仿宋_GB2312"/>
          <w:b/>
          <w:bCs/>
          <w:sz w:val="32"/>
          <w:szCs w:val="32"/>
        </w:rPr>
        <w:t>氛围。</w:t>
      </w:r>
      <w:r>
        <w:rPr>
          <w:rStyle w:val="8"/>
          <w:rFonts w:hint="eastAsia" w:ascii="仿宋_GB2312" w:hAnsi="仿宋_GB2312" w:eastAsia="仿宋_GB2312" w:cs="仿宋_GB2312"/>
          <w:b w:val="0"/>
          <w:sz w:val="32"/>
          <w:szCs w:val="32"/>
          <w:lang w:bidi="ar"/>
        </w:rPr>
        <w:t>今年借“世界水日”暨“中国水周”的有力时机，利用媒体、宣传车、发放创传单等不同形式向全社会进行水法律法规的广泛宣传，出动人员50余次，宣传车辆10余次，通过群发系统群发宣传短信500 条，同时向县内伊达商场及10余个乡镇群众发放宣传资料10000余份,在各县直单位及周边乡镇、村用水场所张贴宣传标语1000余张，悬挂横幅6条，宣传物品（纸杯子、抽纸）发放4000余份，通过宣传增强了全社会自觉遵守水法律法规的意识，收到了良好的社会效果。我县的各类水事违法案件逐步减少，各族群众自觉遵守水法律法规的意识已基本形成。</w:t>
      </w:r>
      <w:r>
        <w:rPr>
          <w:rFonts w:hint="eastAsia" w:ascii="仿宋_GB2312" w:hAnsi="仿宋_GB2312" w:eastAsia="仿宋_GB2312" w:cs="仿宋_GB2312"/>
          <w:b/>
          <w:bCs/>
          <w:sz w:val="32"/>
          <w:szCs w:val="32"/>
        </w:rPr>
        <w:t>三是实行最严格水资源管理制度，强化取水许可管理。</w:t>
      </w:r>
      <w:r>
        <w:rPr>
          <w:rStyle w:val="8"/>
          <w:rFonts w:hint="eastAsia" w:ascii="仿宋_GB2312" w:hAnsi="仿宋_GB2312" w:eastAsia="仿宋_GB2312" w:cs="仿宋_GB2312"/>
          <w:b w:val="0"/>
          <w:sz w:val="32"/>
          <w:szCs w:val="32"/>
          <w:lang w:bidi="ar"/>
        </w:rPr>
        <w:t>2021年3月，开展全县农业机电井办理取水许可工作，阿克陶县共有机电井597眼，截至目前，372眼机井水资源论证已完成编制及复核工作，取水许可证电子证照办理工作正在积极开展。</w:t>
      </w:r>
      <w:r>
        <w:rPr>
          <w:rFonts w:hint="eastAsia" w:ascii="仿宋_GB2312" w:hAnsi="仿宋_GB2312" w:eastAsia="仿宋_GB2312" w:cs="仿宋_GB2312"/>
          <w:b/>
          <w:bCs/>
          <w:sz w:val="32"/>
          <w:szCs w:val="32"/>
        </w:rPr>
        <w:t>四是完成全县地下水资源论证工作，</w:t>
      </w:r>
      <w:r>
        <w:rPr>
          <w:rStyle w:val="8"/>
          <w:rFonts w:hint="eastAsia" w:ascii="仿宋_GB2312" w:hAnsi="仿宋_GB2312" w:eastAsia="仿宋_GB2312" w:cs="仿宋_GB2312"/>
          <w:b w:val="0"/>
          <w:sz w:val="32"/>
          <w:szCs w:val="32"/>
          <w:lang w:bidi="ar"/>
        </w:rPr>
        <w:t>对以往不符合实际情况的地下水开采井口全面清理，通过努力，为我县整合地下水资源共节约出500万立方米的指标，为全县一二三产业后续发展提供了保障。</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（二）决策过程</w:t>
      </w:r>
    </w:p>
    <w:p>
      <w:pPr>
        <w:pStyle w:val="12"/>
        <w:snapToGrid w:val="0"/>
        <w:spacing w:line="540" w:lineRule="exact"/>
        <w:ind w:firstLine="640"/>
        <w:outlineLvl w:val="2"/>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决策机制根据行政事业单位内部控制体系建设相关要求，逐步完善《阿克陶县水利局（局党组会议）议事规则》、《三重一大会议制度》《政府预算收支管理办法》《行政事业国有资产管理暂行办法》，根据制度规定我单位决策机制根据行政事业单位内部控制体系建设相关要求，逐步完善《阿克陶县水利局议事规则》、《三重一大会议制度》《政府预算收支管理办法》《行政单位国有资产管理暂行办法》《中华人民共和国会计法》，根据制度规定，确保我单位各类项目顺利实施，我单位建立专项项目领导小组，保证项目的实施，组织人员制定并申报采购计划，按批复采购方式进行；项目支出和基本支出及政府采购的项目，按照“三重一大”制度规定重大项目支出上支部会研究决定，严格执行项目资金批准的使用计划和项目批复资料，不擅自调项、扩项、缩项，更不拆借、挪用、挤占和随意扣压，提高财政资金使用效益。管理和使用坚持统一政策、统一领导、分级管理、职责到人、物尽其用的原则。办公室负责对单位资产管理进行指导和监督，对纳入政府采购范围的资产进行统一购置；资产采购根据合同、供应商发货单等对所购资产的品种、规格、数量、质量、技术要求及其他资料进行验收。未通过验收的不合格资产，不得接收，务必按照合同等有关规定办理退换货或其他弥补措施。</w:t>
      </w:r>
    </w:p>
    <w:p>
      <w:pPr>
        <w:pStyle w:val="12"/>
        <w:snapToGrid w:val="0"/>
        <w:spacing w:line="540" w:lineRule="exact"/>
        <w:ind w:firstLine="640"/>
        <w:outlineLvl w:val="2"/>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sz w:val="32"/>
          <w:szCs w:val="32"/>
          <w:lang w:bidi="ar"/>
        </w:rPr>
        <w:t>本单位各科室确定专人负责资产的日常管理工作，包括资产的登记、统计、维护、保管等，并对所管资产的安全完整负有职责。资产管理人员应相对稳定，工作调动时务必办理交接手续。</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1.部门（单位）预算编制及分配依据</w:t>
      </w:r>
    </w:p>
    <w:p>
      <w:pPr>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基本支出政府预算收支管理制度根据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2.分配结果</w:t>
      </w:r>
    </w:p>
    <w:p>
      <w:pPr>
        <w:pStyle w:val="12"/>
        <w:snapToGrid w:val="0"/>
        <w:spacing w:line="540" w:lineRule="exact"/>
        <w:ind w:firstLine="640"/>
        <w:rPr>
          <w:rStyle w:val="8"/>
          <w:rFonts w:ascii="仿宋_GB2312" w:hAnsi="仿宋_GB2312" w:eastAsia="仿宋_GB2312" w:cs="仿宋_GB2312"/>
          <w:b w:val="0"/>
          <w:color w:val="333333"/>
          <w:sz w:val="32"/>
          <w:szCs w:val="32"/>
          <w:lang w:eastAsia="zh-Hans" w:bidi="ar"/>
        </w:rPr>
      </w:pPr>
      <w:r>
        <w:rPr>
          <w:rStyle w:val="8"/>
          <w:rFonts w:hint="eastAsia" w:ascii="仿宋_GB2312" w:hAnsi="仿宋_GB2312" w:eastAsia="仿宋_GB2312" w:cs="仿宋_GB2312"/>
          <w:b w:val="0"/>
          <w:color w:val="333333"/>
          <w:sz w:val="32"/>
          <w:szCs w:val="32"/>
          <w:lang w:eastAsia="zh-Hans" w:bidi="ar"/>
        </w:rPr>
        <w:t>与绩效目标的一致性</w:t>
      </w:r>
      <w:r>
        <w:rPr>
          <w:rStyle w:val="8"/>
          <w:rFonts w:ascii="仿宋_GB2312" w:hAnsi="仿宋_GB2312" w:eastAsia="仿宋_GB2312" w:cs="仿宋_GB2312"/>
          <w:b w:val="0"/>
          <w:color w:val="333333"/>
          <w:sz w:val="32"/>
          <w:szCs w:val="32"/>
          <w:lang w:eastAsia="zh-Hans" w:bidi="ar"/>
        </w:rPr>
        <w:t>，</w:t>
      </w:r>
      <w:r>
        <w:rPr>
          <w:rStyle w:val="8"/>
          <w:rFonts w:hint="eastAsia" w:ascii="仿宋_GB2312" w:hAnsi="仿宋_GB2312" w:eastAsia="仿宋_GB2312" w:cs="仿宋_GB2312"/>
          <w:b w:val="0"/>
          <w:color w:val="333333"/>
          <w:sz w:val="32"/>
          <w:szCs w:val="32"/>
          <w:lang w:eastAsia="zh-Hans" w:bidi="ar"/>
        </w:rPr>
        <w:t>分配结果的合理性</w:t>
      </w:r>
      <w:r>
        <w:rPr>
          <w:rStyle w:val="8"/>
          <w:rFonts w:ascii="仿宋_GB2312" w:hAnsi="仿宋_GB2312" w:eastAsia="仿宋_GB2312" w:cs="仿宋_GB2312"/>
          <w:b w:val="0"/>
          <w:color w:val="333333"/>
          <w:sz w:val="32"/>
          <w:szCs w:val="32"/>
          <w:lang w:eastAsia="zh-Hans" w:bidi="ar"/>
        </w:rPr>
        <w:t>。</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我单位本年主要实施水法宣传活动费等重点项目，履行了水法宣传等主要职责。</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本年度预算安排的重点项目支出3.29万元，项目总支出3.29万元，重点支出保障率为100%。</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我单位年初预算数为164.26万元，实际预算执行数</w:t>
      </w:r>
      <w:r>
        <w:rPr>
          <w:rStyle w:val="8"/>
          <w:rFonts w:ascii="仿宋_GB2312" w:hAnsi="仿宋_GB2312" w:eastAsia="仿宋_GB2312" w:cs="仿宋_GB2312"/>
          <w:b w:val="0"/>
          <w:sz w:val="32"/>
          <w:szCs w:val="32"/>
          <w:lang w:bidi="ar"/>
        </w:rPr>
        <w:t>163.44</w:t>
      </w:r>
      <w:r>
        <w:rPr>
          <w:rStyle w:val="8"/>
          <w:rFonts w:hint="eastAsia" w:ascii="仿宋_GB2312" w:hAnsi="仿宋_GB2312" w:eastAsia="仿宋_GB2312" w:cs="仿宋_GB2312"/>
          <w:b w:val="0"/>
          <w:sz w:val="32"/>
          <w:szCs w:val="32"/>
          <w:lang w:bidi="ar"/>
        </w:rPr>
        <w:t>万元，预算执行率为</w:t>
      </w:r>
      <w:r>
        <w:rPr>
          <w:rStyle w:val="8"/>
          <w:rFonts w:ascii="仿宋_GB2312" w:hAnsi="仿宋_GB2312" w:eastAsia="仿宋_GB2312" w:cs="仿宋_GB2312"/>
          <w:b w:val="0"/>
          <w:sz w:val="32"/>
          <w:szCs w:val="32"/>
          <w:lang w:bidi="ar"/>
        </w:rPr>
        <w:t>99.5</w:t>
      </w:r>
      <w:r>
        <w:rPr>
          <w:rStyle w:val="8"/>
          <w:rFonts w:hint="eastAsia" w:ascii="仿宋_GB2312" w:hAnsi="仿宋_GB2312" w:eastAsia="仿宋_GB2312" w:cs="仿宋_GB2312"/>
          <w:b w:val="0"/>
          <w:sz w:val="32"/>
          <w:szCs w:val="32"/>
          <w:lang w:bidi="ar"/>
        </w:rPr>
        <w:t>%。</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全年预算数为172.3</w:t>
      </w:r>
      <w:r>
        <w:rPr>
          <w:rStyle w:val="8"/>
          <w:rFonts w:ascii="仿宋_GB2312" w:hAnsi="仿宋_GB2312" w:eastAsia="仿宋_GB2312" w:cs="仿宋_GB2312"/>
          <w:b w:val="0"/>
          <w:sz w:val="32"/>
          <w:szCs w:val="32"/>
          <w:lang w:bidi="ar"/>
        </w:rPr>
        <w:t>8</w:t>
      </w:r>
      <w:r>
        <w:rPr>
          <w:rStyle w:val="8"/>
          <w:rFonts w:hint="eastAsia" w:ascii="仿宋_GB2312" w:hAnsi="仿宋_GB2312" w:eastAsia="仿宋_GB2312" w:cs="仿宋_GB2312"/>
          <w:b w:val="0"/>
          <w:sz w:val="32"/>
          <w:szCs w:val="32"/>
          <w:lang w:bidi="ar"/>
        </w:rPr>
        <w:t>万元，全年实际支出资金172.31万元，预算执行率为100%。</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Style w:val="8"/>
          <w:rFonts w:hint="eastAsia" w:ascii="仿宋_GB2312" w:hAnsi="仿宋_GB2312" w:eastAsia="仿宋_GB2312" w:cs="仿宋_GB2312"/>
          <w:b w:val="0"/>
          <w:sz w:val="32"/>
          <w:szCs w:val="32"/>
          <w:lang w:bidi="ar"/>
        </w:rPr>
        <w:t>我单位年初批复预算数164.26万元，年中调整数8.05万元，调整后全年预算数172.3</w:t>
      </w:r>
      <w:r>
        <w:rPr>
          <w:rStyle w:val="8"/>
          <w:rFonts w:ascii="仿宋_GB2312" w:hAnsi="仿宋_GB2312" w:eastAsia="仿宋_GB2312" w:cs="仿宋_GB2312"/>
          <w:b w:val="0"/>
          <w:sz w:val="32"/>
          <w:szCs w:val="32"/>
          <w:lang w:bidi="ar"/>
        </w:rPr>
        <w:t>8</w:t>
      </w:r>
      <w:r>
        <w:rPr>
          <w:rStyle w:val="8"/>
          <w:rFonts w:hint="eastAsia" w:ascii="仿宋_GB2312" w:hAnsi="仿宋_GB2312" w:eastAsia="仿宋_GB2312" w:cs="仿宋_GB2312"/>
          <w:b w:val="0"/>
          <w:sz w:val="32"/>
          <w:szCs w:val="32"/>
          <w:lang w:bidi="ar"/>
        </w:rPr>
        <w:t>万元，预算调整率4.9%。</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0"/>
        <w:outlineLvl w:val="1"/>
        <w:rPr>
          <w:rStyle w:val="8"/>
          <w:rFonts w:ascii="仿宋_GB2312" w:hAnsi="仿宋_GB2312" w:eastAsia="仿宋_GB2312" w:cs="仿宋_GB2312"/>
          <w:bCs w:val="0"/>
          <w:sz w:val="32"/>
          <w:szCs w:val="32"/>
          <w:lang w:bidi="ar"/>
        </w:rPr>
      </w:pPr>
      <w:r>
        <w:rPr>
          <w:rStyle w:val="8"/>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8"/>
          <w:rFonts w:ascii="仿宋_GB2312" w:hAnsi="仿宋_GB2312" w:eastAsia="仿宋_GB2312" w:cs="仿宋_GB2312"/>
          <w:b w:val="0"/>
          <w:sz w:val="32"/>
          <w:szCs w:val="32"/>
          <w:lang w:bidi="ar"/>
        </w:rPr>
      </w:pPr>
      <w:bookmarkStart w:id="1" w:name="_Hlk49856735"/>
      <w:r>
        <w:rPr>
          <w:rStyle w:val="8"/>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8"/>
          <w:rFonts w:hint="eastAsia" w:ascii="仿宋_GB2312" w:hAnsi="仿宋_GB2312" w:eastAsia="仿宋_GB2312" w:cs="仿宋_GB2312"/>
          <w:b w:val="0"/>
          <w:sz w:val="32"/>
          <w:szCs w:val="32"/>
          <w:lang w:eastAsia="zh-Hans" w:bidi="ar"/>
        </w:rPr>
        <w:t>公众评判法</w:t>
      </w:r>
      <w:r>
        <w:rPr>
          <w:rStyle w:val="8"/>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color w:val="333333"/>
          <w:sz w:val="32"/>
          <w:szCs w:val="32"/>
          <w:lang w:bidi="ar"/>
        </w:rPr>
        <w:t>评价的对象及主要内容为:</w:t>
      </w:r>
      <w:r>
        <w:rPr>
          <w:rStyle w:val="8"/>
          <w:rFonts w:hint="eastAsia" w:ascii="仿宋_GB2312" w:hAnsi="仿宋_GB2312" w:eastAsia="仿宋_GB2312" w:cs="仿宋_GB2312"/>
          <w:bCs w:val="0"/>
          <w:color w:val="333333"/>
          <w:sz w:val="32"/>
          <w:szCs w:val="32"/>
          <w:lang w:bidi="ar"/>
        </w:rPr>
        <w:t>一是</w:t>
      </w:r>
      <w:r>
        <w:rPr>
          <w:rStyle w:val="8"/>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8"/>
          <w:rFonts w:hint="eastAsia" w:ascii="仿宋_GB2312" w:hAnsi="仿宋_GB2312" w:eastAsia="仿宋_GB2312" w:cs="仿宋_GB2312"/>
          <w:bCs w:val="0"/>
          <w:color w:val="333333"/>
          <w:sz w:val="32"/>
          <w:szCs w:val="32"/>
          <w:lang w:bidi="ar"/>
        </w:rPr>
        <w:t>二是</w:t>
      </w:r>
      <w:r>
        <w:rPr>
          <w:rStyle w:val="8"/>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8"/>
          <w:rFonts w:hint="eastAsia" w:ascii="仿宋_GB2312" w:hAnsi="仿宋_GB2312" w:eastAsia="仿宋_GB2312" w:cs="仿宋_GB2312"/>
          <w:bCs w:val="0"/>
          <w:color w:val="333333"/>
          <w:sz w:val="32"/>
          <w:szCs w:val="32"/>
          <w:lang w:bidi="ar"/>
        </w:rPr>
        <w:t>三是</w:t>
      </w:r>
      <w:r>
        <w:rPr>
          <w:rStyle w:val="8"/>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8"/>
          <w:rFonts w:hint="eastAsia" w:ascii="仿宋_GB2312" w:hAnsi="仿宋_GB2312" w:eastAsia="仿宋_GB2312" w:cs="仿宋_GB2312"/>
          <w:bCs w:val="0"/>
          <w:color w:val="333333"/>
          <w:sz w:val="32"/>
          <w:szCs w:val="32"/>
          <w:lang w:bidi="ar"/>
        </w:rPr>
        <w:t>四是</w:t>
      </w:r>
      <w:r>
        <w:rPr>
          <w:rStyle w:val="8"/>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本单位为加强预算管理，规范财务行为，已制定《阿克陶县水政水资源服务中心预算绩效管理工作实施办法》，《阿克陶县水政水资源服务中心财务管理制度》等健全完整的各项管理制度，有效保障了我单位高效的履行工作职能，较好的促进事业发展。</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8"/>
          <w:rFonts w:ascii="仿宋_GB2312" w:hAnsi="仿宋_GB2312" w:eastAsia="仿宋_GB2312" w:cs="仿宋_GB2312"/>
          <w:b w:val="0"/>
          <w:color w:val="333333"/>
          <w:sz w:val="32"/>
          <w:szCs w:val="32"/>
          <w:lang w:bidi="ar"/>
        </w:rPr>
      </w:pPr>
      <w:r>
        <w:rPr>
          <w:rStyle w:val="8"/>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8"/>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w:t>
      </w:r>
      <w:r>
        <w:rPr>
          <w:rFonts w:hint="eastAsia" w:ascii="仿宋" w:hAnsi="仿宋" w:eastAsia="仿宋" w:cs="宋体"/>
          <w:bCs/>
          <w:color w:val="333333"/>
          <w:sz w:val="32"/>
          <w:szCs w:val="32"/>
          <w:lang w:eastAsia="zh-Hans" w:bidi="ar"/>
        </w:rPr>
        <w:t>阿克陶县人民</w:t>
      </w:r>
      <w:r>
        <w:rPr>
          <w:rFonts w:hint="eastAsia" w:ascii="仿宋" w:hAnsi="仿宋" w:eastAsia="仿宋" w:cs="宋体"/>
          <w:bCs/>
          <w:color w:val="333333"/>
          <w:sz w:val="32"/>
          <w:szCs w:val="32"/>
          <w:lang w:bidi="ar"/>
        </w:rPr>
        <w:t>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2021年本单位基本支出全年预算总额</w:t>
      </w:r>
      <w:r>
        <w:rPr>
          <w:rStyle w:val="8"/>
          <w:rFonts w:ascii="仿宋_GB2312" w:hAnsi="仿宋_GB2312" w:eastAsia="仿宋_GB2312" w:cs="仿宋_GB2312"/>
          <w:b w:val="0"/>
          <w:sz w:val="32"/>
          <w:szCs w:val="32"/>
          <w:lang w:bidi="ar"/>
        </w:rPr>
        <w:t>169.09</w:t>
      </w:r>
      <w:r>
        <w:rPr>
          <w:rStyle w:val="8"/>
          <w:rFonts w:hint="eastAsia" w:ascii="仿宋_GB2312" w:hAnsi="仿宋_GB2312" w:eastAsia="仿宋_GB2312" w:cs="仿宋_GB2312"/>
          <w:b w:val="0"/>
          <w:sz w:val="32"/>
          <w:szCs w:val="32"/>
          <w:lang w:bidi="ar"/>
        </w:rPr>
        <w:t>万元，其中：人员经费</w:t>
      </w:r>
      <w:r>
        <w:rPr>
          <w:rStyle w:val="8"/>
          <w:rFonts w:ascii="仿宋_GB2312" w:hAnsi="仿宋_GB2312" w:eastAsia="仿宋_GB2312" w:cs="仿宋_GB2312"/>
          <w:b w:val="0"/>
          <w:sz w:val="32"/>
          <w:szCs w:val="32"/>
          <w:lang w:bidi="ar"/>
        </w:rPr>
        <w:t>168.07</w:t>
      </w:r>
      <w:r>
        <w:rPr>
          <w:rStyle w:val="8"/>
          <w:rFonts w:hint="eastAsia" w:ascii="仿宋_GB2312" w:hAnsi="仿宋_GB2312" w:eastAsia="仿宋_GB2312" w:cs="仿宋_GB2312"/>
          <w:b w:val="0"/>
          <w:sz w:val="32"/>
          <w:szCs w:val="32"/>
          <w:lang w:bidi="ar"/>
        </w:rPr>
        <w:t>万元，公用经费</w:t>
      </w:r>
      <w:r>
        <w:rPr>
          <w:rStyle w:val="8"/>
          <w:rFonts w:ascii="仿宋_GB2312" w:hAnsi="仿宋_GB2312" w:eastAsia="仿宋_GB2312" w:cs="仿宋_GB2312"/>
          <w:b w:val="0"/>
          <w:sz w:val="32"/>
          <w:szCs w:val="32"/>
          <w:lang w:bidi="ar"/>
        </w:rPr>
        <w:t>1.02</w:t>
      </w:r>
      <w:r>
        <w:rPr>
          <w:rStyle w:val="8"/>
          <w:rFonts w:hint="eastAsia" w:ascii="仿宋_GB2312" w:hAnsi="仿宋_GB2312" w:eastAsia="仿宋_GB2312" w:cs="仿宋_GB2312"/>
          <w:b w:val="0"/>
          <w:sz w:val="32"/>
          <w:szCs w:val="32"/>
          <w:lang w:bidi="ar"/>
        </w:rPr>
        <w:t>万元。实际支出169.02万元，基本支出预算执行率100%。</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0"/>
        <w:outlineLvl w:val="2"/>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坚决贯彻落实中央、自治区、阿克陶县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0.52万元，实际支出0.42万元，公务用车运行维护费控制率80.77%，符合财政部门本年预算要求和相关管理制度要求。</w:t>
      </w:r>
    </w:p>
    <w:p>
      <w:pPr>
        <w:pStyle w:val="12"/>
        <w:snapToGrid w:val="0"/>
        <w:spacing w:line="540" w:lineRule="exact"/>
        <w:ind w:firstLine="640"/>
        <w:outlineLvl w:val="1"/>
        <w:rPr>
          <w:rStyle w:val="8"/>
          <w:rFonts w:ascii="仿宋_GB2312" w:hAnsi="仿宋_GB2312" w:eastAsia="仿宋_GB2312" w:cs="仿宋_GB2312"/>
          <w:bCs w:val="0"/>
          <w:color w:val="333333"/>
          <w:sz w:val="32"/>
          <w:szCs w:val="32"/>
          <w:lang w:bidi="ar"/>
        </w:rPr>
      </w:pPr>
      <w:r>
        <w:rPr>
          <w:rStyle w:val="8"/>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2021年本单位安排专项支出预算总额3.29万元，实际支出3.29万元，专项支出预算执行率100%。</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2021年本单位共有1个资金项目，其中1个属经常性项目、0个属当年度新增项目，已完成项目1个、未完成项目0个。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本年我单位供实施1个项目，金额3.29万元，分别为水法宣传活动费项目3.29万元。</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bCs w:val="0"/>
          <w:spacing w:val="-4"/>
          <w:sz w:val="32"/>
          <w:szCs w:val="32"/>
        </w:rPr>
        <w:t>（一）水法宣传活动费项目专项组织情况分析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我单位成立专项支出绩效评价小组，成员如下：</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陈双喜任评价组组长，绩效评价工作职责为负责全盘工作。</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晁卫国任评价组副组长，绩效评价工作职责为为对项目实施情况进行实地调查。</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尤利东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8"/>
          <w:rFonts w:ascii="仿宋_GB2312" w:hAnsi="仿宋_GB2312" w:eastAsia="仿宋_GB2312" w:cs="仿宋_GB2312"/>
          <w:b w:val="0"/>
          <w:sz w:val="32"/>
          <w:szCs w:val="32"/>
          <w:lang w:bidi="ar"/>
        </w:rPr>
      </w:pPr>
      <w:r>
        <w:rPr>
          <w:rStyle w:val="8"/>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（二）专项管理情况分析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该项目预算资金3.29万元，实际到位3.29万元，实际支出3.29万元。到位足额及时，预算编制依据充分，预算编制准确，资金不存在截留、挪用，支付审批合规、不存在用途改变、范围超支和虚列项目支出等情况；本项目严格按照《阿克陶县深圳市转让服务中心财务管理制度》执行项目资金，实行专账核算、逐级审批。认真落实项目资金的使用各项管理制度，确保专款专用，及时拨付到位。</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项目组织情况：</w:t>
      </w:r>
      <w:r>
        <w:rPr>
          <w:rStyle w:val="8"/>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项目管理情况：</w:t>
      </w:r>
      <w:r>
        <w:rPr>
          <w:rStyle w:val="8"/>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项目监管情况：</w:t>
      </w:r>
      <w:r>
        <w:rPr>
          <w:rStyle w:val="8"/>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3.项目绩效情况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成本控制情况：</w:t>
      </w:r>
      <w:r>
        <w:rPr>
          <w:rStyle w:val="8"/>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成本节约情况：</w:t>
      </w:r>
      <w:r>
        <w:rPr>
          <w:rStyle w:val="8"/>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4.项目效率性</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项目实施进度：</w:t>
      </w:r>
      <w:r>
        <w:rPr>
          <w:rStyle w:val="8"/>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项目完成质量：</w:t>
      </w:r>
      <w:r>
        <w:rPr>
          <w:rStyle w:val="8"/>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5.项目效益性</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预期目标完成程度：</w:t>
      </w:r>
      <w:r>
        <w:rPr>
          <w:rStyle w:val="8"/>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spacing w:val="-4"/>
          <w:sz w:val="32"/>
          <w:szCs w:val="32"/>
        </w:rPr>
        <w:t>项目实施对效益的影响：</w:t>
      </w:r>
      <w:r>
        <w:rPr>
          <w:rStyle w:val="8"/>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4" w:name="_Toc27846_WPSOffice_Level1"/>
      <w:r>
        <w:rPr>
          <w:rStyle w:val="8"/>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（一）资产管理规范性</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我单位2021年资产合计数为13.27万元，比上年减少6.08万元，主要原因是银行账户其他应付款未支付，货币资金减少，其中：货币资金8.04万元，比上年减少2.05万元；财政应返还额度0万元，比上年相比无变化；房屋0平方米0万元，比上年减少0万元；车辆1辆17.59万元，与上年相比无变化；在建工程0万元，与上年持平；办公设备及家具15.2万元，与上年相比无变化。我单位本年无资产处置情况，资产配置合理，使用规范，安全完整。</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1.资产管理情况。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2.固定资产利用情况。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我单位固定资产34.69万元,其中:0套房屋0万元，1辆车17.59万元，12个专用设备1.90万元，49个办公设备15.2万元。目前正在使用的固定资产总额34.69万元，固定资产利用率为100%。</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3.流动资产管理情况。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截止本年度固定资产账面净值4.74万元，年末实际在用固定资产34.69万元，固定资产利用率为100%。</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5" w:name="_Toc13582_WPSOffice_Level1"/>
      <w:r>
        <w:rPr>
          <w:rStyle w:val="8"/>
          <w:rFonts w:hint="eastAsia" w:ascii="仿宋_GB2312" w:hAnsi="仿宋_GB2312" w:eastAsia="仿宋_GB2312" w:cs="仿宋_GB2312"/>
          <w:spacing w:val="-4"/>
          <w:sz w:val="32"/>
          <w:szCs w:val="32"/>
        </w:rPr>
        <w:t>部门单位整体支出绩效情况</w:t>
      </w:r>
      <w:bookmarkEnd w:id="5"/>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部门单位整体支出自评表，共设置一级指标3个，二级指标9个，三级指标19个。</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1.产出数量</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保障人员人数指标，预期指标是等于12人，实际完成值是12人，指标完成率是100%，达到预期目标。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保障车辆数（辆）指标，预期指标是等于</w:t>
      </w:r>
      <w:r>
        <w:rPr>
          <w:rStyle w:val="8"/>
          <w:rFonts w:ascii="仿宋_GB2312" w:hAnsi="仿宋_GB2312" w:eastAsia="仿宋_GB2312" w:cs="仿宋_GB2312"/>
          <w:b w:val="0"/>
          <w:bCs w:val="0"/>
          <w:spacing w:val="-4"/>
          <w:sz w:val="32"/>
          <w:szCs w:val="32"/>
        </w:rPr>
        <w:t>1</w:t>
      </w:r>
      <w:r>
        <w:rPr>
          <w:rStyle w:val="8"/>
          <w:rFonts w:hint="eastAsia" w:ascii="仿宋_GB2312" w:hAnsi="仿宋_GB2312" w:eastAsia="仿宋_GB2312" w:cs="仿宋_GB2312"/>
          <w:b w:val="0"/>
          <w:bCs w:val="0"/>
          <w:spacing w:val="-4"/>
          <w:sz w:val="32"/>
          <w:szCs w:val="32"/>
        </w:rPr>
        <w:t>辆，实际完成值是</w:t>
      </w:r>
      <w:r>
        <w:rPr>
          <w:rStyle w:val="8"/>
          <w:rFonts w:ascii="仿宋_GB2312" w:hAnsi="仿宋_GB2312" w:eastAsia="仿宋_GB2312" w:cs="仿宋_GB2312"/>
          <w:b w:val="0"/>
          <w:bCs w:val="0"/>
          <w:spacing w:val="-4"/>
          <w:sz w:val="32"/>
          <w:szCs w:val="32"/>
        </w:rPr>
        <w:t>1辆</w:t>
      </w:r>
      <w:r>
        <w:rPr>
          <w:rStyle w:val="8"/>
          <w:rFonts w:hint="eastAsia" w:ascii="仿宋_GB2312" w:hAnsi="仿宋_GB2312" w:eastAsia="仿宋_GB2312" w:cs="仿宋_GB2312"/>
          <w:b w:val="0"/>
          <w:bCs w:val="0"/>
          <w:spacing w:val="-4"/>
          <w:sz w:val="32"/>
          <w:szCs w:val="32"/>
        </w:rPr>
        <w:t>，指标完成率是100%，达到预期目标。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车辆维护（次）指标，预期指标是等于</w:t>
      </w:r>
      <w:r>
        <w:rPr>
          <w:rStyle w:val="8"/>
          <w:rFonts w:ascii="仿宋_GB2312" w:hAnsi="仿宋_GB2312" w:eastAsia="仿宋_GB2312" w:cs="仿宋_GB2312"/>
          <w:b w:val="0"/>
          <w:bCs w:val="0"/>
          <w:spacing w:val="-4"/>
          <w:sz w:val="32"/>
          <w:szCs w:val="32"/>
        </w:rPr>
        <w:t>8次</w:t>
      </w:r>
      <w:r>
        <w:rPr>
          <w:rStyle w:val="8"/>
          <w:rFonts w:hint="eastAsia" w:ascii="仿宋_GB2312" w:hAnsi="仿宋_GB2312" w:eastAsia="仿宋_GB2312" w:cs="仿宋_GB2312"/>
          <w:b w:val="0"/>
          <w:bCs w:val="0"/>
          <w:spacing w:val="-4"/>
          <w:sz w:val="32"/>
          <w:szCs w:val="32"/>
        </w:rPr>
        <w:t>，实际完成值是</w:t>
      </w:r>
      <w:r>
        <w:rPr>
          <w:rStyle w:val="8"/>
          <w:rFonts w:ascii="仿宋_GB2312" w:hAnsi="仿宋_GB2312" w:eastAsia="仿宋_GB2312" w:cs="仿宋_GB2312"/>
          <w:b w:val="0"/>
          <w:bCs w:val="0"/>
          <w:spacing w:val="-4"/>
          <w:sz w:val="32"/>
          <w:szCs w:val="32"/>
        </w:rPr>
        <w:t>8次</w:t>
      </w:r>
      <w:r>
        <w:rPr>
          <w:rStyle w:val="8"/>
          <w:rFonts w:hint="eastAsia" w:ascii="仿宋_GB2312" w:hAnsi="仿宋_GB2312" w:eastAsia="仿宋_GB2312" w:cs="仿宋_GB2312"/>
          <w:b w:val="0"/>
          <w:bCs w:val="0"/>
          <w:spacing w:val="-4"/>
          <w:sz w:val="32"/>
          <w:szCs w:val="32"/>
        </w:rPr>
        <w:t>，指标完成率是100%，达到预期目标。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单位参与水法宣传人数（人）指标，预期指标是等于</w:t>
      </w:r>
      <w:r>
        <w:rPr>
          <w:rStyle w:val="8"/>
          <w:rFonts w:ascii="仿宋_GB2312" w:hAnsi="仿宋_GB2312" w:eastAsia="仿宋_GB2312" w:cs="仿宋_GB2312"/>
          <w:b w:val="0"/>
          <w:bCs w:val="0"/>
          <w:spacing w:val="-4"/>
          <w:sz w:val="32"/>
          <w:szCs w:val="32"/>
        </w:rPr>
        <w:t>30</w:t>
      </w:r>
      <w:r>
        <w:rPr>
          <w:rStyle w:val="8"/>
          <w:rFonts w:hint="eastAsia" w:ascii="仿宋_GB2312" w:hAnsi="仿宋_GB2312" w:eastAsia="仿宋_GB2312" w:cs="仿宋_GB2312"/>
          <w:b w:val="0"/>
          <w:bCs w:val="0"/>
          <w:spacing w:val="-4"/>
          <w:sz w:val="32"/>
          <w:szCs w:val="32"/>
        </w:rPr>
        <w:t>人，实际完成值是</w:t>
      </w:r>
      <w:r>
        <w:rPr>
          <w:rStyle w:val="8"/>
          <w:rFonts w:ascii="仿宋_GB2312" w:hAnsi="仿宋_GB2312" w:eastAsia="仿宋_GB2312" w:cs="仿宋_GB2312"/>
          <w:b w:val="0"/>
          <w:bCs w:val="0"/>
          <w:spacing w:val="-4"/>
          <w:sz w:val="32"/>
          <w:szCs w:val="32"/>
        </w:rPr>
        <w:t>30</w:t>
      </w:r>
      <w:r>
        <w:rPr>
          <w:rStyle w:val="8"/>
          <w:rFonts w:hint="eastAsia" w:ascii="仿宋_GB2312" w:hAnsi="仿宋_GB2312" w:eastAsia="仿宋_GB2312" w:cs="仿宋_GB2312"/>
          <w:b w:val="0"/>
          <w:bCs w:val="0"/>
          <w:spacing w:val="-4"/>
          <w:sz w:val="32"/>
          <w:szCs w:val="32"/>
        </w:rPr>
        <w:t>人，指标完成率是100%，达到预期目标。</w:t>
      </w:r>
    </w:p>
    <w:p>
      <w:pPr>
        <w:pStyle w:val="12"/>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人员培训（次）指标，预期指标是小于等于</w:t>
      </w:r>
      <w:r>
        <w:rPr>
          <w:rStyle w:val="8"/>
          <w:rFonts w:ascii="仿宋_GB2312" w:hAnsi="仿宋_GB2312" w:eastAsia="仿宋_GB2312" w:cs="仿宋_GB2312"/>
          <w:b w:val="0"/>
          <w:bCs w:val="0"/>
          <w:spacing w:val="-4"/>
          <w:sz w:val="32"/>
          <w:szCs w:val="32"/>
        </w:rPr>
        <w:t>3次</w:t>
      </w:r>
      <w:r>
        <w:rPr>
          <w:rStyle w:val="8"/>
          <w:rFonts w:hint="eastAsia" w:ascii="仿宋_GB2312" w:hAnsi="仿宋_GB2312" w:eastAsia="仿宋_GB2312" w:cs="仿宋_GB2312"/>
          <w:b w:val="0"/>
          <w:bCs w:val="0"/>
          <w:spacing w:val="-4"/>
          <w:sz w:val="32"/>
          <w:szCs w:val="32"/>
        </w:rPr>
        <w:t>，实际完成值是</w:t>
      </w:r>
      <w:r>
        <w:rPr>
          <w:rStyle w:val="8"/>
          <w:rFonts w:ascii="仿宋_GB2312" w:hAnsi="仿宋_GB2312" w:eastAsia="仿宋_GB2312" w:cs="仿宋_GB2312"/>
          <w:b w:val="0"/>
          <w:bCs w:val="0"/>
          <w:spacing w:val="-4"/>
          <w:sz w:val="32"/>
          <w:szCs w:val="32"/>
        </w:rPr>
        <w:t>1次</w:t>
      </w:r>
      <w:r>
        <w:rPr>
          <w:rStyle w:val="8"/>
          <w:rFonts w:hint="eastAsia" w:ascii="仿宋_GB2312" w:hAnsi="仿宋_GB2312" w:eastAsia="仿宋_GB2312" w:cs="仿宋_GB2312"/>
          <w:b w:val="0"/>
          <w:bCs w:val="0"/>
          <w:spacing w:val="-4"/>
          <w:sz w:val="32"/>
          <w:szCs w:val="32"/>
        </w:rPr>
        <w:t>，指标完成率是100%，达到预期目标。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数量指标共计5个，完成5个，达到预期目标，数量指标完成。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2.产出质量</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在职人员绩效考核合格率（%）指标，预期指标是等于</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%，指标完成率是100%，达到质量提升及标准。</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资金使用合格率（%）指标，预期指标是等于</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%，指标完成率是100%，达到质量提升及标准。</w:t>
      </w:r>
    </w:p>
    <w:p>
      <w:pPr>
        <w:pStyle w:val="12"/>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相关工作完成及时率（%）指标，预期指标是等于</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%，实际完成值是</w:t>
      </w:r>
      <w:r>
        <w:rPr>
          <w:rFonts w:hint="eastAsia" w:ascii="仿宋" w:hAnsi="仿宋" w:eastAsia="仿宋" w:cs="宋体"/>
          <w:bCs/>
          <w:sz w:val="32"/>
          <w:szCs w:val="32"/>
          <w:lang w:bidi="ar"/>
        </w:rPr>
        <w:t>100</w:t>
      </w:r>
      <w:r>
        <w:rPr>
          <w:rStyle w:val="8"/>
          <w:rFonts w:hint="eastAsia" w:ascii="仿宋_GB2312" w:hAnsi="仿宋_GB2312" w:eastAsia="仿宋_GB2312" w:cs="仿宋_GB2312"/>
          <w:b w:val="0"/>
          <w:bCs w:val="0"/>
          <w:spacing w:val="-4"/>
          <w:sz w:val="32"/>
          <w:szCs w:val="32"/>
        </w:rPr>
        <w:t>%，指标完成率是100%，达到质量提升及标准。</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3</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3</w:t>
      </w:r>
      <w:r>
        <w:rPr>
          <w:rStyle w:val="8"/>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3.产出进度</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购置车辆保险时效指标，预期指标是等于</w:t>
      </w:r>
      <w:r>
        <w:rPr>
          <w:rStyle w:val="8"/>
          <w:rFonts w:ascii="仿宋_GB2312" w:hAnsi="仿宋_GB2312" w:eastAsia="仿宋_GB2312" w:cs="仿宋_GB2312"/>
          <w:b w:val="0"/>
          <w:bCs w:val="0"/>
          <w:spacing w:val="-4"/>
          <w:sz w:val="32"/>
          <w:szCs w:val="32"/>
        </w:rPr>
        <w:t>2021/6/30</w:t>
      </w:r>
      <w:r>
        <w:rPr>
          <w:rStyle w:val="8"/>
          <w:rFonts w:hint="eastAsia" w:ascii="仿宋_GB2312" w:hAnsi="仿宋_GB2312" w:eastAsia="仿宋_GB2312" w:cs="仿宋_GB2312"/>
          <w:b w:val="0"/>
          <w:bCs w:val="0"/>
          <w:spacing w:val="-4"/>
          <w:sz w:val="32"/>
          <w:szCs w:val="32"/>
        </w:rPr>
        <w:t>，实际完成值是</w:t>
      </w:r>
      <w:r>
        <w:rPr>
          <w:rStyle w:val="8"/>
          <w:rFonts w:ascii="仿宋_GB2312" w:hAnsi="仿宋_GB2312" w:eastAsia="仿宋_GB2312" w:cs="仿宋_GB2312"/>
          <w:b w:val="0"/>
          <w:bCs w:val="0"/>
          <w:spacing w:val="-4"/>
          <w:sz w:val="32"/>
          <w:szCs w:val="32"/>
        </w:rPr>
        <w:t>2021/6/30</w:t>
      </w:r>
      <w:r>
        <w:rPr>
          <w:rStyle w:val="8"/>
          <w:rFonts w:hint="eastAsia" w:ascii="仿宋_GB2312" w:hAnsi="仿宋_GB2312" w:eastAsia="仿宋_GB2312" w:cs="仿宋_GB2312"/>
          <w:b w:val="0"/>
          <w:bCs w:val="0"/>
          <w:spacing w:val="-4"/>
          <w:sz w:val="32"/>
          <w:szCs w:val="32"/>
        </w:rPr>
        <w:t>，指标完成率是100%，达到预期目标。</w:t>
      </w:r>
    </w:p>
    <w:p>
      <w:pPr>
        <w:pStyle w:val="12"/>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资金拨付及时率（%）指标，预期指标是等于</w:t>
      </w:r>
      <w:r>
        <w:rPr>
          <w:rStyle w:val="8"/>
          <w:rFonts w:ascii="仿宋_GB2312" w:hAnsi="仿宋_GB2312" w:eastAsia="仿宋_GB2312" w:cs="仿宋_GB2312"/>
          <w:b w:val="0"/>
          <w:bCs w:val="0"/>
          <w:spacing w:val="-4"/>
          <w:sz w:val="32"/>
          <w:szCs w:val="32"/>
        </w:rPr>
        <w:t>100%</w:t>
      </w:r>
      <w:r>
        <w:rPr>
          <w:rStyle w:val="8"/>
          <w:rFonts w:hint="eastAsia" w:ascii="仿宋_GB2312" w:hAnsi="仿宋_GB2312" w:eastAsia="仿宋_GB2312" w:cs="仿宋_GB2312"/>
          <w:b w:val="0"/>
          <w:bCs w:val="0"/>
          <w:spacing w:val="-4"/>
          <w:sz w:val="32"/>
          <w:szCs w:val="32"/>
        </w:rPr>
        <w:t>，实际完成值是</w:t>
      </w:r>
      <w:r>
        <w:rPr>
          <w:rStyle w:val="8"/>
          <w:rFonts w:ascii="仿宋_GB2312" w:hAnsi="仿宋_GB2312" w:eastAsia="仿宋_GB2312" w:cs="仿宋_GB2312"/>
          <w:b w:val="0"/>
          <w:bCs w:val="0"/>
          <w:spacing w:val="-4"/>
          <w:sz w:val="32"/>
          <w:szCs w:val="32"/>
        </w:rPr>
        <w:t>100%</w:t>
      </w:r>
      <w:r>
        <w:rPr>
          <w:rStyle w:val="8"/>
          <w:rFonts w:hint="eastAsia" w:ascii="仿宋_GB2312" w:hAnsi="仿宋_GB2312" w:eastAsia="仿宋_GB2312" w:cs="仿宋_GB2312"/>
          <w:b w:val="0"/>
          <w:bCs w:val="0"/>
          <w:spacing w:val="-4"/>
          <w:sz w:val="32"/>
          <w:szCs w:val="32"/>
        </w:rPr>
        <w:t>，指标完成率是100%，达到预期目标。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时效指标共计</w:t>
      </w:r>
      <w:r>
        <w:rPr>
          <w:rFonts w:hint="eastAsia" w:ascii="仿宋" w:hAnsi="仿宋" w:eastAsia="仿宋" w:cs="宋体"/>
          <w:bCs/>
          <w:sz w:val="32"/>
          <w:szCs w:val="32"/>
          <w:lang w:bidi="ar"/>
        </w:rPr>
        <w:t>2</w:t>
      </w:r>
      <w:r>
        <w:rPr>
          <w:rStyle w:val="8"/>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2</w:t>
      </w:r>
      <w:r>
        <w:rPr>
          <w:rStyle w:val="8"/>
          <w:rFonts w:hint="eastAsia" w:ascii="仿宋_GB2312" w:hAnsi="仿宋_GB2312" w:eastAsia="仿宋_GB2312" w:cs="仿宋_GB2312"/>
          <w:b w:val="0"/>
          <w:bCs w:val="0"/>
          <w:spacing w:val="-4"/>
          <w:sz w:val="32"/>
          <w:szCs w:val="32"/>
        </w:rPr>
        <w:t>个，达达到预期目标，数量指标完成。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4.产出成本</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人员经费（万元）指标，预期指标是等于</w:t>
      </w:r>
      <w:r>
        <w:rPr>
          <w:rStyle w:val="8"/>
          <w:rFonts w:ascii="仿宋_GB2312" w:hAnsi="仿宋_GB2312" w:eastAsia="仿宋_GB2312" w:cs="仿宋_GB2312"/>
          <w:b w:val="0"/>
          <w:bCs w:val="0"/>
          <w:spacing w:val="-4"/>
          <w:sz w:val="32"/>
          <w:szCs w:val="32"/>
        </w:rPr>
        <w:t>159.2</w:t>
      </w:r>
      <w:r>
        <w:rPr>
          <w:rStyle w:val="8"/>
          <w:rFonts w:hint="eastAsia" w:ascii="仿宋_GB2312" w:hAnsi="仿宋_GB2312" w:eastAsia="仿宋_GB2312" w:cs="仿宋_GB2312"/>
          <w:b w:val="0"/>
          <w:bCs w:val="0"/>
          <w:spacing w:val="-4"/>
          <w:sz w:val="32"/>
          <w:szCs w:val="32"/>
        </w:rPr>
        <w:t>万元，实际完成值是</w:t>
      </w:r>
      <w:r>
        <w:rPr>
          <w:rStyle w:val="8"/>
          <w:rFonts w:ascii="仿宋_GB2312" w:hAnsi="仿宋_GB2312" w:eastAsia="仿宋_GB2312" w:cs="仿宋_GB2312"/>
          <w:b w:val="0"/>
          <w:bCs w:val="0"/>
          <w:spacing w:val="-4"/>
          <w:sz w:val="32"/>
          <w:szCs w:val="32"/>
        </w:rPr>
        <w:t>159.2</w:t>
      </w:r>
      <w:r>
        <w:rPr>
          <w:rStyle w:val="8"/>
          <w:rFonts w:hint="eastAsia" w:ascii="仿宋_GB2312" w:hAnsi="仿宋_GB2312" w:eastAsia="仿宋_GB2312" w:cs="仿宋_GB2312"/>
          <w:b w:val="0"/>
          <w:bCs w:val="0"/>
          <w:spacing w:val="-4"/>
          <w:sz w:val="32"/>
          <w:szCs w:val="32"/>
        </w:rPr>
        <w:t>万元，指标完成率是100%，达到成本控制及改善目标。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公用经费（万元）指标，预期指标是小于等于</w:t>
      </w:r>
      <w:r>
        <w:rPr>
          <w:rStyle w:val="8"/>
          <w:rFonts w:ascii="仿宋_GB2312" w:hAnsi="仿宋_GB2312" w:eastAsia="仿宋_GB2312" w:cs="仿宋_GB2312"/>
          <w:b w:val="0"/>
          <w:bCs w:val="0"/>
          <w:spacing w:val="-4"/>
          <w:sz w:val="32"/>
          <w:szCs w:val="32"/>
        </w:rPr>
        <w:t>1.06</w:t>
      </w:r>
      <w:r>
        <w:rPr>
          <w:rStyle w:val="8"/>
          <w:rFonts w:hint="eastAsia" w:ascii="仿宋_GB2312" w:hAnsi="仿宋_GB2312" w:eastAsia="仿宋_GB2312" w:cs="仿宋_GB2312"/>
          <w:b w:val="0"/>
          <w:bCs w:val="0"/>
          <w:spacing w:val="-4"/>
          <w:sz w:val="32"/>
          <w:szCs w:val="32"/>
        </w:rPr>
        <w:t>万元，实际完成值是</w:t>
      </w:r>
      <w:r>
        <w:rPr>
          <w:rStyle w:val="8"/>
          <w:rFonts w:ascii="仿宋_GB2312" w:hAnsi="仿宋_GB2312" w:eastAsia="仿宋_GB2312" w:cs="仿宋_GB2312"/>
          <w:b w:val="0"/>
          <w:bCs w:val="0"/>
          <w:spacing w:val="-4"/>
          <w:sz w:val="32"/>
          <w:szCs w:val="32"/>
        </w:rPr>
        <w:t>0.95</w:t>
      </w:r>
      <w:r>
        <w:rPr>
          <w:rStyle w:val="8"/>
          <w:rFonts w:hint="eastAsia" w:ascii="仿宋_GB2312" w:hAnsi="仿宋_GB2312" w:eastAsia="仿宋_GB2312" w:cs="仿宋_GB2312"/>
          <w:b w:val="0"/>
          <w:bCs w:val="0"/>
          <w:spacing w:val="-4"/>
          <w:sz w:val="32"/>
          <w:szCs w:val="32"/>
        </w:rPr>
        <w:t>万元，指标完成率是100%，达到成本控制及改善目标。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补助资金总金额指标，预期指标是小于等于</w:t>
      </w:r>
      <w:r>
        <w:rPr>
          <w:rStyle w:val="8"/>
          <w:rFonts w:ascii="仿宋_GB2312" w:hAnsi="仿宋_GB2312" w:eastAsia="仿宋_GB2312" w:cs="仿宋_GB2312"/>
          <w:b w:val="0"/>
          <w:bCs w:val="0"/>
          <w:spacing w:val="-4"/>
          <w:sz w:val="32"/>
          <w:szCs w:val="32"/>
        </w:rPr>
        <w:t>4</w:t>
      </w:r>
      <w:r>
        <w:rPr>
          <w:rStyle w:val="8"/>
          <w:rFonts w:hint="eastAsia" w:ascii="仿宋_GB2312" w:hAnsi="仿宋_GB2312" w:eastAsia="仿宋_GB2312" w:cs="仿宋_GB2312"/>
          <w:b w:val="0"/>
          <w:bCs w:val="0"/>
          <w:spacing w:val="-4"/>
          <w:sz w:val="32"/>
          <w:szCs w:val="32"/>
        </w:rPr>
        <w:t>万元，实际完成值是</w:t>
      </w:r>
      <w:r>
        <w:rPr>
          <w:rStyle w:val="8"/>
          <w:rFonts w:ascii="仿宋_GB2312" w:hAnsi="仿宋_GB2312" w:eastAsia="仿宋_GB2312" w:cs="仿宋_GB2312"/>
          <w:b w:val="0"/>
          <w:bCs w:val="0"/>
          <w:spacing w:val="-4"/>
          <w:sz w:val="32"/>
          <w:szCs w:val="32"/>
        </w:rPr>
        <w:t>3.29</w:t>
      </w:r>
      <w:r>
        <w:rPr>
          <w:rStyle w:val="8"/>
          <w:rFonts w:hint="eastAsia" w:ascii="仿宋_GB2312" w:hAnsi="仿宋_GB2312" w:eastAsia="仿宋_GB2312" w:cs="仿宋_GB2312"/>
          <w:b w:val="0"/>
          <w:bCs w:val="0"/>
          <w:spacing w:val="-4"/>
          <w:sz w:val="32"/>
          <w:szCs w:val="32"/>
        </w:rPr>
        <w:t>万元，指标完成率是</w:t>
      </w:r>
      <w:r>
        <w:rPr>
          <w:rStyle w:val="8"/>
          <w:rFonts w:ascii="仿宋_GB2312" w:hAnsi="仿宋_GB2312" w:eastAsia="仿宋_GB2312" w:cs="仿宋_GB2312"/>
          <w:b w:val="0"/>
          <w:bCs w:val="0"/>
          <w:spacing w:val="-4"/>
          <w:sz w:val="32"/>
          <w:szCs w:val="32"/>
        </w:rPr>
        <w:t>100</w:t>
      </w:r>
      <w:r>
        <w:rPr>
          <w:rStyle w:val="8"/>
          <w:rFonts w:hint="eastAsia" w:ascii="仿宋_GB2312" w:hAnsi="仿宋_GB2312" w:eastAsia="仿宋_GB2312" w:cs="仿宋_GB2312"/>
          <w:b w:val="0"/>
          <w:bCs w:val="0"/>
          <w:spacing w:val="-4"/>
          <w:sz w:val="32"/>
          <w:szCs w:val="32"/>
        </w:rPr>
        <w:t>%，达到成本控制及改善目标。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成本指标共计3个，完成3个，达到成本控制及改善目标，成本指标完成。</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1.项目实施的经济效益分析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无。</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2.项目实施的社会效益分析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业务保障能力提升指标，预期指标是有效保障，实际完成值是有效保障，指标完成率是100%，达到单位履职能力对社会带来的影响预期目标。</w:t>
      </w:r>
    </w:p>
    <w:p>
      <w:pPr>
        <w:pStyle w:val="12"/>
        <w:snapToGrid w:val="0"/>
        <w:spacing w:line="540" w:lineRule="exact"/>
        <w:ind w:firstLine="624"/>
        <w:rPr>
          <w:rStyle w:val="8"/>
          <w:rFonts w:hint="eastAsia"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增强人民的节水意识和水资源保护意识指标，预期指标是有效增强，实际完成值是有效增强，指标完成率是100%，达到单位履职能力对社会带来的影响预期目标。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社会效益指标共计2个，完成2个，达到单位履职能力对社会带来的影响预期目标，社会效益指标完成。</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3.项目实施的生态效益分析</w:t>
      </w:r>
    </w:p>
    <w:p>
      <w:pPr>
        <w:pStyle w:val="12"/>
        <w:snapToGrid w:val="0"/>
        <w:spacing w:line="540" w:lineRule="exact"/>
        <w:ind w:firstLine="624"/>
        <w:outlineLvl w:val="2"/>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改善水环境指标，预期指标是有效改善，实际完成值是有效有效改善，指标完成率是100%，实现水环境改善目标。</w:t>
      </w:r>
    </w:p>
    <w:p>
      <w:pPr>
        <w:pStyle w:val="12"/>
        <w:snapToGrid w:val="0"/>
        <w:spacing w:line="540" w:lineRule="exact"/>
        <w:ind w:firstLine="624"/>
        <w:outlineLvl w:val="2"/>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生态效益指标共计1个，完1个，实现水环境改善目标。</w:t>
      </w:r>
    </w:p>
    <w:p>
      <w:pPr>
        <w:pStyle w:val="12"/>
        <w:snapToGrid w:val="0"/>
        <w:spacing w:line="540" w:lineRule="exact"/>
        <w:ind w:firstLine="624"/>
        <w:outlineLvl w:val="2"/>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4.项目实施的可持续影响分析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水资源可持续发展，预期指标是长期，实际完成值是长期，指标完成率是100%，实现部门绩效长效机制建设，提高工作效率目标。</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可持续影响指标共计1个，完成1个，达到预期目标，可持续影响指标完成。</w:t>
      </w:r>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（三）满意度指标完成情况分析</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按计划完成项目实施，已做满意度调查抽样问卷，具体如下：</w:t>
      </w:r>
    </w:p>
    <w:p>
      <w:pPr>
        <w:pStyle w:val="12"/>
        <w:snapToGrid w:val="0"/>
        <w:spacing w:line="540" w:lineRule="exact"/>
        <w:ind w:firstLine="624"/>
        <w:rPr>
          <w:rStyle w:val="8"/>
          <w:rFonts w:ascii="仿宋_GB2312" w:hAnsi="仿宋_GB2312" w:eastAsia="仿宋_GB2312" w:cs="仿宋_GB2312"/>
          <w:b w:val="0"/>
          <w:bCs w:val="0"/>
          <w:spacing w:val="-4"/>
          <w:sz w:val="32"/>
          <w:szCs w:val="32"/>
        </w:rPr>
      </w:pPr>
      <w:bookmarkStart w:id="6" w:name="_Toc22800_WPSOffice_Level1"/>
      <w:r>
        <w:rPr>
          <w:rStyle w:val="8"/>
          <w:rFonts w:hint="eastAsia" w:ascii="仿宋_GB2312" w:hAnsi="仿宋_GB2312" w:eastAsia="仿宋_GB2312" w:cs="仿宋_GB2312"/>
          <w:b w:val="0"/>
          <w:bCs w:val="0"/>
          <w:spacing w:val="-4"/>
          <w:sz w:val="32"/>
          <w:szCs w:val="32"/>
        </w:rPr>
        <w:t>受益人员满意度指标，预期指标是大于等于90%，实际完成值是93%，指标完成率是100%，达到服务对象对部门履职效果的满意度。</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使用人员满意度指标，预期指标是大于等于90%，实际完成值是95%，指标完成率是100%，达到服务对象对部门履职效果的满意度。</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满意度指标共计2个，完成2个，达到服务对象对部门履职效果的满意度，服务对象满意度指标完成。</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3"/>
        </w:numPr>
        <w:snapToGrid w:val="0"/>
        <w:spacing w:line="540" w:lineRule="exact"/>
        <w:ind w:firstLineChars="0"/>
        <w:outlineLvl w:val="0"/>
        <w:rPr>
          <w:rStyle w:val="8"/>
          <w:rFonts w:ascii="仿宋_GB2312" w:hAnsi="仿宋_GB2312" w:eastAsia="仿宋_GB2312" w:cs="仿宋_GB2312"/>
          <w:spacing w:val="-4"/>
          <w:sz w:val="32"/>
          <w:szCs w:val="32"/>
        </w:rPr>
      </w:pPr>
      <w:bookmarkStart w:id="7" w:name="_Toc29546_WPSOffice_Level1"/>
      <w:r>
        <w:rPr>
          <w:rStyle w:val="8"/>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4"/>
        <w:outlineLvl w:val="1"/>
        <w:rPr>
          <w:rStyle w:val="8"/>
          <w:rFonts w:ascii="仿宋_GB2312" w:hAnsi="仿宋_GB2312" w:eastAsia="仿宋_GB2312" w:cs="仿宋_GB2312"/>
          <w:spacing w:val="-4"/>
          <w:sz w:val="32"/>
          <w:szCs w:val="32"/>
        </w:rPr>
      </w:pPr>
      <w:r>
        <w:rPr>
          <w:rStyle w:val="8"/>
          <w:rFonts w:hint="eastAsia" w:ascii="仿宋_GB2312" w:hAnsi="仿宋_GB2312" w:eastAsia="仿宋_GB2312" w:cs="仿宋_GB2312"/>
          <w:spacing w:val="-4"/>
          <w:sz w:val="32"/>
          <w:szCs w:val="32"/>
        </w:rPr>
        <w:t>（一）改进措施</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加大绩效工作宣传力度，强化绩效理念。</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2"/>
        <w:snapToGrid w:val="0"/>
        <w:spacing w:line="540" w:lineRule="exact"/>
        <w:ind w:firstLine="624"/>
        <w:outlineLvl w:val="1"/>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w:t>
      </w:r>
      <w:r>
        <w:rPr>
          <w:rStyle w:val="8"/>
          <w:rFonts w:hint="eastAsia" w:ascii="仿宋_GB2312" w:hAnsi="仿宋_GB2312" w:eastAsia="仿宋_GB2312" w:cs="仿宋_GB2312"/>
          <w:spacing w:val="-4"/>
          <w:sz w:val="32"/>
          <w:szCs w:val="32"/>
        </w:rPr>
        <w:t>二）建议</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snapToGrid w:val="0"/>
        <w:spacing w:line="540" w:lineRule="exact"/>
        <w:ind w:firstLine="624"/>
        <w:rPr>
          <w:rStyle w:val="8"/>
          <w:rFonts w:ascii="仿宋_GB2312" w:hAnsi="仿宋_GB2312" w:eastAsia="仿宋_GB2312" w:cs="仿宋_GB2312"/>
          <w:b w:val="0"/>
          <w:bCs w:val="0"/>
          <w:spacing w:val="-4"/>
          <w:sz w:val="32"/>
          <w:szCs w:val="32"/>
        </w:rPr>
      </w:pPr>
      <w:r>
        <w:rPr>
          <w:rStyle w:val="8"/>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8"/>
          <w:rFonts w:ascii="仿宋_GB2312" w:hAnsi="仿宋_GB2312" w:eastAsia="仿宋_GB2312" w:cs="仿宋_GB2312"/>
          <w:b w:val="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auto"/>
    <w:pitch w:val="default"/>
    <w:sig w:usb0="00000001" w:usb1="080E0000" w:usb2="00000000" w:usb3="00000000" w:csb0="00040000" w:csb1="00000000"/>
  </w:font>
  <w:font w:name="方正小标宋简体">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4CC2561F"/>
    <w:multiLevelType w:val="singleLevel"/>
    <w:tmpl w:val="4CC2561F"/>
    <w:lvl w:ilvl="0" w:tentative="0">
      <w:start w:val="3"/>
      <w:numFmt w:val="decimal"/>
      <w:lvlText w:val="%1."/>
      <w:lvlJc w:val="left"/>
      <w:pPr>
        <w:tabs>
          <w:tab w:val="left" w:pos="312"/>
        </w:tabs>
      </w:pPr>
    </w:lvl>
  </w:abstractNum>
  <w:abstractNum w:abstractNumId="2">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94BB8"/>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C19ED"/>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0754"/>
    <w:rsid w:val="007E7E99"/>
    <w:rsid w:val="00825D99"/>
    <w:rsid w:val="0089387B"/>
    <w:rsid w:val="008C0A6D"/>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0B844E6B"/>
    <w:rsid w:val="10FE60D7"/>
    <w:rsid w:val="144323CE"/>
    <w:rsid w:val="175D58E3"/>
    <w:rsid w:val="18061B60"/>
    <w:rsid w:val="190C3DF8"/>
    <w:rsid w:val="19F83E30"/>
    <w:rsid w:val="1B403139"/>
    <w:rsid w:val="1C6D319F"/>
    <w:rsid w:val="1D4D74D6"/>
    <w:rsid w:val="1DA247AB"/>
    <w:rsid w:val="1DE32CFD"/>
    <w:rsid w:val="1F1A602A"/>
    <w:rsid w:val="1F2854B6"/>
    <w:rsid w:val="21C768CD"/>
    <w:rsid w:val="22E14253"/>
    <w:rsid w:val="23F209A3"/>
    <w:rsid w:val="2403516E"/>
    <w:rsid w:val="256A2A9E"/>
    <w:rsid w:val="2805537E"/>
    <w:rsid w:val="289437EE"/>
    <w:rsid w:val="2EBF757D"/>
    <w:rsid w:val="31B83F5F"/>
    <w:rsid w:val="328E2AB6"/>
    <w:rsid w:val="329B12EA"/>
    <w:rsid w:val="33A83F87"/>
    <w:rsid w:val="355C2B3F"/>
    <w:rsid w:val="35F12468"/>
    <w:rsid w:val="36851B5C"/>
    <w:rsid w:val="37D360CA"/>
    <w:rsid w:val="38CB5066"/>
    <w:rsid w:val="390B38DC"/>
    <w:rsid w:val="3F301058"/>
    <w:rsid w:val="417A34F9"/>
    <w:rsid w:val="418810F4"/>
    <w:rsid w:val="41A37673"/>
    <w:rsid w:val="42C30950"/>
    <w:rsid w:val="45A65C7F"/>
    <w:rsid w:val="468C2A4A"/>
    <w:rsid w:val="46AD2493"/>
    <w:rsid w:val="46EC7F14"/>
    <w:rsid w:val="47F24F20"/>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61635F72"/>
    <w:rsid w:val="618606C5"/>
    <w:rsid w:val="63E114D3"/>
    <w:rsid w:val="6AD46D46"/>
    <w:rsid w:val="6DE07909"/>
    <w:rsid w:val="6E58438A"/>
    <w:rsid w:val="6E9D5508"/>
    <w:rsid w:val="71EB22B3"/>
    <w:rsid w:val="72010FA6"/>
    <w:rsid w:val="748A4F72"/>
    <w:rsid w:val="75664078"/>
    <w:rsid w:val="761E4132"/>
    <w:rsid w:val="78061A79"/>
    <w:rsid w:val="7BC003CA"/>
    <w:rsid w:val="7CBF4BB4"/>
    <w:rsid w:val="7D0C633F"/>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3">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7">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1"/>
    <w:qFormat/>
    <w:uiPriority w:val="0"/>
    <w:pPr>
      <w:spacing w:before="240" w:after="240" w:line="360" w:lineRule="auto"/>
      <w:jc w:val="center"/>
    </w:pPr>
    <w:rPr>
      <w:b/>
      <w:sz w:val="44"/>
    </w:rPr>
  </w:style>
  <w:style w:type="paragraph" w:styleId="4">
    <w:name w:val="annotation text"/>
    <w:basedOn w:val="1"/>
    <w:unhideWhenUsed/>
    <w:qFormat/>
    <w:uiPriority w:val="99"/>
    <w:pPr>
      <w:jc w:val="left"/>
    </w:p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bCs/>
    </w:rPr>
  </w:style>
  <w:style w:type="character" w:styleId="9">
    <w:name w:val="annotation reference"/>
    <w:basedOn w:val="7"/>
    <w:semiHidden/>
    <w:unhideWhenUsed/>
    <w:qFormat/>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列表段落1"/>
    <w:basedOn w:val="1"/>
    <w:unhideWhenUsed/>
    <w:qFormat/>
    <w:uiPriority w:val="99"/>
    <w:pPr>
      <w:ind w:firstLine="420" w:firstLineChars="200"/>
    </w:pPr>
  </w:style>
  <w:style w:type="character" w:customStyle="1" w:styleId="13">
    <w:name w:val="页脚 字符"/>
    <w:basedOn w:val="7"/>
    <w:link w:val="5"/>
    <w:qFormat/>
    <w:uiPriority w:val="99"/>
    <w:rPr>
      <w:sz w:val="18"/>
      <w:szCs w:val="18"/>
    </w:rPr>
  </w:style>
  <w:style w:type="character" w:customStyle="1" w:styleId="14">
    <w:name w:val="页眉 字符"/>
    <w:basedOn w:val="7"/>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Pages>
  <Words>1241</Words>
  <Characters>7075</Characters>
  <Lines>58</Lines>
  <Paragraphs>16</Paragraphs>
  <TotalTime>22</TotalTime>
  <ScaleCrop>false</ScaleCrop>
  <LinksUpToDate>false</LinksUpToDate>
  <CharactersWithSpaces>8300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czjbgs</cp:lastModifiedBy>
  <dcterms:modified xsi:type="dcterms:W3CDTF">2023-12-15T12:47:57Z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