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hint="eastAsia"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阿克陶县皮拉勒乡人民政府</w:t>
      </w:r>
      <w:r>
        <w:rPr>
          <w:rFonts w:hint="eastAsia" w:ascii="仿宋_GB2312" w:hAnsi="仿宋_GB2312" w:eastAsia="仿宋_GB2312" w:cs="仿宋_GB2312"/>
          <w:b/>
          <w:kern w:val="0"/>
          <w:sz w:val="44"/>
          <w:szCs w:val="44"/>
          <w:lang w:eastAsia="zh-Hans"/>
        </w:rPr>
        <w:t>县</w:t>
      </w:r>
      <w:r>
        <w:rPr>
          <w:rFonts w:hint="eastAsia" w:ascii="仿宋_GB2312" w:hAnsi="仿宋_GB2312" w:eastAsia="仿宋_GB2312" w:cs="仿宋_GB2312"/>
          <w:b/>
          <w:kern w:val="0"/>
          <w:sz w:val="44"/>
          <w:szCs w:val="44"/>
        </w:rPr>
        <w:t>部门单位整体支出绩效自评报告</w:t>
      </w:r>
    </w:p>
    <w:p>
      <w:pPr>
        <w:spacing w:line="540" w:lineRule="exact"/>
        <w:jc w:val="center"/>
        <w:outlineLvl w:val="0"/>
        <w:rPr>
          <w:rFonts w:ascii="方正小标宋简体" w:hAnsi="方正小标宋简体" w:eastAsia="方正小标宋简体" w:cs="方正小标宋简体"/>
          <w:b/>
          <w:kern w:val="0"/>
          <w:sz w:val="44"/>
          <w:szCs w:val="44"/>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部门单位名称（公章）：阿克陶县皮拉勒乡人民政府</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 2022 年 4 月 8 日</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color w:val="FF0000"/>
          <w:kern w:val="0"/>
          <w:sz w:val="32"/>
          <w:szCs w:val="32"/>
        </w:rPr>
        <w:t xml:space="preserve"> </w:t>
      </w:r>
    </w:p>
    <w:p>
      <w:pPr>
        <w:pStyle w:val="3"/>
        <w:ind w:firstLine="562"/>
        <w:rPr>
          <w:rFonts w:ascii="仿宋" w:hAnsi="仿宋" w:eastAsia="仿宋" w:cs="仿宋"/>
          <w:sz w:val="32"/>
          <w:szCs w:val="32"/>
        </w:rPr>
      </w:pPr>
      <w:r>
        <w:rPr>
          <w:rFonts w:hint="eastAsia" w:ascii="仿宋" w:hAnsi="仿宋" w:eastAsia="仿宋" w:cs="仿宋"/>
          <w:sz w:val="32"/>
          <w:szCs w:val="32"/>
        </w:rPr>
        <w:t>一、基本概况</w:t>
      </w:r>
    </w:p>
    <w:p>
      <w:pPr>
        <w:pStyle w:val="4"/>
        <w:ind w:firstLine="643"/>
        <w:rPr>
          <w:rFonts w:ascii="仿宋" w:hAnsi="仿宋" w:eastAsia="仿宋" w:cs="仿宋"/>
          <w:szCs w:val="32"/>
        </w:rPr>
      </w:pPr>
      <w:r>
        <w:rPr>
          <w:rFonts w:hint="eastAsia" w:ascii="仿宋" w:hAnsi="仿宋" w:eastAsia="仿宋" w:cs="仿宋"/>
          <w:szCs w:val="32"/>
        </w:rPr>
        <w:t>（一）单位基本情况</w:t>
      </w:r>
    </w:p>
    <w:p>
      <w:pPr>
        <w:pStyle w:val="2"/>
        <w:ind w:firstLine="562"/>
      </w:pPr>
      <w:r>
        <w:rPr>
          <w:rFonts w:hint="eastAsia" w:ascii="仿宋" w:hAnsi="仿宋" w:eastAsia="仿宋" w:cs="仿宋"/>
        </w:rPr>
        <w:t>1.机构设置及人员情况</w:t>
      </w:r>
    </w:p>
    <w:p>
      <w:pPr>
        <w:pStyle w:val="2"/>
        <w:ind w:firstLine="560"/>
        <w:rPr>
          <w:rFonts w:ascii="仿宋" w:hAnsi="仿宋" w:eastAsia="仿宋" w:cs="仿宋"/>
        </w:rPr>
      </w:pPr>
      <w:r>
        <w:rPr>
          <w:rFonts w:hint="eastAsia" w:ascii="仿宋" w:hAnsi="仿宋" w:eastAsia="仿宋" w:cs="仿宋"/>
          <w:b w:val="0"/>
          <w:bCs w:val="0"/>
          <w:szCs w:val="24"/>
        </w:rPr>
        <w:t>皮拉勒乡人民政府是一级预算单位，单位内部包含9个单独编制机构，分别为皮拉勒乡人民政府、中共皮拉勒乡委员会、皮拉勒乡财政所农村合作经济经营管理服务站、皮拉勒乡人口和计划生育生殖健康服务站、皮拉勒乡文体广电服务中心、皮拉勒乡农业发展服务中心、皮拉勒乡食品药品监督管理站、皮拉勒乡社会保障服务中心、皮拉勒乡村镇规划建设发展服务中心；皮拉勒乡编制数185人，2021年末实有人数 300人，其中：行政编198人，事业编102人。</w:t>
      </w:r>
    </w:p>
    <w:p>
      <w:pPr>
        <w:pStyle w:val="2"/>
        <w:numPr>
          <w:ilvl w:val="0"/>
          <w:numId w:val="1"/>
        </w:numPr>
        <w:ind w:firstLine="562"/>
        <w:rPr>
          <w:rFonts w:ascii="仿宋" w:hAnsi="仿宋" w:eastAsia="仿宋" w:cs="仿宋"/>
        </w:rPr>
      </w:pPr>
      <w:r>
        <w:rPr>
          <w:rFonts w:hint="eastAsia" w:ascii="仿宋" w:hAnsi="仿宋" w:eastAsia="仿宋" w:cs="仿宋"/>
        </w:rPr>
        <w:t>主要职能</w:t>
      </w:r>
      <w:bookmarkStart w:id="7" w:name="_GoBack"/>
      <w:bookmarkEnd w:id="7"/>
    </w:p>
    <w:p>
      <w:pPr>
        <w:pStyle w:val="9"/>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（1）贯彻执行党的路线、方针、政策，讨论决定本镇基本经济建设和社会发展中等重大问题，领导镇党政机关和站所和群众组织，加强镇党委自身建设和以党支部为核心的村级组织建设；</w:t>
      </w:r>
    </w:p>
    <w:p>
      <w:pPr>
        <w:pStyle w:val="9"/>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（2）加强全镇社会主义民主法治建设和精神文明建设；</w:t>
      </w:r>
    </w:p>
    <w:p>
      <w:pPr>
        <w:pStyle w:val="9"/>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（3）加强民族团结和维护社会稳定；</w:t>
      </w:r>
    </w:p>
    <w:p>
      <w:pPr>
        <w:pStyle w:val="9"/>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（4）领导和管理全镇的经济工作和城镇建设；</w:t>
      </w:r>
    </w:p>
    <w:p>
      <w:pPr>
        <w:ind w:firstLine="560"/>
        <w:rPr>
          <w:rFonts w:ascii="仿宋" w:hAnsi="仿宋" w:eastAsia="仿宋" w:cs="仿宋"/>
          <w:sz w:val="32"/>
          <w:szCs w:val="32"/>
        </w:rPr>
      </w:pPr>
      <w:r>
        <w:rPr>
          <w:rFonts w:hint="eastAsia" w:ascii="仿宋" w:hAnsi="仿宋" w:eastAsia="仿宋" w:cs="仿宋"/>
          <w:sz w:val="32"/>
          <w:szCs w:val="32"/>
        </w:rPr>
        <w:t xml:space="preserve">（5）领导和管理本镇民政、财政、司法、教育、科技、文化、卫生、体育、计划生育、扶贫开发、电力、防病改水，减轻农民负担以及民族宗教事务等工作。 </w:t>
      </w:r>
    </w:p>
    <w:p>
      <w:pPr>
        <w:pStyle w:val="2"/>
        <w:numPr>
          <w:ilvl w:val="0"/>
          <w:numId w:val="1"/>
        </w:numPr>
        <w:ind w:firstLine="562"/>
        <w:rPr>
          <w:rFonts w:ascii="仿宋" w:hAnsi="仿宋" w:eastAsia="仿宋" w:cs="仿宋"/>
        </w:rPr>
      </w:pPr>
      <w:r>
        <w:rPr>
          <w:rFonts w:hint="eastAsia" w:ascii="仿宋" w:hAnsi="仿宋" w:eastAsia="仿宋" w:cs="仿宋"/>
        </w:rPr>
        <w:t>年度重点工作计划</w:t>
      </w:r>
    </w:p>
    <w:p>
      <w:pPr>
        <w:pStyle w:val="9"/>
        <w:numPr>
          <w:ilvl w:val="0"/>
          <w:numId w:val="2"/>
        </w:numPr>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保障人员工资，按时足额发放。                                                                                       保障单位各项工作正常运转。执行本乡经济和社会发展计划、预算，管理本乡经济、教育、文化、卫生体育事业和财政、民政、国土、计划生育等工作。维护正当经济权益，取缔非法经济活动，维护社会稳定。</w:t>
      </w:r>
    </w:p>
    <w:p>
      <w:pPr>
        <w:pStyle w:val="9"/>
        <w:numPr>
          <w:ilvl w:val="0"/>
          <w:numId w:val="2"/>
        </w:numPr>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保障纪检办案工作顺利进行和开支。</w:t>
      </w:r>
    </w:p>
    <w:p>
      <w:pPr>
        <w:pStyle w:val="9"/>
        <w:numPr>
          <w:ilvl w:val="0"/>
          <w:numId w:val="2"/>
        </w:numPr>
        <w:spacing w:before="0" w:beforeAutospacing="0" w:after="0" w:afterAutospacing="0"/>
        <w:ind w:firstLine="560"/>
        <w:rPr>
          <w:rFonts w:ascii="仿宋" w:hAnsi="仿宋" w:eastAsia="仿宋" w:cs="仿宋"/>
          <w:sz w:val="32"/>
          <w:szCs w:val="32"/>
        </w:rPr>
      </w:pPr>
      <w:r>
        <w:rPr>
          <w:rFonts w:hint="eastAsia" w:ascii="仿宋" w:hAnsi="仿宋" w:eastAsia="仿宋" w:cs="仿宋"/>
          <w:sz w:val="32"/>
          <w:szCs w:val="32"/>
        </w:rPr>
        <w:t>保障公务用车车辆维护。                                                                                      计划实施情况：完成全年干部工资发放，保证单位各项工作正常运转。</w:t>
      </w:r>
    </w:p>
    <w:p>
      <w:pPr>
        <w:pStyle w:val="15"/>
        <w:snapToGrid w:val="0"/>
        <w:spacing w:line="540" w:lineRule="exact"/>
        <w:ind w:firstLine="640"/>
        <w:rPr>
          <w:rStyle w:val="11"/>
          <w:rFonts w:ascii="仿宋" w:hAnsi="仿宋" w:eastAsia="仿宋" w:cs="仿宋"/>
          <w:b w:val="0"/>
          <w:color w:val="333333"/>
          <w:sz w:val="32"/>
          <w:szCs w:val="32"/>
          <w:lang w:bidi="ar"/>
        </w:rPr>
      </w:pPr>
      <w:r>
        <w:rPr>
          <w:rFonts w:hint="eastAsia" w:ascii="仿宋" w:hAnsi="仿宋" w:eastAsia="仿宋" w:cs="仿宋"/>
          <w:sz w:val="32"/>
          <w:szCs w:val="32"/>
        </w:rPr>
        <w:t>4.贯彻落实党中央的扶贫、稳定、安全生产的工作部署，农业方面：带动全民共同进步，推动和促进广大群众掌握新技能，就业，发展生产，稳定脱贫；财政方面：全力强化财政资金的支持力度，开拓新视界，落实好财政扶贫资金的到位、使用、效益等关键点；社保方面：实现百分之98的城镇居民参加医疗保险，做好60岁以上老人享受养老保险待遇，让农民感觉到党的温暖；民政工作方面：把民政资金按月发放到农民手里，给贫困户提供基本生活保障；</w:t>
      </w:r>
    </w:p>
    <w:p>
      <w:pPr>
        <w:pStyle w:val="15"/>
        <w:snapToGrid w:val="0"/>
        <w:spacing w:line="540" w:lineRule="exact"/>
        <w:ind w:firstLine="640"/>
        <w:rPr>
          <w:rStyle w:val="11"/>
          <w:rFonts w:ascii="仿宋" w:hAnsi="仿宋" w:eastAsia="仿宋" w:cs="仿宋"/>
          <w:b w:val="0"/>
          <w:color w:val="333333"/>
          <w:sz w:val="32"/>
          <w:szCs w:val="32"/>
          <w:lang w:bidi="ar"/>
        </w:rPr>
      </w:pPr>
    </w:p>
    <w:p>
      <w:pPr>
        <w:pStyle w:val="15"/>
        <w:snapToGrid w:val="0"/>
        <w:spacing w:line="540" w:lineRule="exact"/>
        <w:ind w:firstLine="643"/>
        <w:outlineLvl w:val="1"/>
        <w:rPr>
          <w:rStyle w:val="11"/>
          <w:rFonts w:ascii="仿宋" w:hAnsi="仿宋" w:eastAsia="仿宋" w:cs="仿宋"/>
          <w:bCs w:val="0"/>
          <w:color w:val="333333"/>
          <w:sz w:val="32"/>
          <w:szCs w:val="32"/>
          <w:lang w:bidi="ar"/>
        </w:rPr>
      </w:pPr>
      <w:r>
        <w:rPr>
          <w:rStyle w:val="11"/>
          <w:rFonts w:hint="eastAsia" w:ascii="仿宋" w:hAnsi="仿宋" w:eastAsia="仿宋" w:cs="仿宋"/>
          <w:bCs w:val="0"/>
          <w:color w:val="333333"/>
          <w:sz w:val="32"/>
          <w:szCs w:val="32"/>
          <w:lang w:bidi="ar"/>
        </w:rPr>
        <w:t>（三）项目资金分配</w:t>
      </w:r>
    </w:p>
    <w:p>
      <w:pPr>
        <w:pStyle w:val="15"/>
        <w:snapToGrid w:val="0"/>
        <w:spacing w:line="540" w:lineRule="exact"/>
        <w:ind w:firstLine="643"/>
        <w:outlineLvl w:val="2"/>
        <w:rPr>
          <w:rStyle w:val="11"/>
          <w:rFonts w:ascii="仿宋" w:hAnsi="仿宋" w:eastAsia="仿宋" w:cs="仿宋"/>
          <w:bCs w:val="0"/>
          <w:color w:val="333333"/>
          <w:sz w:val="32"/>
          <w:szCs w:val="32"/>
          <w:lang w:bidi="ar"/>
        </w:rPr>
      </w:pPr>
      <w:r>
        <w:rPr>
          <w:rStyle w:val="11"/>
          <w:rFonts w:hint="eastAsia" w:ascii="仿宋" w:hAnsi="仿宋" w:eastAsia="仿宋" w:cs="仿宋"/>
          <w:bCs w:val="0"/>
          <w:color w:val="333333"/>
          <w:sz w:val="32"/>
          <w:szCs w:val="32"/>
          <w:lang w:bidi="ar"/>
        </w:rPr>
        <w:t>1.部门（单位）预算编制及分配依据</w:t>
      </w:r>
    </w:p>
    <w:p>
      <w:pPr>
        <w:pStyle w:val="15"/>
        <w:snapToGrid w:val="0"/>
        <w:spacing w:line="540" w:lineRule="exact"/>
        <w:ind w:firstLine="640"/>
        <w:rPr>
          <w:rStyle w:val="11"/>
          <w:rFonts w:ascii="仿宋" w:hAnsi="仿宋" w:eastAsia="仿宋" w:cs="仿宋"/>
          <w:b w:val="0"/>
          <w:color w:val="333333"/>
          <w:sz w:val="32"/>
          <w:szCs w:val="32"/>
          <w:lang w:bidi="ar"/>
        </w:rPr>
      </w:pPr>
      <w:r>
        <w:rPr>
          <w:rFonts w:hint="eastAsia" w:ascii="仿宋" w:hAnsi="仿宋" w:eastAsia="仿宋" w:cs="仿宋"/>
          <w:sz w:val="32"/>
          <w:szCs w:val="32"/>
        </w:rPr>
        <w:t>我单位决策机制根据行政事业单位内部控制体系建设相关要求，逐步完善《阿克陶镇财经领导小组会议》、《阿克陶镇内部控制领导小组工作会》等会议；《阿克陶镇财务管理制度》、《三重一大会议制度》、《阿克陶镇预决算编制制度》等规章制度，根据以上制度规定进行单位事项决策。</w:t>
      </w:r>
    </w:p>
    <w:p>
      <w:pPr>
        <w:pStyle w:val="15"/>
        <w:snapToGrid w:val="0"/>
        <w:spacing w:line="540" w:lineRule="exact"/>
        <w:ind w:firstLine="643"/>
        <w:outlineLvl w:val="2"/>
        <w:rPr>
          <w:rStyle w:val="11"/>
          <w:rFonts w:ascii="仿宋" w:hAnsi="仿宋" w:eastAsia="仿宋" w:cs="仿宋"/>
          <w:bCs w:val="0"/>
          <w:color w:val="333333"/>
          <w:sz w:val="32"/>
          <w:szCs w:val="32"/>
          <w:lang w:bidi="ar"/>
        </w:rPr>
      </w:pPr>
      <w:r>
        <w:rPr>
          <w:rStyle w:val="11"/>
          <w:rFonts w:hint="eastAsia" w:ascii="仿宋" w:hAnsi="仿宋" w:eastAsia="仿宋" w:cs="仿宋"/>
          <w:bCs w:val="0"/>
          <w:color w:val="333333"/>
          <w:sz w:val="32"/>
          <w:szCs w:val="32"/>
          <w:lang w:bidi="ar"/>
        </w:rPr>
        <w:t>2.分配结果</w:t>
      </w:r>
    </w:p>
    <w:p>
      <w:pPr>
        <w:widowControl/>
        <w:spacing w:line="520" w:lineRule="atLeast"/>
        <w:ind w:firstLine="960" w:firstLineChars="300"/>
        <w:jc w:val="left"/>
        <w:rPr>
          <w:rFonts w:ascii="仿宋" w:hAnsi="仿宋" w:eastAsia="仿宋" w:cs="仿宋"/>
          <w:sz w:val="32"/>
          <w:szCs w:val="32"/>
        </w:rPr>
      </w:pPr>
      <w:r>
        <w:rPr>
          <w:rFonts w:hint="eastAsia" w:ascii="仿宋" w:hAnsi="仿宋" w:eastAsia="仿宋" w:cs="仿宋"/>
          <w:sz w:val="32"/>
          <w:szCs w:val="32"/>
        </w:rPr>
        <w:t>1.基本支出根据阿克陶县部门预算管理制度进行预算编制，并根据财政部门预算批复、预期绩效目标进行相应分配；由财政部门按照进度每月分期拨付，人员支出按照工资计划发放工资；资金支出时按照我单位内控体系中设定的流程进行申报审批。</w:t>
      </w:r>
    </w:p>
    <w:p>
      <w:pPr>
        <w:widowControl/>
        <w:numPr>
          <w:ilvl w:val="0"/>
          <w:numId w:val="3"/>
        </w:numPr>
        <w:spacing w:line="520" w:lineRule="atLeast"/>
        <w:ind w:firstLine="960" w:firstLineChars="300"/>
        <w:jc w:val="left"/>
        <w:rPr>
          <w:rFonts w:cs="仿宋"/>
          <w:szCs w:val="28"/>
        </w:rPr>
      </w:pPr>
      <w:r>
        <w:rPr>
          <w:rFonts w:hint="eastAsia" w:ascii="仿宋" w:hAnsi="仿宋" w:eastAsia="仿宋" w:cs="仿宋"/>
          <w:sz w:val="32"/>
          <w:szCs w:val="32"/>
        </w:rPr>
        <w:t>预算批复的项目支出属于政府采购的，严格按照《中华人民共和国政府采购法》、自治区财政部门印发的《地方预算单位政府集中采购目录及标准指引（20201年版））》规定及本单位内控制度，组织人员制定并申报采购计划，按批复采购方式进行；属于非政府采购的项目，按照“三重一大”制度规定重大项目支出上党组会研究决定。</w:t>
      </w:r>
    </w:p>
    <w:p>
      <w:pPr>
        <w:pStyle w:val="15"/>
        <w:snapToGrid w:val="0"/>
        <w:spacing w:line="540" w:lineRule="exact"/>
        <w:ind w:firstLine="643"/>
        <w:outlineLvl w:val="2"/>
        <w:rPr>
          <w:rStyle w:val="11"/>
          <w:rFonts w:ascii="仿宋_GB2312" w:hAnsi="仿宋_GB2312" w:eastAsia="仿宋_GB2312" w:cs="仿宋_GB2312"/>
          <w:bCs w:val="0"/>
          <w:color w:val="000000" w:themeColor="text1"/>
          <w:sz w:val="32"/>
          <w:szCs w:val="32"/>
          <w:lang w:bidi="ar"/>
          <w14:textFill>
            <w14:solidFill>
              <w14:schemeClr w14:val="tx1"/>
            </w14:solidFill>
          </w14:textFill>
        </w:rPr>
      </w:pPr>
      <w:r>
        <w:rPr>
          <w:rStyle w:val="11"/>
          <w:rFonts w:hint="eastAsia" w:ascii="仿宋_GB2312" w:hAnsi="仿宋_GB2312" w:eastAsia="仿宋_GB2312" w:cs="仿宋_GB2312"/>
          <w:bCs w:val="0"/>
          <w:color w:val="000000" w:themeColor="text1"/>
          <w:sz w:val="32"/>
          <w:szCs w:val="32"/>
          <w:lang w:bidi="ar"/>
          <w14:textFill>
            <w14:solidFill>
              <w14:schemeClr w14:val="tx1"/>
            </w14:solidFill>
          </w14:textFill>
        </w:rPr>
        <w:t>3.重点支出保障率</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我单位本年主要实施皮拉勒乡托格其村1组集中连片示范点项目，履行了帮助群众改善生活条件，增加收入等主要职责。</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本年度预算安排的重点项目支出395.08万元，项目总支出395.08万元，重点支出保障率为100%。</w:t>
      </w:r>
    </w:p>
    <w:p>
      <w:pPr>
        <w:pStyle w:val="15"/>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（四）部门单位整体支出规模</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1.预算执行情况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（1）年初预算执行情况</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w:t>
      </w:r>
      <w:r>
        <w:rPr>
          <w:rStyle w:val="11"/>
          <w:rFonts w:hint="eastAsia" w:ascii="仿宋_GB2312" w:hAnsi="仿宋_GB2312" w:eastAsia="仿宋_GB2312" w:cs="仿宋_GB2312"/>
          <w:b w:val="0"/>
          <w:sz w:val="36"/>
          <w:szCs w:val="36"/>
          <w:lang w:bidi="ar"/>
        </w:rPr>
        <w:t>年初预算数为</w:t>
      </w:r>
      <w:r>
        <w:rPr>
          <w:rStyle w:val="11"/>
          <w:rFonts w:hint="eastAsia" w:ascii="仿宋_GB2312" w:hAnsi="仿宋_GB2312" w:eastAsia="仿宋_GB2312" w:cs="仿宋_GB2312"/>
          <w:b w:val="0"/>
          <w:sz w:val="32"/>
          <w:szCs w:val="32"/>
          <w:lang w:bidi="ar"/>
        </w:rPr>
        <w:t>5649.33万元，实际预算执行数</w:t>
      </w:r>
      <w:r>
        <w:rPr>
          <w:rStyle w:val="11"/>
          <w:rFonts w:ascii="仿宋_GB2312" w:hAnsi="仿宋_GB2312" w:eastAsia="仿宋_GB2312" w:cs="仿宋_GB2312"/>
          <w:b w:val="0"/>
          <w:sz w:val="32"/>
          <w:szCs w:val="32"/>
          <w:lang w:bidi="ar"/>
        </w:rPr>
        <w:t>5644.95</w:t>
      </w:r>
      <w:r>
        <w:rPr>
          <w:rStyle w:val="11"/>
          <w:rFonts w:hint="eastAsia" w:ascii="仿宋_GB2312" w:hAnsi="仿宋_GB2312" w:eastAsia="仿宋_GB2312" w:cs="仿宋_GB2312"/>
          <w:b w:val="0"/>
          <w:sz w:val="32"/>
          <w:szCs w:val="32"/>
          <w:lang w:bidi="ar"/>
        </w:rPr>
        <w:t>万元，预算执行率为100%。</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（2）全年预算执行情况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全年预算数为22656.57万元，全年实际支出资金22226.59万元，预算执行率为98.12%。</w:t>
      </w:r>
    </w:p>
    <w:p>
      <w:pPr>
        <w:pStyle w:val="15"/>
        <w:snapToGrid w:val="0"/>
        <w:spacing w:line="540" w:lineRule="exact"/>
        <w:ind w:firstLine="643"/>
        <w:rPr>
          <w:rStyle w:val="11"/>
          <w:rFonts w:ascii="仿宋_GB2312" w:hAnsi="仿宋_GB2312" w:eastAsia="仿宋_GB2312" w:cs="仿宋_GB2312"/>
          <w:bCs w:val="0"/>
          <w:color w:val="333333"/>
          <w:sz w:val="32"/>
          <w:szCs w:val="32"/>
          <w:lang w:bidi="ar"/>
        </w:rPr>
      </w:pPr>
      <w:r>
        <w:rPr>
          <w:rStyle w:val="11"/>
          <w:rFonts w:ascii="仿宋_GB2312" w:hAnsi="仿宋_GB2312" w:eastAsia="仿宋_GB2312" w:cs="仿宋_GB2312"/>
          <w:bCs w:val="0"/>
          <w:sz w:val="32"/>
          <w:szCs w:val="32"/>
          <w:lang w:bidi="ar"/>
        </w:rPr>
        <w:t>2</w:t>
      </w:r>
      <w:r>
        <w:rPr>
          <w:rStyle w:val="11"/>
          <w:rFonts w:hint="eastAsia" w:ascii="仿宋_GB2312" w:hAnsi="仿宋_GB2312" w:eastAsia="仿宋_GB2312" w:cs="仿宋_GB2312"/>
          <w:bCs w:val="0"/>
          <w:sz w:val="32"/>
          <w:szCs w:val="32"/>
          <w:lang w:bidi="ar"/>
        </w:rPr>
        <w:t>预算调整情况</w:t>
      </w:r>
      <w:r>
        <w:rPr>
          <w:rStyle w:val="11"/>
          <w:rFonts w:hint="eastAsia" w:ascii="仿宋_GB2312" w:hAnsi="仿宋_GB2312" w:eastAsia="仿宋_GB2312" w:cs="仿宋_GB2312"/>
          <w:bCs w:val="0"/>
          <w:color w:val="FF0000"/>
          <w:sz w:val="32"/>
          <w:szCs w:val="32"/>
          <w:lang w:bidi="ar"/>
        </w:rPr>
        <w:t xml:space="preserve"> </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Style w:val="11"/>
          <w:rFonts w:hint="eastAsia" w:ascii="仿宋_GB2312" w:hAnsi="仿宋_GB2312" w:eastAsia="仿宋_GB2312" w:cs="仿宋_GB2312"/>
          <w:b w:val="0"/>
          <w:sz w:val="32"/>
          <w:szCs w:val="32"/>
          <w:lang w:bidi="ar"/>
        </w:rPr>
        <w:t>我单位年初批复预算数5649.33万元，年中调整数17007.24万元，调整后全年预算数22656.57万元，预算调整率301.04%。</w:t>
      </w:r>
      <w:r>
        <w:rPr>
          <w:rStyle w:val="11"/>
          <w:rFonts w:hint="eastAsia" w:ascii="仿宋_GB2312" w:hAnsi="仿宋_GB2312" w:eastAsia="仿宋_GB2312" w:cs="仿宋_GB2312"/>
          <w:b w:val="0"/>
          <w:color w:val="FF0000"/>
          <w:sz w:val="32"/>
          <w:szCs w:val="32"/>
          <w:lang w:bidi="ar"/>
        </w:rPr>
        <w:t xml:space="preserve"> </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 xml:space="preserve">3.政府采购执行情况 </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年初政府采购预算数为</w:t>
      </w:r>
      <w:r>
        <w:rPr>
          <w:rStyle w:val="11"/>
          <w:rFonts w:ascii="仿宋_GB2312" w:hAnsi="仿宋_GB2312" w:eastAsia="仿宋_GB2312" w:cs="仿宋_GB2312"/>
          <w:b w:val="0"/>
          <w:sz w:val="32"/>
          <w:szCs w:val="32"/>
          <w:lang w:bidi="ar"/>
        </w:rPr>
        <w:t>0</w:t>
      </w:r>
      <w:r>
        <w:rPr>
          <w:rStyle w:val="11"/>
          <w:rFonts w:hint="eastAsia" w:ascii="仿宋_GB2312" w:hAnsi="仿宋_GB2312" w:eastAsia="仿宋_GB2312" w:cs="仿宋_GB2312"/>
          <w:b w:val="0"/>
          <w:sz w:val="32"/>
          <w:szCs w:val="32"/>
          <w:lang w:bidi="ar"/>
        </w:rPr>
        <w:t>万元，实际政府采购数为</w:t>
      </w:r>
      <w:r>
        <w:rPr>
          <w:rStyle w:val="11"/>
          <w:rFonts w:ascii="仿宋_GB2312" w:hAnsi="仿宋_GB2312" w:eastAsia="仿宋_GB2312" w:cs="仿宋_GB2312"/>
          <w:b w:val="0"/>
          <w:sz w:val="32"/>
          <w:szCs w:val="32"/>
          <w:lang w:bidi="ar"/>
        </w:rPr>
        <w:t>0</w:t>
      </w:r>
      <w:r>
        <w:rPr>
          <w:rStyle w:val="11"/>
          <w:rFonts w:hint="eastAsia" w:ascii="仿宋_GB2312" w:hAnsi="仿宋_GB2312" w:eastAsia="仿宋_GB2312" w:cs="仿宋_GB2312"/>
          <w:b w:val="0"/>
          <w:sz w:val="32"/>
          <w:szCs w:val="32"/>
          <w:lang w:bidi="ar"/>
        </w:rPr>
        <w:t>万元，政府采购执行率为</w:t>
      </w:r>
      <w:r>
        <w:rPr>
          <w:rStyle w:val="11"/>
          <w:rFonts w:ascii="仿宋_GB2312" w:hAnsi="仿宋_GB2312" w:eastAsia="仿宋_GB2312" w:cs="仿宋_GB2312"/>
          <w:b w:val="0"/>
          <w:sz w:val="32"/>
          <w:szCs w:val="32"/>
          <w:lang w:bidi="ar"/>
        </w:rPr>
        <w:t>0</w:t>
      </w:r>
      <w:r>
        <w:rPr>
          <w:rStyle w:val="11"/>
          <w:rFonts w:hint="eastAsia" w:ascii="仿宋_GB2312" w:hAnsi="仿宋_GB2312" w:eastAsia="仿宋_GB2312" w:cs="仿宋_GB2312"/>
          <w:b w:val="0"/>
          <w:sz w:val="32"/>
          <w:szCs w:val="32"/>
          <w:lang w:bidi="ar"/>
        </w:rPr>
        <w:t>%。</w:t>
      </w:r>
      <w:r>
        <w:rPr>
          <w:rStyle w:val="11"/>
          <w:rFonts w:hint="eastAsia" w:ascii="仿宋_GB2312" w:hAnsi="仿宋_GB2312" w:eastAsia="仿宋_GB2312" w:cs="仿宋_GB2312"/>
          <w:b w:val="0"/>
          <w:color w:val="FF0000"/>
          <w:sz w:val="32"/>
          <w:szCs w:val="32"/>
          <w:lang w:bidi="ar"/>
        </w:rPr>
        <w:t xml:space="preserve"> </w:t>
      </w:r>
    </w:p>
    <w:p>
      <w:pPr>
        <w:pStyle w:val="15"/>
        <w:snapToGrid w:val="0"/>
        <w:spacing w:line="540" w:lineRule="exact"/>
        <w:ind w:firstLine="643"/>
        <w:outlineLvl w:val="1"/>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（五）评价使用方法和主要内容、涉及范围</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1.评价使用方法</w:t>
      </w:r>
    </w:p>
    <w:p>
      <w:pPr>
        <w:pStyle w:val="15"/>
        <w:snapToGrid w:val="0"/>
        <w:spacing w:line="540" w:lineRule="exact"/>
        <w:ind w:firstLine="640"/>
        <w:rPr>
          <w:rStyle w:val="11"/>
          <w:rFonts w:ascii="仿宋_GB2312" w:hAnsi="仿宋_GB2312" w:eastAsia="仿宋_GB2312" w:cs="仿宋_GB2312"/>
          <w:b w:val="0"/>
          <w:sz w:val="32"/>
          <w:szCs w:val="32"/>
          <w:lang w:bidi="ar"/>
        </w:rPr>
      </w:pPr>
      <w:bookmarkStart w:id="0" w:name="_Hlk49856735"/>
      <w:r>
        <w:rPr>
          <w:rStyle w:val="11"/>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1"/>
          <w:rFonts w:hint="eastAsia" w:ascii="仿宋_GB2312" w:hAnsi="仿宋_GB2312" w:eastAsia="仿宋_GB2312" w:cs="仿宋_GB2312"/>
          <w:b w:val="0"/>
          <w:sz w:val="32"/>
          <w:szCs w:val="32"/>
          <w:lang w:eastAsia="zh-Hans" w:bidi="ar"/>
        </w:rPr>
        <w:t>公众评判法</w:t>
      </w:r>
      <w:r>
        <w:rPr>
          <w:rStyle w:val="11"/>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5"/>
        <w:snapToGrid w:val="0"/>
        <w:spacing w:line="540" w:lineRule="exact"/>
        <w:ind w:firstLine="643"/>
        <w:outlineLvl w:val="2"/>
        <w:rPr>
          <w:rStyle w:val="11"/>
          <w:rFonts w:ascii="方正粗黑宋简体" w:hAnsi="方正粗黑宋简体" w:eastAsia="方正粗黑宋简体" w:cs="方正粗黑宋简体"/>
          <w:bCs w:val="0"/>
          <w:color w:val="333333"/>
          <w:sz w:val="32"/>
          <w:szCs w:val="32"/>
          <w:lang w:bidi="ar"/>
        </w:rPr>
      </w:pPr>
      <w:r>
        <w:rPr>
          <w:rStyle w:val="11"/>
          <w:rFonts w:hint="eastAsia" w:ascii="方正粗黑宋简体" w:hAnsi="方正粗黑宋简体" w:eastAsia="方正粗黑宋简体" w:cs="方正粗黑宋简体"/>
          <w:bCs w:val="0"/>
          <w:color w:val="333333"/>
          <w:sz w:val="32"/>
          <w:szCs w:val="32"/>
          <w:lang w:bidi="ar"/>
        </w:rPr>
        <w:t>2.评价对象及主要内容</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color w:val="333333"/>
          <w:sz w:val="32"/>
          <w:szCs w:val="32"/>
          <w:lang w:bidi="ar"/>
        </w:rPr>
        <w:t>评价的对象及主要内容为:</w:t>
      </w:r>
      <w:r>
        <w:rPr>
          <w:rStyle w:val="11"/>
          <w:rFonts w:hint="eastAsia" w:ascii="仿宋_GB2312" w:hAnsi="仿宋_GB2312" w:eastAsia="仿宋_GB2312" w:cs="仿宋_GB2312"/>
          <w:bCs w:val="0"/>
          <w:color w:val="333333"/>
          <w:sz w:val="32"/>
          <w:szCs w:val="32"/>
          <w:lang w:bidi="ar"/>
        </w:rPr>
        <w:t>一是</w:t>
      </w:r>
      <w:r>
        <w:rPr>
          <w:rStyle w:val="11"/>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1"/>
          <w:rFonts w:hint="eastAsia" w:ascii="仿宋_GB2312" w:hAnsi="仿宋_GB2312" w:eastAsia="仿宋_GB2312" w:cs="仿宋_GB2312"/>
          <w:bCs w:val="0"/>
          <w:color w:val="333333"/>
          <w:sz w:val="32"/>
          <w:szCs w:val="32"/>
          <w:lang w:bidi="ar"/>
        </w:rPr>
        <w:t>二是</w:t>
      </w:r>
      <w:r>
        <w:rPr>
          <w:rStyle w:val="11"/>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1"/>
          <w:rFonts w:hint="eastAsia" w:ascii="仿宋_GB2312" w:hAnsi="仿宋_GB2312" w:eastAsia="仿宋_GB2312" w:cs="仿宋_GB2312"/>
          <w:bCs w:val="0"/>
          <w:color w:val="333333"/>
          <w:sz w:val="32"/>
          <w:szCs w:val="32"/>
          <w:lang w:bidi="ar"/>
        </w:rPr>
        <w:t>三是</w:t>
      </w:r>
      <w:r>
        <w:rPr>
          <w:rStyle w:val="11"/>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1"/>
          <w:rFonts w:hint="eastAsia" w:ascii="仿宋_GB2312" w:hAnsi="仿宋_GB2312" w:eastAsia="仿宋_GB2312" w:cs="仿宋_GB2312"/>
          <w:bCs w:val="0"/>
          <w:color w:val="333333"/>
          <w:sz w:val="32"/>
          <w:szCs w:val="32"/>
          <w:lang w:bidi="ar"/>
        </w:rPr>
        <w:t>四是</w:t>
      </w:r>
      <w:r>
        <w:rPr>
          <w:rStyle w:val="11"/>
          <w:rFonts w:hint="eastAsia" w:ascii="仿宋_GB2312" w:hAnsi="仿宋_GB2312" w:eastAsia="仿宋_GB2312" w:cs="仿宋_GB2312"/>
          <w:b w:val="0"/>
          <w:color w:val="333333"/>
          <w:sz w:val="32"/>
          <w:szCs w:val="32"/>
          <w:lang w:bidi="ar"/>
        </w:rPr>
        <w:t>资产管理情况，具体涉及资产管理规范性和资产变动情况。</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3.涉及的范围</w:t>
      </w:r>
      <w:bookmarkEnd w:id="0"/>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5"/>
        <w:numPr>
          <w:ilvl w:val="0"/>
          <w:numId w:val="4"/>
        </w:numPr>
        <w:snapToGrid w:val="0"/>
        <w:spacing w:line="540" w:lineRule="exact"/>
        <w:ind w:firstLineChars="0"/>
        <w:outlineLvl w:val="0"/>
        <w:rPr>
          <w:rFonts w:ascii="仿宋_GB2312" w:hAnsi="仿宋_GB2312" w:eastAsia="仿宋_GB2312" w:cs="仿宋_GB2312"/>
          <w:b/>
          <w:color w:val="333333"/>
          <w:sz w:val="32"/>
          <w:szCs w:val="32"/>
          <w:lang w:bidi="ar"/>
        </w:rPr>
      </w:pPr>
      <w:bookmarkStart w:id="1" w:name="_Toc32535_WPSOffice_Level1"/>
      <w:r>
        <w:rPr>
          <w:rFonts w:hint="eastAsia" w:ascii="仿宋_GB2312" w:hAnsi="仿宋_GB2312" w:eastAsia="仿宋_GB2312" w:cs="仿宋_GB2312"/>
          <w:b/>
          <w:color w:val="333333"/>
          <w:sz w:val="32"/>
          <w:szCs w:val="32"/>
          <w:lang w:bidi="ar"/>
        </w:rPr>
        <w:t>部门单位整体支出管理及使用情况</w:t>
      </w:r>
      <w:bookmarkEnd w:id="1"/>
    </w:p>
    <w:p>
      <w:pPr>
        <w:pStyle w:val="15"/>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（一）预算管理情况</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1.管理制度健全性</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本单位为加强预算管理，规范财务行为，已制定《皮拉勒乡部门单位预算绩效管理工作实施办法》，《皮拉勒乡单位财务管理制度》等健全完整的各项管理制度，有效保障了我单位高效的履行工作职能，较好的促进事业发展。</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2.资金使用合规性和安全性</w:t>
      </w:r>
    </w:p>
    <w:p>
      <w:pPr>
        <w:pStyle w:val="15"/>
        <w:snapToGrid w:val="0"/>
        <w:spacing w:line="540" w:lineRule="exact"/>
        <w:ind w:firstLine="640"/>
        <w:rPr>
          <w:rStyle w:val="11"/>
          <w:rFonts w:ascii="仿宋_GB2312" w:hAnsi="仿宋_GB2312" w:eastAsia="仿宋_GB2312" w:cs="仿宋_GB2312"/>
          <w:b w:val="0"/>
          <w:color w:val="333333"/>
          <w:sz w:val="32"/>
          <w:szCs w:val="32"/>
          <w:lang w:bidi="ar"/>
        </w:rPr>
      </w:pPr>
      <w:r>
        <w:rPr>
          <w:rStyle w:val="11"/>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3.预决算信息公开性</w:t>
      </w:r>
    </w:p>
    <w:p>
      <w:pPr>
        <w:pStyle w:val="15"/>
        <w:snapToGrid w:val="0"/>
        <w:spacing w:line="540" w:lineRule="exact"/>
        <w:ind w:firstLine="640"/>
        <w:rPr>
          <w:rStyle w:val="11"/>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w:t>
      </w:r>
      <w:r>
        <w:rPr>
          <w:rFonts w:hint="eastAsia" w:ascii="仿宋" w:hAnsi="仿宋" w:eastAsia="仿宋" w:cs="宋体"/>
          <w:bCs/>
          <w:color w:val="333333"/>
          <w:sz w:val="32"/>
          <w:szCs w:val="32"/>
          <w:lang w:eastAsia="zh-Hans" w:bidi="ar"/>
        </w:rPr>
        <w:t>阿克陶县</w:t>
      </w:r>
      <w:r>
        <w:rPr>
          <w:rFonts w:hint="eastAsia" w:ascii="仿宋" w:hAnsi="仿宋" w:eastAsia="仿宋" w:cs="宋体"/>
          <w:bCs/>
          <w:color w:val="333333"/>
          <w:sz w:val="32"/>
          <w:szCs w:val="32"/>
          <w:lang w:bidi="ar"/>
        </w:rPr>
        <w:t>财政局预决算信息公开工作要求，我单位在</w:t>
      </w:r>
      <w:r>
        <w:rPr>
          <w:rFonts w:hint="eastAsia" w:ascii="仿宋" w:hAnsi="仿宋" w:eastAsia="仿宋" w:cs="宋体"/>
          <w:bCs/>
          <w:color w:val="333333"/>
          <w:sz w:val="32"/>
          <w:szCs w:val="32"/>
          <w:lang w:eastAsia="zh-Hans" w:bidi="ar"/>
        </w:rPr>
        <w:t>阿克陶县人民</w:t>
      </w:r>
      <w:r>
        <w:rPr>
          <w:rFonts w:hint="eastAsia" w:ascii="仿宋" w:hAnsi="仿宋" w:eastAsia="仿宋" w:cs="宋体"/>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5"/>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（二）基本支出和使用情况</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1.基本支出和使用情况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2021年本单位基本支出全年预算总额</w:t>
      </w:r>
      <w:r>
        <w:rPr>
          <w:rStyle w:val="11"/>
          <w:rFonts w:ascii="仿宋_GB2312" w:hAnsi="仿宋_GB2312" w:eastAsia="仿宋_GB2312" w:cs="仿宋_GB2312"/>
          <w:b w:val="0"/>
          <w:sz w:val="32"/>
          <w:szCs w:val="32"/>
          <w:lang w:bidi="ar"/>
        </w:rPr>
        <w:t>7052.04</w:t>
      </w:r>
      <w:r>
        <w:rPr>
          <w:rStyle w:val="11"/>
          <w:rFonts w:hint="eastAsia" w:ascii="仿宋_GB2312" w:hAnsi="仿宋_GB2312" w:eastAsia="仿宋_GB2312" w:cs="仿宋_GB2312"/>
          <w:b w:val="0"/>
          <w:sz w:val="32"/>
          <w:szCs w:val="32"/>
          <w:lang w:bidi="ar"/>
        </w:rPr>
        <w:t>万元，其中：人员经费</w:t>
      </w:r>
      <w:r>
        <w:rPr>
          <w:rStyle w:val="11"/>
          <w:rFonts w:ascii="仿宋_GB2312" w:hAnsi="仿宋_GB2312" w:eastAsia="仿宋_GB2312" w:cs="仿宋_GB2312"/>
          <w:b w:val="0"/>
          <w:sz w:val="32"/>
          <w:szCs w:val="32"/>
          <w:lang w:bidi="ar"/>
        </w:rPr>
        <w:t>6443.49</w:t>
      </w:r>
      <w:r>
        <w:rPr>
          <w:rStyle w:val="11"/>
          <w:rFonts w:hint="eastAsia" w:ascii="仿宋_GB2312" w:hAnsi="仿宋_GB2312" w:eastAsia="仿宋_GB2312" w:cs="仿宋_GB2312"/>
          <w:b w:val="0"/>
          <w:sz w:val="32"/>
          <w:szCs w:val="32"/>
          <w:lang w:bidi="ar"/>
        </w:rPr>
        <w:t>万元，公用经费</w:t>
      </w:r>
      <w:r>
        <w:rPr>
          <w:rStyle w:val="11"/>
          <w:rFonts w:ascii="仿宋_GB2312" w:hAnsi="仿宋_GB2312" w:eastAsia="仿宋_GB2312" w:cs="仿宋_GB2312"/>
          <w:b w:val="0"/>
          <w:sz w:val="32"/>
          <w:szCs w:val="32"/>
          <w:lang w:bidi="ar"/>
        </w:rPr>
        <w:t>608.55</w:t>
      </w:r>
      <w:r>
        <w:rPr>
          <w:rStyle w:val="11"/>
          <w:rFonts w:hint="eastAsia" w:ascii="仿宋_GB2312" w:hAnsi="仿宋_GB2312" w:eastAsia="仿宋_GB2312" w:cs="仿宋_GB2312"/>
          <w:b w:val="0"/>
          <w:sz w:val="32"/>
          <w:szCs w:val="32"/>
          <w:lang w:bidi="ar"/>
        </w:rPr>
        <w:t>万元。实际支出</w:t>
      </w:r>
      <w:r>
        <w:rPr>
          <w:rStyle w:val="11"/>
          <w:rFonts w:ascii="仿宋_GB2312" w:hAnsi="仿宋_GB2312" w:eastAsia="仿宋_GB2312" w:cs="仿宋_GB2312"/>
          <w:b w:val="0"/>
          <w:sz w:val="32"/>
          <w:szCs w:val="32"/>
          <w:lang w:bidi="ar"/>
        </w:rPr>
        <w:t>6988.94</w:t>
      </w:r>
      <w:r>
        <w:rPr>
          <w:rStyle w:val="11"/>
          <w:rFonts w:hint="eastAsia" w:ascii="仿宋_GB2312" w:hAnsi="仿宋_GB2312" w:eastAsia="仿宋_GB2312" w:cs="仿宋_GB2312"/>
          <w:b w:val="0"/>
          <w:sz w:val="32"/>
          <w:szCs w:val="32"/>
          <w:lang w:bidi="ar"/>
        </w:rPr>
        <w:t>万元，基本支出预算执行率</w:t>
      </w:r>
      <w:r>
        <w:rPr>
          <w:rStyle w:val="11"/>
          <w:rFonts w:ascii="仿宋_GB2312" w:hAnsi="仿宋_GB2312" w:eastAsia="仿宋_GB2312" w:cs="仿宋_GB2312"/>
          <w:b w:val="0"/>
          <w:sz w:val="32"/>
          <w:szCs w:val="32"/>
          <w:lang w:bidi="ar"/>
        </w:rPr>
        <w:t>99.10%</w:t>
      </w:r>
      <w:r>
        <w:rPr>
          <w:rStyle w:val="11"/>
          <w:rFonts w:hint="eastAsia" w:ascii="仿宋_GB2312" w:hAnsi="仿宋_GB2312" w:eastAsia="仿宋_GB2312" w:cs="仿宋_GB2312"/>
          <w:b w:val="0"/>
          <w:sz w:val="32"/>
          <w:szCs w:val="32"/>
          <w:lang w:bidi="ar"/>
        </w:rPr>
        <w:t>。</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5"/>
        <w:snapToGrid w:val="0"/>
        <w:spacing w:line="540" w:lineRule="exact"/>
        <w:ind w:firstLine="643"/>
        <w:outlineLvl w:val="2"/>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2.三公经费控制情况</w:t>
      </w:r>
    </w:p>
    <w:p>
      <w:pPr>
        <w:pStyle w:val="15"/>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w:t>
      </w:r>
      <w:r>
        <w:rPr>
          <w:rFonts w:hint="eastAsia" w:ascii="仿宋" w:hAnsi="仿宋" w:eastAsia="仿宋" w:cs="宋体"/>
          <w:bCs/>
          <w:color w:val="333333"/>
          <w:sz w:val="32"/>
          <w:szCs w:val="32"/>
          <w:lang w:eastAsia="zh-Hans" w:bidi="ar"/>
        </w:rPr>
        <w:t>阿克陶县县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w:t>
      </w:r>
      <w:r>
        <w:rPr>
          <w:rFonts w:ascii="仿宋" w:hAnsi="仿宋" w:eastAsia="仿宋" w:cs="宋体"/>
          <w:bCs/>
          <w:color w:val="333333"/>
          <w:sz w:val="32"/>
          <w:szCs w:val="32"/>
          <w:lang w:bidi="ar"/>
        </w:rPr>
        <w:t>1.18</w:t>
      </w:r>
      <w:r>
        <w:rPr>
          <w:rFonts w:hint="eastAsia" w:ascii="仿宋" w:hAnsi="仿宋" w:eastAsia="仿宋" w:cs="宋体"/>
          <w:bCs/>
          <w:color w:val="333333"/>
          <w:sz w:val="32"/>
          <w:szCs w:val="32"/>
          <w:lang w:bidi="ar"/>
        </w:rPr>
        <w:t>万元，实际支出</w:t>
      </w:r>
      <w:r>
        <w:rPr>
          <w:rFonts w:ascii="仿宋" w:hAnsi="仿宋" w:eastAsia="仿宋" w:cs="宋体"/>
          <w:bCs/>
          <w:color w:val="333333"/>
          <w:sz w:val="32"/>
          <w:szCs w:val="32"/>
          <w:lang w:bidi="ar"/>
        </w:rPr>
        <w:t>1.18</w:t>
      </w:r>
      <w:r>
        <w:rPr>
          <w:rFonts w:hint="eastAsia" w:ascii="仿宋" w:hAnsi="仿宋" w:eastAsia="仿宋" w:cs="宋体"/>
          <w:bCs/>
          <w:color w:val="333333"/>
          <w:sz w:val="32"/>
          <w:szCs w:val="32"/>
          <w:lang w:bidi="ar"/>
        </w:rPr>
        <w:t>万元，“三公经费”控制率为</w:t>
      </w:r>
      <w:r>
        <w:rPr>
          <w:rFonts w:ascii="仿宋" w:hAnsi="仿宋" w:eastAsia="仿宋" w:cs="宋体"/>
          <w:bCs/>
          <w:color w:val="333333"/>
          <w:sz w:val="32"/>
          <w:szCs w:val="32"/>
          <w:lang w:bidi="ar"/>
        </w:rPr>
        <w:t>100</w:t>
      </w:r>
      <w:r>
        <w:rPr>
          <w:rFonts w:hint="eastAsia" w:ascii="仿宋" w:hAnsi="仿宋" w:eastAsia="仿宋" w:cs="宋体"/>
          <w:bCs/>
          <w:color w:val="333333"/>
          <w:sz w:val="32"/>
          <w:szCs w:val="32"/>
          <w:lang w:bidi="ar"/>
        </w:rPr>
        <w:t>%，其中：因公出国（境）费预算为0万元，实际支出0万元；公务接待费预算为</w:t>
      </w:r>
      <w:r>
        <w:rPr>
          <w:rFonts w:ascii="仿宋" w:hAnsi="仿宋" w:eastAsia="仿宋" w:cs="宋体"/>
          <w:bCs/>
          <w:color w:val="333333"/>
          <w:sz w:val="32"/>
          <w:szCs w:val="32"/>
          <w:lang w:bidi="ar"/>
        </w:rPr>
        <w:t>0</w:t>
      </w:r>
      <w:r>
        <w:rPr>
          <w:rFonts w:hint="eastAsia" w:ascii="仿宋" w:hAnsi="仿宋" w:eastAsia="仿宋" w:cs="宋体"/>
          <w:bCs/>
          <w:color w:val="333333"/>
          <w:sz w:val="32"/>
          <w:szCs w:val="32"/>
          <w:lang w:bidi="ar"/>
        </w:rPr>
        <w:t>万元，实际支出</w:t>
      </w:r>
      <w:r>
        <w:rPr>
          <w:rFonts w:ascii="仿宋" w:hAnsi="仿宋" w:eastAsia="仿宋" w:cs="宋体"/>
          <w:bCs/>
          <w:color w:val="333333"/>
          <w:sz w:val="32"/>
          <w:szCs w:val="32"/>
          <w:lang w:bidi="ar"/>
        </w:rPr>
        <w:t>0</w:t>
      </w:r>
      <w:r>
        <w:rPr>
          <w:rFonts w:hint="eastAsia" w:ascii="仿宋" w:hAnsi="仿宋" w:eastAsia="仿宋" w:cs="宋体"/>
          <w:bCs/>
          <w:color w:val="333333"/>
          <w:sz w:val="32"/>
          <w:szCs w:val="32"/>
          <w:lang w:bidi="ar"/>
        </w:rPr>
        <w:t>万元；公务用车购置费预算为</w:t>
      </w:r>
      <w:r>
        <w:rPr>
          <w:rFonts w:ascii="仿宋" w:hAnsi="仿宋" w:eastAsia="仿宋" w:cs="宋体"/>
          <w:bCs/>
          <w:color w:val="333333"/>
          <w:sz w:val="32"/>
          <w:szCs w:val="32"/>
          <w:lang w:bidi="ar"/>
        </w:rPr>
        <w:t>0</w:t>
      </w:r>
      <w:r>
        <w:rPr>
          <w:rFonts w:hint="eastAsia" w:ascii="仿宋" w:hAnsi="仿宋" w:eastAsia="仿宋" w:cs="宋体"/>
          <w:bCs/>
          <w:color w:val="333333"/>
          <w:sz w:val="32"/>
          <w:szCs w:val="32"/>
          <w:lang w:bidi="ar"/>
        </w:rPr>
        <w:t>万元，实际支出</w:t>
      </w:r>
      <w:r>
        <w:rPr>
          <w:rFonts w:ascii="仿宋" w:hAnsi="仿宋" w:eastAsia="仿宋" w:cs="宋体"/>
          <w:bCs/>
          <w:color w:val="333333"/>
          <w:sz w:val="32"/>
          <w:szCs w:val="32"/>
          <w:lang w:bidi="ar"/>
        </w:rPr>
        <w:t>0</w:t>
      </w:r>
      <w:r>
        <w:rPr>
          <w:rFonts w:hint="eastAsia" w:ascii="仿宋" w:hAnsi="仿宋" w:eastAsia="仿宋" w:cs="宋体"/>
          <w:bCs/>
          <w:color w:val="333333"/>
          <w:sz w:val="32"/>
          <w:szCs w:val="32"/>
          <w:lang w:bidi="ar"/>
        </w:rPr>
        <w:t>万元；公务用车运行维护费预算为</w:t>
      </w:r>
      <w:r>
        <w:rPr>
          <w:rFonts w:ascii="仿宋" w:hAnsi="仿宋" w:eastAsia="仿宋" w:cs="宋体"/>
          <w:bCs/>
          <w:color w:val="333333"/>
          <w:sz w:val="32"/>
          <w:szCs w:val="32"/>
          <w:lang w:bidi="ar"/>
        </w:rPr>
        <w:t>1.18</w:t>
      </w:r>
      <w:r>
        <w:rPr>
          <w:rFonts w:hint="eastAsia" w:ascii="仿宋" w:hAnsi="仿宋" w:eastAsia="仿宋" w:cs="宋体"/>
          <w:bCs/>
          <w:color w:val="333333"/>
          <w:sz w:val="32"/>
          <w:szCs w:val="32"/>
          <w:lang w:bidi="ar"/>
        </w:rPr>
        <w:t>万元，实际支出</w:t>
      </w:r>
      <w:r>
        <w:rPr>
          <w:rFonts w:ascii="仿宋" w:hAnsi="仿宋" w:eastAsia="仿宋" w:cs="宋体"/>
          <w:bCs/>
          <w:color w:val="333333"/>
          <w:sz w:val="32"/>
          <w:szCs w:val="32"/>
          <w:lang w:bidi="ar"/>
        </w:rPr>
        <w:t>1.18</w:t>
      </w:r>
      <w:r>
        <w:rPr>
          <w:rFonts w:hint="eastAsia" w:ascii="仿宋" w:hAnsi="仿宋" w:eastAsia="仿宋" w:cs="宋体"/>
          <w:bCs/>
          <w:color w:val="333333"/>
          <w:sz w:val="32"/>
          <w:szCs w:val="32"/>
          <w:lang w:bidi="ar"/>
        </w:rPr>
        <w:t>万元，公务用车运行维护费控制率</w:t>
      </w:r>
      <w:r>
        <w:rPr>
          <w:rFonts w:ascii="仿宋" w:hAnsi="仿宋" w:eastAsia="仿宋" w:cs="宋体"/>
          <w:bCs/>
          <w:color w:val="333333"/>
          <w:sz w:val="32"/>
          <w:szCs w:val="32"/>
          <w:lang w:bidi="ar"/>
        </w:rPr>
        <w:t>100</w:t>
      </w:r>
      <w:r>
        <w:rPr>
          <w:rFonts w:hint="eastAsia" w:ascii="仿宋" w:hAnsi="仿宋" w:eastAsia="仿宋" w:cs="宋体"/>
          <w:bCs/>
          <w:color w:val="333333"/>
          <w:sz w:val="32"/>
          <w:szCs w:val="32"/>
          <w:lang w:bidi="ar"/>
        </w:rPr>
        <w:t>%，符合财政部门本年预算要求和相关管理制度要求。</w:t>
      </w:r>
    </w:p>
    <w:p>
      <w:pPr>
        <w:pStyle w:val="15"/>
        <w:snapToGrid w:val="0"/>
        <w:spacing w:line="540" w:lineRule="exact"/>
        <w:ind w:firstLine="643"/>
        <w:outlineLvl w:val="1"/>
        <w:rPr>
          <w:rStyle w:val="11"/>
          <w:rFonts w:ascii="仿宋_GB2312" w:hAnsi="仿宋_GB2312" w:eastAsia="仿宋_GB2312" w:cs="仿宋_GB2312"/>
          <w:bCs w:val="0"/>
          <w:color w:val="333333"/>
          <w:sz w:val="32"/>
          <w:szCs w:val="32"/>
          <w:lang w:bidi="ar"/>
        </w:rPr>
      </w:pPr>
      <w:r>
        <w:rPr>
          <w:rStyle w:val="11"/>
          <w:rFonts w:hint="eastAsia" w:ascii="仿宋_GB2312" w:hAnsi="仿宋_GB2312" w:eastAsia="仿宋_GB2312" w:cs="仿宋_GB2312"/>
          <w:bCs w:val="0"/>
          <w:color w:val="333333"/>
          <w:sz w:val="32"/>
          <w:szCs w:val="32"/>
          <w:lang w:bidi="ar"/>
        </w:rPr>
        <w:t>（三）专项支出管理和使用情况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2021年本单位安排专项支出预算总额</w:t>
      </w:r>
      <w:r>
        <w:rPr>
          <w:rStyle w:val="11"/>
          <w:rFonts w:ascii="仿宋_GB2312" w:hAnsi="仿宋_GB2312" w:eastAsia="仿宋_GB2312" w:cs="仿宋_GB2312"/>
          <w:b w:val="0"/>
          <w:sz w:val="32"/>
          <w:szCs w:val="32"/>
          <w:lang w:bidi="ar"/>
        </w:rPr>
        <w:t>15604.53</w:t>
      </w:r>
      <w:r>
        <w:rPr>
          <w:rStyle w:val="11"/>
          <w:rFonts w:hint="eastAsia" w:ascii="仿宋_GB2312" w:hAnsi="仿宋_GB2312" w:eastAsia="仿宋_GB2312" w:cs="仿宋_GB2312"/>
          <w:b w:val="0"/>
          <w:sz w:val="32"/>
          <w:szCs w:val="32"/>
          <w:lang w:bidi="ar"/>
        </w:rPr>
        <w:t>万元</w:t>
      </w:r>
      <w:r>
        <w:rPr>
          <w:rStyle w:val="11"/>
          <w:rFonts w:hint="eastAsia" w:ascii="仿宋_GB2312" w:hAnsi="仿宋_GB2312" w:eastAsia="仿宋_GB2312" w:cs="仿宋_GB2312"/>
          <w:b w:val="0"/>
          <w:color w:val="FF0000"/>
          <w:sz w:val="32"/>
          <w:szCs w:val="32"/>
          <w:lang w:bidi="ar"/>
        </w:rPr>
        <w:t xml:space="preserve"> </w:t>
      </w:r>
      <w:r>
        <w:rPr>
          <w:rStyle w:val="11"/>
          <w:rFonts w:hint="eastAsia" w:ascii="仿宋_GB2312" w:hAnsi="仿宋_GB2312" w:eastAsia="仿宋_GB2312" w:cs="仿宋_GB2312"/>
          <w:b w:val="0"/>
          <w:sz w:val="32"/>
          <w:szCs w:val="32"/>
          <w:lang w:bidi="ar"/>
        </w:rPr>
        <w:t>，实际支出</w:t>
      </w:r>
      <w:r>
        <w:rPr>
          <w:rStyle w:val="11"/>
          <w:rFonts w:ascii="仿宋_GB2312" w:hAnsi="仿宋_GB2312" w:eastAsia="仿宋_GB2312" w:cs="仿宋_GB2312"/>
          <w:b w:val="0"/>
          <w:sz w:val="32"/>
          <w:szCs w:val="32"/>
          <w:lang w:bidi="ar"/>
        </w:rPr>
        <w:t>15237.64</w:t>
      </w:r>
      <w:r>
        <w:rPr>
          <w:rStyle w:val="11"/>
          <w:rFonts w:hint="eastAsia" w:ascii="仿宋_GB2312" w:hAnsi="仿宋_GB2312" w:eastAsia="仿宋_GB2312" w:cs="仿宋_GB2312"/>
          <w:b w:val="0"/>
          <w:sz w:val="32"/>
          <w:szCs w:val="32"/>
          <w:lang w:bidi="ar"/>
        </w:rPr>
        <w:t>万元，专项支出预算执行率</w:t>
      </w:r>
      <w:r>
        <w:rPr>
          <w:rStyle w:val="11"/>
          <w:rFonts w:ascii="仿宋_GB2312" w:hAnsi="仿宋_GB2312" w:eastAsia="仿宋_GB2312" w:cs="仿宋_GB2312"/>
          <w:b w:val="0"/>
          <w:sz w:val="32"/>
          <w:szCs w:val="32"/>
          <w:lang w:bidi="ar"/>
        </w:rPr>
        <w:t>97.65</w:t>
      </w:r>
      <w:r>
        <w:rPr>
          <w:rStyle w:val="11"/>
          <w:rFonts w:hint="eastAsia" w:ascii="仿宋_GB2312" w:hAnsi="仿宋_GB2312" w:eastAsia="仿宋_GB2312" w:cs="仿宋_GB2312"/>
          <w:b w:val="0"/>
          <w:sz w:val="32"/>
          <w:szCs w:val="32"/>
          <w:lang w:bidi="ar"/>
        </w:rPr>
        <w:t>。</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2021年本单位共有</w:t>
      </w:r>
      <w:r>
        <w:rPr>
          <w:rStyle w:val="11"/>
          <w:rFonts w:ascii="仿宋_GB2312" w:hAnsi="仿宋_GB2312" w:eastAsia="仿宋_GB2312" w:cs="仿宋_GB2312"/>
          <w:b w:val="0"/>
          <w:sz w:val="32"/>
          <w:szCs w:val="32"/>
          <w:lang w:bidi="ar"/>
        </w:rPr>
        <w:t>31</w:t>
      </w:r>
      <w:r>
        <w:rPr>
          <w:rStyle w:val="11"/>
          <w:rFonts w:hint="eastAsia" w:ascii="仿宋_GB2312" w:hAnsi="仿宋_GB2312" w:eastAsia="仿宋_GB2312" w:cs="仿宋_GB2312"/>
          <w:b w:val="0"/>
          <w:sz w:val="32"/>
          <w:szCs w:val="32"/>
          <w:lang w:bidi="ar"/>
        </w:rPr>
        <w:t>个资金项目，其中3个属经常性项目、</w:t>
      </w:r>
      <w:r>
        <w:rPr>
          <w:rStyle w:val="11"/>
          <w:rFonts w:ascii="仿宋_GB2312" w:hAnsi="仿宋_GB2312" w:eastAsia="仿宋_GB2312" w:cs="仿宋_GB2312"/>
          <w:b w:val="0"/>
          <w:sz w:val="32"/>
          <w:szCs w:val="32"/>
          <w:lang w:bidi="ar"/>
        </w:rPr>
        <w:t>24</w:t>
      </w:r>
      <w:r>
        <w:rPr>
          <w:rStyle w:val="11"/>
          <w:rFonts w:hint="eastAsia" w:ascii="仿宋_GB2312" w:hAnsi="仿宋_GB2312" w:eastAsia="仿宋_GB2312" w:cs="仿宋_GB2312"/>
          <w:b w:val="0"/>
          <w:sz w:val="32"/>
          <w:szCs w:val="32"/>
          <w:lang w:bidi="ar"/>
        </w:rPr>
        <w:t>个属当年度新增项目，已完成项目</w:t>
      </w:r>
      <w:r>
        <w:rPr>
          <w:rStyle w:val="11"/>
          <w:rFonts w:ascii="仿宋_GB2312" w:hAnsi="仿宋_GB2312" w:eastAsia="仿宋_GB2312" w:cs="仿宋_GB2312"/>
          <w:b w:val="0"/>
          <w:sz w:val="32"/>
          <w:szCs w:val="32"/>
          <w:lang w:bidi="ar"/>
        </w:rPr>
        <w:t>31</w:t>
      </w:r>
      <w:r>
        <w:rPr>
          <w:rStyle w:val="11"/>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2" w:name="_Toc1734_WPSOffice_Level1"/>
      <w:r>
        <w:rPr>
          <w:rFonts w:hint="eastAsia" w:ascii="仿宋_GB2312" w:hAnsi="仿宋_GB2312" w:eastAsia="仿宋_GB2312" w:cs="仿宋_GB2312"/>
          <w:b/>
          <w:color w:val="333333"/>
          <w:sz w:val="32"/>
          <w:szCs w:val="32"/>
          <w:lang w:bidi="ar"/>
        </w:rPr>
        <w:t>三、部门单位专项组织实施情况</w:t>
      </w:r>
      <w:bookmarkEnd w:id="2"/>
    </w:p>
    <w:p>
      <w:pPr>
        <w:pStyle w:val="15"/>
        <w:snapToGrid w:val="0"/>
        <w:spacing w:line="540" w:lineRule="exact"/>
        <w:ind w:firstLine="640"/>
        <w:rPr>
          <w:rStyle w:val="11"/>
          <w:rFonts w:ascii="仿宋_GB2312" w:hAnsi="仿宋_GB2312" w:eastAsia="仿宋_GB2312" w:cs="仿宋_GB2312"/>
          <w:bCs w:val="0"/>
          <w:spacing w:val="-4"/>
          <w:sz w:val="32"/>
          <w:szCs w:val="32"/>
        </w:rPr>
      </w:pPr>
      <w:r>
        <w:rPr>
          <w:rStyle w:val="11"/>
          <w:rFonts w:hint="eastAsia" w:ascii="仿宋_GB2312" w:hAnsi="仿宋_GB2312" w:eastAsia="仿宋_GB2312" w:cs="仿宋_GB2312"/>
          <w:b w:val="0"/>
          <w:sz w:val="32"/>
          <w:szCs w:val="32"/>
          <w:lang w:bidi="ar"/>
        </w:rPr>
        <w:t>本年我单位实施专项项目</w:t>
      </w:r>
      <w:r>
        <w:rPr>
          <w:rStyle w:val="11"/>
          <w:rFonts w:ascii="仿宋_GB2312" w:hAnsi="仿宋_GB2312" w:eastAsia="仿宋_GB2312" w:cs="仿宋_GB2312"/>
          <w:b w:val="0"/>
          <w:sz w:val="32"/>
          <w:szCs w:val="32"/>
          <w:lang w:bidi="ar"/>
        </w:rPr>
        <w:t>31</w:t>
      </w:r>
      <w:r>
        <w:rPr>
          <w:rStyle w:val="11"/>
          <w:rFonts w:hint="eastAsia" w:ascii="仿宋_GB2312" w:hAnsi="仿宋_GB2312" w:eastAsia="仿宋_GB2312" w:cs="仿宋_GB2312"/>
          <w:b w:val="0"/>
          <w:sz w:val="32"/>
          <w:szCs w:val="32"/>
          <w:lang w:bidi="ar"/>
        </w:rPr>
        <w:t>个，涉及金额</w:t>
      </w:r>
      <w:r>
        <w:rPr>
          <w:rStyle w:val="11"/>
          <w:rFonts w:ascii="仿宋_GB2312" w:hAnsi="仿宋_GB2312" w:eastAsia="仿宋_GB2312" w:cs="仿宋_GB2312"/>
          <w:b w:val="0"/>
          <w:sz w:val="32"/>
          <w:szCs w:val="32"/>
          <w:lang w:bidi="ar"/>
        </w:rPr>
        <w:t>15237.64</w:t>
      </w:r>
      <w:r>
        <w:rPr>
          <w:rStyle w:val="11"/>
          <w:rFonts w:hint="eastAsia" w:ascii="仿宋_GB2312" w:hAnsi="仿宋_GB2312" w:eastAsia="仿宋_GB2312" w:cs="仿宋_GB2312"/>
          <w:b w:val="0"/>
          <w:sz w:val="32"/>
          <w:szCs w:val="32"/>
          <w:lang w:bidi="ar"/>
        </w:rPr>
        <w:t>万元，其中：中央专项项目</w:t>
      </w:r>
      <w:r>
        <w:rPr>
          <w:rStyle w:val="11"/>
          <w:rFonts w:ascii="仿宋_GB2312" w:hAnsi="仿宋_GB2312" w:eastAsia="仿宋_GB2312" w:cs="仿宋_GB2312"/>
          <w:b w:val="0"/>
          <w:sz w:val="32"/>
          <w:szCs w:val="32"/>
          <w:lang w:bidi="ar"/>
        </w:rPr>
        <w:t>6</w:t>
      </w:r>
      <w:r>
        <w:rPr>
          <w:rStyle w:val="11"/>
          <w:rFonts w:hint="eastAsia" w:ascii="仿宋_GB2312" w:hAnsi="仿宋_GB2312" w:eastAsia="仿宋_GB2312" w:cs="仿宋_GB2312"/>
          <w:b w:val="0"/>
          <w:sz w:val="32"/>
          <w:szCs w:val="32"/>
          <w:lang w:bidi="ar"/>
        </w:rPr>
        <w:t>个涉及金额</w:t>
      </w:r>
      <w:r>
        <w:rPr>
          <w:rStyle w:val="11"/>
          <w:rFonts w:ascii="仿宋_GB2312" w:hAnsi="仿宋_GB2312" w:eastAsia="仿宋_GB2312" w:cs="仿宋_GB2312"/>
          <w:b w:val="0"/>
          <w:sz w:val="32"/>
          <w:szCs w:val="32"/>
          <w:lang w:bidi="ar"/>
        </w:rPr>
        <w:t>2345.41</w:t>
      </w:r>
      <w:r>
        <w:rPr>
          <w:rStyle w:val="11"/>
          <w:rFonts w:hint="eastAsia" w:ascii="仿宋_GB2312" w:hAnsi="仿宋_GB2312" w:eastAsia="仿宋_GB2312" w:cs="仿宋_GB2312"/>
          <w:b w:val="0"/>
          <w:sz w:val="32"/>
          <w:szCs w:val="32"/>
          <w:lang w:bidi="ar"/>
        </w:rPr>
        <w:t>万元，自治区专项项目</w:t>
      </w:r>
      <w:r>
        <w:rPr>
          <w:rStyle w:val="11"/>
          <w:rFonts w:ascii="仿宋_GB2312" w:hAnsi="仿宋_GB2312" w:eastAsia="仿宋_GB2312" w:cs="仿宋_GB2312"/>
          <w:b w:val="0"/>
          <w:sz w:val="32"/>
          <w:szCs w:val="32"/>
          <w:lang w:bidi="ar"/>
        </w:rPr>
        <w:t>25</w:t>
      </w:r>
      <w:r>
        <w:rPr>
          <w:rStyle w:val="11"/>
          <w:rFonts w:hint="eastAsia" w:ascii="仿宋_GB2312" w:hAnsi="仿宋_GB2312" w:eastAsia="仿宋_GB2312" w:cs="仿宋_GB2312"/>
          <w:b w:val="0"/>
          <w:sz w:val="32"/>
          <w:szCs w:val="32"/>
          <w:lang w:bidi="ar"/>
        </w:rPr>
        <w:t>个涉及金额</w:t>
      </w:r>
      <w:r>
        <w:rPr>
          <w:rStyle w:val="11"/>
          <w:rFonts w:ascii="仿宋_GB2312" w:hAnsi="仿宋_GB2312" w:eastAsia="仿宋_GB2312" w:cs="仿宋_GB2312"/>
          <w:b w:val="0"/>
          <w:sz w:val="32"/>
          <w:szCs w:val="32"/>
          <w:lang w:bidi="ar"/>
        </w:rPr>
        <w:t>12892.23</w:t>
      </w:r>
      <w:r>
        <w:rPr>
          <w:rStyle w:val="11"/>
          <w:rFonts w:hint="eastAsia" w:ascii="仿宋_GB2312" w:hAnsi="仿宋_GB2312" w:eastAsia="仿宋_GB2312" w:cs="仿宋_GB2312"/>
          <w:b w:val="0"/>
          <w:sz w:val="32"/>
          <w:szCs w:val="32"/>
          <w:lang w:bidi="ar"/>
        </w:rPr>
        <w:t>万元，地区本级专项项目</w:t>
      </w:r>
      <w:r>
        <w:rPr>
          <w:rStyle w:val="11"/>
          <w:rFonts w:ascii="仿宋_GB2312" w:hAnsi="仿宋_GB2312" w:eastAsia="仿宋_GB2312" w:cs="仿宋_GB2312"/>
          <w:b w:val="0"/>
          <w:sz w:val="32"/>
          <w:szCs w:val="32"/>
          <w:lang w:bidi="ar"/>
        </w:rPr>
        <w:t>0</w:t>
      </w:r>
      <w:r>
        <w:rPr>
          <w:rStyle w:val="11"/>
          <w:rFonts w:hint="eastAsia" w:ascii="仿宋_GB2312" w:hAnsi="仿宋_GB2312" w:eastAsia="仿宋_GB2312" w:cs="仿宋_GB2312"/>
          <w:b w:val="0"/>
          <w:sz w:val="32"/>
          <w:szCs w:val="32"/>
          <w:lang w:bidi="ar"/>
        </w:rPr>
        <w:t>个涉及金额</w:t>
      </w:r>
      <w:r>
        <w:rPr>
          <w:rStyle w:val="11"/>
          <w:rFonts w:ascii="仿宋_GB2312" w:hAnsi="仿宋_GB2312" w:eastAsia="仿宋_GB2312" w:cs="仿宋_GB2312"/>
          <w:b w:val="0"/>
          <w:sz w:val="32"/>
          <w:szCs w:val="32"/>
          <w:lang w:bidi="ar"/>
        </w:rPr>
        <w:t>0</w:t>
      </w:r>
      <w:r>
        <w:rPr>
          <w:rStyle w:val="11"/>
          <w:rFonts w:hint="eastAsia" w:ascii="仿宋_GB2312" w:hAnsi="仿宋_GB2312" w:eastAsia="仿宋_GB2312" w:cs="仿宋_GB2312"/>
          <w:b w:val="0"/>
          <w:sz w:val="32"/>
          <w:szCs w:val="32"/>
          <w:lang w:bidi="ar"/>
        </w:rPr>
        <w:t>万元，</w:t>
      </w:r>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bCs w:val="0"/>
          <w:spacing w:val="-4"/>
          <w:sz w:val="32"/>
          <w:szCs w:val="32"/>
        </w:rPr>
        <w:t>（一）项目专项组织情况分析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1.前期准备</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我单位成立专项支出绩效评价小组，成员如下：</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 xml:space="preserve"> 阿不都外力·买买提艾力任评价组组长，绩效评价工作职责为负责全盘工作。</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晏全兵任评价组副组长，绩效评价工作职责为为对项目实施情况进行实地调查。</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艾孜提力·图尔迪巴柯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2.组织实施</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5"/>
        <w:snapToGrid w:val="0"/>
        <w:spacing w:line="540" w:lineRule="exact"/>
        <w:ind w:firstLine="643"/>
        <w:rPr>
          <w:rStyle w:val="11"/>
          <w:rFonts w:ascii="仿宋_GB2312" w:hAnsi="仿宋_GB2312" w:eastAsia="仿宋_GB2312" w:cs="仿宋_GB2312"/>
          <w:bCs w:val="0"/>
          <w:sz w:val="32"/>
          <w:szCs w:val="32"/>
          <w:lang w:bidi="ar"/>
        </w:rPr>
      </w:pPr>
      <w:r>
        <w:rPr>
          <w:rStyle w:val="11"/>
          <w:rFonts w:hint="eastAsia" w:ascii="仿宋_GB2312" w:hAnsi="仿宋_GB2312" w:eastAsia="仿宋_GB2312" w:cs="仿宋_GB2312"/>
          <w:bCs w:val="0"/>
          <w:sz w:val="32"/>
          <w:szCs w:val="32"/>
          <w:lang w:bidi="ar"/>
        </w:rPr>
        <w:t>3</w:t>
      </w:r>
      <w:r>
        <w:rPr>
          <w:rStyle w:val="11"/>
          <w:rFonts w:ascii="仿宋_GB2312" w:hAnsi="仿宋_GB2312" w:eastAsia="仿宋_GB2312" w:cs="仿宋_GB2312"/>
          <w:bCs w:val="0"/>
          <w:sz w:val="32"/>
          <w:szCs w:val="32"/>
          <w:lang w:bidi="ar"/>
        </w:rPr>
        <w:t>.</w:t>
      </w:r>
      <w:r>
        <w:rPr>
          <w:rStyle w:val="11"/>
          <w:rFonts w:hint="eastAsia" w:ascii="仿宋_GB2312" w:hAnsi="仿宋_GB2312" w:eastAsia="仿宋_GB2312" w:cs="仿宋_GB2312"/>
          <w:bCs w:val="0"/>
          <w:sz w:val="32"/>
          <w:szCs w:val="32"/>
          <w:lang w:bidi="ar"/>
        </w:rPr>
        <w:t>项目情况</w:t>
      </w:r>
    </w:p>
    <w:p>
      <w:pPr>
        <w:pStyle w:val="15"/>
        <w:snapToGrid w:val="0"/>
        <w:spacing w:line="540" w:lineRule="exact"/>
        <w:ind w:firstLine="640"/>
        <w:rPr>
          <w:rStyle w:val="11"/>
          <w:rFonts w:ascii="仿宋_GB2312" w:hAnsi="仿宋_GB2312" w:eastAsia="仿宋_GB2312" w:cs="仿宋_GB2312"/>
          <w:b w:val="0"/>
          <w:sz w:val="32"/>
          <w:szCs w:val="32"/>
          <w:lang w:bidi="ar"/>
        </w:rPr>
      </w:pPr>
      <w:r>
        <w:rPr>
          <w:rStyle w:val="11"/>
          <w:rFonts w:hint="eastAsia" w:ascii="仿宋_GB2312" w:hAnsi="仿宋_GB2312" w:eastAsia="仿宋_GB2312" w:cs="仿宋_GB2312"/>
          <w:b w:val="0"/>
          <w:sz w:val="32"/>
          <w:szCs w:val="32"/>
          <w:lang w:bidi="ar"/>
        </w:rPr>
        <w:t>本年我单位供实施</w:t>
      </w:r>
      <w:r>
        <w:rPr>
          <w:rStyle w:val="11"/>
          <w:rFonts w:ascii="仿宋_GB2312" w:hAnsi="仿宋_GB2312" w:eastAsia="仿宋_GB2312" w:cs="仿宋_GB2312"/>
          <w:b w:val="0"/>
          <w:sz w:val="32"/>
          <w:szCs w:val="32"/>
          <w:lang w:bidi="ar"/>
        </w:rPr>
        <w:t>31</w:t>
      </w:r>
      <w:r>
        <w:rPr>
          <w:rStyle w:val="11"/>
          <w:rFonts w:hint="eastAsia" w:ascii="仿宋_GB2312" w:hAnsi="仿宋_GB2312" w:eastAsia="仿宋_GB2312" w:cs="仿宋_GB2312"/>
          <w:b w:val="0"/>
          <w:sz w:val="32"/>
          <w:szCs w:val="32"/>
          <w:lang w:bidi="ar"/>
        </w:rPr>
        <w:t>个项目，分别为教育局拨付驻村经费，中央财政就业补助资金，就业奖励及补助，高龄老人补贴，困难残疾人生活补助和生度残疾人护理补贴，中央财政困难群众救助资金（城市低保），中央财政困难群众救助资金（农村低保），临时救助款，中央财政困难群众救助补助资金（特困供养），特困供养（集中供养）补贴，中央基本公共卫生服务补助资金（人口监测费），计划生育服务补助资金，2018年特殊奖励失败人员（计划生育奖励），生态护林员补助，退耕还林还草工程苗木补助，退耕还林还草补助，耕地地力保护补贴，15村林业占地处罚款和团结村乡振兴发展农村产业征迁补偿款，2021年林果低质低效林改造项目，皮拉勒乡霍伊拉阿勒迪村林果提质增效项目,</w:t>
      </w:r>
      <w:r>
        <w:rPr>
          <w:rFonts w:hint="eastAsia"/>
        </w:rPr>
        <w:t xml:space="preserve"> </w:t>
      </w:r>
      <w:r>
        <w:rPr>
          <w:rStyle w:val="11"/>
          <w:rFonts w:hint="eastAsia" w:ascii="仿宋_GB2312" w:hAnsi="仿宋_GB2312" w:eastAsia="仿宋_GB2312" w:cs="仿宋_GB2312"/>
          <w:b w:val="0"/>
          <w:sz w:val="32"/>
          <w:szCs w:val="32"/>
          <w:lang w:bidi="ar"/>
        </w:rPr>
        <w:t>皮拉勒乡托格其村支渠防渗改建工程，2021年扶贫项目工程，2021年扶贫入户项目，15村国金证券帮扶资金，扶持村集体经济补助资金，棉花目标价格改革补贴，人居环境改造项目拆迁补偿资金，林地补偿费，安置补偿费，林木补偿费，救灾资金，应急管理资金，乡村务监督员生活补助。以上项目均已完成。</w:t>
      </w:r>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bCs w:val="0"/>
          <w:spacing w:val="-4"/>
          <w:sz w:val="32"/>
          <w:szCs w:val="32"/>
        </w:rPr>
        <w:t xml:space="preserve"> </w:t>
      </w:r>
      <w:r>
        <w:rPr>
          <w:rStyle w:val="11"/>
          <w:rFonts w:hint="eastAsia" w:ascii="仿宋_GB2312" w:hAnsi="仿宋_GB2312" w:eastAsia="仿宋_GB2312" w:cs="仿宋_GB2312"/>
          <w:spacing w:val="-4"/>
          <w:sz w:val="32"/>
          <w:szCs w:val="32"/>
        </w:rPr>
        <w:t>（二）专项管理情况分析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1.项目资金情况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该项目预算资金1305.34万元，实际到位1305.34万元，实际支出1179.75万元。到位足额及时，预算编制依据充分，预算编制准确，资金不存在截留、挪用，支付审批合规、不存在用途改变、范围超支和虚列项目支出等情况；本项目严格按照《皮拉勒乡单位财务管理制度》执行项目资金，实行专账核算、逐级审批。认真落实项目资金的使用各项管理制度，确保专款专用，及时拨付到位。</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2.项目实施情况</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项目组织情况：</w:t>
      </w:r>
      <w:r>
        <w:rPr>
          <w:rStyle w:val="11"/>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项目管理情况：</w:t>
      </w:r>
      <w:r>
        <w:rPr>
          <w:rStyle w:val="11"/>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项目监管情况：</w:t>
      </w:r>
      <w:r>
        <w:rPr>
          <w:rStyle w:val="11"/>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3.项目绩效情况</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成本控制情况：</w:t>
      </w:r>
      <w:r>
        <w:rPr>
          <w:rStyle w:val="11"/>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成本节约情况：</w:t>
      </w:r>
      <w:r>
        <w:rPr>
          <w:rStyle w:val="11"/>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4.项目效率性</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项目实施进度：</w:t>
      </w:r>
      <w:r>
        <w:rPr>
          <w:rStyle w:val="11"/>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项目完成质量：</w:t>
      </w:r>
      <w:r>
        <w:rPr>
          <w:rStyle w:val="11"/>
          <w:rFonts w:hint="eastAsia" w:ascii="仿宋_GB2312" w:hAnsi="仿宋_GB2312" w:eastAsia="仿宋_GB2312" w:cs="仿宋_GB2312"/>
          <w:b w:val="0"/>
          <w:bCs w:val="0"/>
          <w:spacing w:val="-4"/>
          <w:sz w:val="32"/>
          <w:szCs w:val="32"/>
        </w:rPr>
        <w:t>项目严格按照年度预期目标执行，项目完成质量达标。</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5.项目效益性</w:t>
      </w:r>
    </w:p>
    <w:p>
      <w:pPr>
        <w:pStyle w:val="15"/>
        <w:snapToGrid w:val="0"/>
        <w:spacing w:line="540" w:lineRule="exact"/>
        <w:ind w:firstLine="627"/>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预期目标完成程度：</w:t>
      </w:r>
      <w:r>
        <w:rPr>
          <w:rStyle w:val="11"/>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5"/>
        <w:snapToGrid w:val="0"/>
        <w:spacing w:line="540" w:lineRule="exact"/>
        <w:ind w:left="319" w:leftChars="152" w:firstLine="313" w:firstLineChars="1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spacing w:val="-4"/>
          <w:sz w:val="32"/>
          <w:szCs w:val="32"/>
        </w:rPr>
        <w:t>项目实施对效益的影响：</w:t>
      </w:r>
      <w:r>
        <w:rPr>
          <w:rStyle w:val="11"/>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5"/>
        <w:numPr>
          <w:ilvl w:val="0"/>
          <w:numId w:val="5"/>
        </w:numPr>
        <w:snapToGrid w:val="0"/>
        <w:spacing w:line="540" w:lineRule="exact"/>
        <w:ind w:firstLineChars="0"/>
        <w:outlineLvl w:val="0"/>
        <w:rPr>
          <w:rStyle w:val="11"/>
          <w:rFonts w:ascii="仿宋_GB2312" w:hAnsi="仿宋_GB2312" w:eastAsia="仿宋_GB2312" w:cs="仿宋_GB2312"/>
          <w:spacing w:val="-4"/>
          <w:sz w:val="32"/>
          <w:szCs w:val="32"/>
        </w:rPr>
      </w:pPr>
      <w:bookmarkStart w:id="3" w:name="_Toc27846_WPSOffice_Level1"/>
      <w:r>
        <w:rPr>
          <w:rStyle w:val="11"/>
          <w:rFonts w:hint="eastAsia" w:ascii="仿宋_GB2312" w:hAnsi="仿宋_GB2312" w:eastAsia="仿宋_GB2312" w:cs="仿宋_GB2312"/>
          <w:spacing w:val="-4"/>
          <w:sz w:val="32"/>
          <w:szCs w:val="32"/>
        </w:rPr>
        <w:t>资产管理情况</w:t>
      </w:r>
      <w:bookmarkEnd w:id="3"/>
    </w:p>
    <w:p>
      <w:pPr>
        <w:pStyle w:val="15"/>
        <w:tabs>
          <w:tab w:val="left" w:pos="0"/>
        </w:tabs>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（一）资产管理规范性</w:t>
      </w:r>
    </w:p>
    <w:p>
      <w:pPr>
        <w:pStyle w:val="15"/>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sz w:val="32"/>
          <w:szCs w:val="32"/>
          <w:lang w:bidi="ar"/>
        </w:rPr>
        <w:t>我单位2021年资产合计数为18576.462959万元，比上年减少3136.25277万元，主要原因是银行账户项目质保金到期退还，货币资金减少，其中：货币资金978.015868万元，比上年增加192.742566万元；财政应返还额度0万元，比上年相比无变化；房屋40338.08平方米10004.034344万元，比上年增加2914.527771 ；车辆9辆1372415万元，与上年相比无变化；在建工程0万元，与上年持平；办公设备及家具109.73万元，与上年相比无变化。我单位本年无资产处置情况，资产配置合理，使</w:t>
      </w:r>
      <w:r>
        <w:rPr>
          <w:rFonts w:hint="eastAsia" w:ascii="仿宋" w:hAnsi="仿宋" w:eastAsia="仿宋" w:cs="宋体"/>
          <w:bCs/>
          <w:color w:val="000000" w:themeColor="text1"/>
          <w:sz w:val="32"/>
          <w:szCs w:val="32"/>
          <w:lang w:bidi="ar"/>
          <w14:textFill>
            <w14:solidFill>
              <w14:schemeClr w14:val="tx1"/>
            </w14:solidFill>
          </w14:textFill>
        </w:rPr>
        <w:t>用规范，安全完整。</w:t>
      </w:r>
    </w:p>
    <w:p>
      <w:pPr>
        <w:pStyle w:val="15"/>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5"/>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5"/>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5"/>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我单位固定资产18576.462959万元,其中:40338.08平方房屋10004.034344万元，9辆车137.2415万元，144个专用设备57.19万元，5619个办公设备233.92万元。目前正在使用的固定资产总额15440.210189万元，固定资产利用率为83.2%。</w:t>
      </w:r>
    </w:p>
    <w:p>
      <w:pPr>
        <w:pStyle w:val="15"/>
        <w:snapToGrid w:val="0"/>
        <w:spacing w:line="540" w:lineRule="exact"/>
        <w:ind w:firstLine="624"/>
        <w:rPr>
          <w:rStyle w:val="11"/>
          <w:rFonts w:ascii="仿宋" w:hAnsi="仿宋" w:eastAsia="仿宋"/>
          <w:b w:val="0"/>
          <w:bCs w:val="0"/>
          <w:color w:val="000000" w:themeColor="text1"/>
          <w:spacing w:val="-4"/>
          <w:sz w:val="32"/>
          <w:szCs w:val="32"/>
          <w14:textFill>
            <w14:solidFill>
              <w14:schemeClr w14:val="tx1"/>
            </w14:solidFill>
          </w14:textFill>
        </w:rPr>
      </w:pPr>
      <w:r>
        <w:rPr>
          <w:rStyle w:val="11"/>
          <w:rFonts w:hint="eastAsia" w:ascii="仿宋" w:hAnsi="仿宋" w:eastAsia="仿宋"/>
          <w:b w:val="0"/>
          <w:bCs w:val="0"/>
          <w:spacing w:val="-4"/>
          <w:sz w:val="32"/>
          <w:szCs w:val="32"/>
        </w:rPr>
        <w:t>3.</w:t>
      </w:r>
      <w:r>
        <w:rPr>
          <w:rStyle w:val="11"/>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5"/>
        <w:snapToGrid w:val="0"/>
        <w:spacing w:line="540" w:lineRule="exact"/>
        <w:ind w:firstLine="624"/>
        <w:rPr>
          <w:rStyle w:val="11"/>
          <w:rFonts w:ascii="仿宋_GB2312" w:hAnsi="仿宋_GB2312" w:eastAsia="仿宋_GB2312" w:cs="仿宋_GB2312"/>
          <w:spacing w:val="-4"/>
          <w:sz w:val="32"/>
          <w:szCs w:val="32"/>
        </w:rPr>
      </w:pPr>
      <w:r>
        <w:rPr>
          <w:rStyle w:val="11"/>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5"/>
        <w:tabs>
          <w:tab w:val="left" w:pos="0"/>
        </w:tabs>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（二）固定资产利用率</w:t>
      </w:r>
    </w:p>
    <w:p>
      <w:pPr>
        <w:pStyle w:val="15"/>
        <w:tabs>
          <w:tab w:val="left" w:pos="0"/>
        </w:tabs>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截止本年度固定资产账面净值</w:t>
      </w:r>
      <w:r>
        <w:rPr>
          <w:rFonts w:hint="eastAsia" w:ascii="仿宋" w:hAnsi="仿宋" w:eastAsia="仿宋" w:cs="宋体"/>
          <w:bCs/>
          <w:sz w:val="32"/>
          <w:szCs w:val="32"/>
          <w:lang w:bidi="ar"/>
        </w:rPr>
        <w:t>15440.210189</w:t>
      </w:r>
      <w:r>
        <w:rPr>
          <w:rStyle w:val="11"/>
          <w:rFonts w:hint="eastAsia" w:ascii="仿宋_GB2312" w:hAnsi="仿宋_GB2312" w:eastAsia="仿宋_GB2312" w:cs="仿宋_GB2312"/>
          <w:b w:val="0"/>
          <w:bCs w:val="0"/>
          <w:spacing w:val="-4"/>
          <w:sz w:val="32"/>
          <w:szCs w:val="32"/>
        </w:rPr>
        <w:t>万元，年末实际在用固定资产</w:t>
      </w:r>
      <w:r>
        <w:rPr>
          <w:rFonts w:hint="eastAsia" w:ascii="仿宋" w:hAnsi="仿宋" w:eastAsia="仿宋" w:cs="宋体"/>
          <w:bCs/>
          <w:sz w:val="32"/>
          <w:szCs w:val="32"/>
          <w:lang w:bidi="ar"/>
        </w:rPr>
        <w:t>15440.210189</w:t>
      </w:r>
      <w:r>
        <w:rPr>
          <w:rStyle w:val="11"/>
          <w:rFonts w:hint="eastAsia" w:ascii="仿宋_GB2312" w:hAnsi="仿宋_GB2312" w:eastAsia="仿宋_GB2312" w:cs="仿宋_GB2312"/>
          <w:b w:val="0"/>
          <w:bCs w:val="0"/>
          <w:spacing w:val="-4"/>
          <w:sz w:val="32"/>
          <w:szCs w:val="32"/>
        </w:rPr>
        <w:t>万元，固定资产利用率为100%。</w:t>
      </w:r>
    </w:p>
    <w:p>
      <w:pPr>
        <w:pStyle w:val="15"/>
        <w:numPr>
          <w:ilvl w:val="0"/>
          <w:numId w:val="5"/>
        </w:numPr>
        <w:snapToGrid w:val="0"/>
        <w:spacing w:line="540" w:lineRule="exact"/>
        <w:ind w:firstLineChars="0"/>
        <w:outlineLvl w:val="0"/>
        <w:rPr>
          <w:rStyle w:val="11"/>
          <w:rFonts w:ascii="仿宋_GB2312" w:hAnsi="仿宋_GB2312" w:eastAsia="仿宋_GB2312" w:cs="仿宋_GB2312"/>
          <w:spacing w:val="-4"/>
          <w:sz w:val="32"/>
          <w:szCs w:val="32"/>
        </w:rPr>
      </w:pPr>
      <w:bookmarkStart w:id="4" w:name="_Toc13582_WPSOffice_Level1"/>
      <w:r>
        <w:rPr>
          <w:rStyle w:val="11"/>
          <w:rFonts w:hint="eastAsia" w:ascii="仿宋_GB2312" w:hAnsi="仿宋_GB2312" w:eastAsia="仿宋_GB2312" w:cs="仿宋_GB2312"/>
          <w:spacing w:val="-4"/>
          <w:sz w:val="32"/>
          <w:szCs w:val="32"/>
        </w:rPr>
        <w:t>部门单位整体支出绩效情况</w:t>
      </w:r>
      <w:bookmarkEnd w:id="4"/>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部门单位整体支出自评表，共设置一级指标3个，二级指标9个，三级指标24个。</w:t>
      </w:r>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（一）产出指标完成情况分析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1.产出数量</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保障人员人数指标，预期指标是大于等于</w:t>
      </w:r>
      <w:r>
        <w:rPr>
          <w:rFonts w:hint="eastAsia" w:ascii="仿宋" w:hAnsi="仿宋" w:eastAsia="仿宋" w:cs="宋体"/>
          <w:bCs/>
          <w:sz w:val="32"/>
          <w:szCs w:val="32"/>
          <w:lang w:bidi="ar"/>
        </w:rPr>
        <w:t>308</w:t>
      </w:r>
      <w:r>
        <w:rPr>
          <w:rStyle w:val="11"/>
          <w:rFonts w:hint="eastAsia" w:ascii="仿宋_GB2312" w:hAnsi="仿宋_GB2312" w:eastAsia="仿宋_GB2312" w:cs="仿宋_GB2312"/>
          <w:b w:val="0"/>
          <w:bCs w:val="0"/>
          <w:spacing w:val="-4"/>
          <w:sz w:val="32"/>
          <w:szCs w:val="32"/>
        </w:rPr>
        <w:t>人，实际完成值是</w:t>
      </w:r>
      <w:r>
        <w:rPr>
          <w:rFonts w:hint="eastAsia" w:ascii="仿宋" w:hAnsi="仿宋" w:eastAsia="仿宋" w:cs="宋体"/>
          <w:bCs/>
          <w:sz w:val="32"/>
          <w:szCs w:val="32"/>
          <w:lang w:bidi="ar"/>
        </w:rPr>
        <w:t>308</w:t>
      </w:r>
      <w:r>
        <w:rPr>
          <w:rStyle w:val="11"/>
          <w:rFonts w:hint="eastAsia" w:ascii="仿宋_GB2312" w:hAnsi="仿宋_GB2312" w:eastAsia="仿宋_GB2312" w:cs="仿宋_GB2312"/>
          <w:b w:val="0"/>
          <w:bCs w:val="0"/>
          <w:spacing w:val="-4"/>
          <w:sz w:val="32"/>
          <w:szCs w:val="32"/>
        </w:rPr>
        <w:t>人，指标完成率是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保障车辆数指标，预期指标是大于等于</w:t>
      </w:r>
      <w:r>
        <w:rPr>
          <w:rFonts w:hint="eastAsia" w:ascii="仿宋" w:hAnsi="仿宋" w:eastAsia="仿宋" w:cs="宋体"/>
          <w:bCs/>
          <w:sz w:val="32"/>
          <w:szCs w:val="32"/>
          <w:lang w:bidi="ar"/>
        </w:rPr>
        <w:t>3辆</w:t>
      </w:r>
      <w:r>
        <w:rPr>
          <w:rStyle w:val="11"/>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3辆</w:t>
      </w:r>
      <w:r>
        <w:rPr>
          <w:rStyle w:val="11"/>
          <w:rFonts w:hint="eastAsia" w:ascii="仿宋_GB2312" w:hAnsi="仿宋_GB2312" w:eastAsia="仿宋_GB2312" w:cs="仿宋_GB2312"/>
          <w:b w:val="0"/>
          <w:bCs w:val="0"/>
          <w:spacing w:val="-4"/>
          <w:sz w:val="32"/>
          <w:szCs w:val="32"/>
        </w:rPr>
        <w:t>，指标完成率是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执法行动次数指标，预期指标是大于等于20次/年，实际完成值是19次/年，指标完成率是</w:t>
      </w:r>
      <w:r>
        <w:rPr>
          <w:rFonts w:hint="eastAsia" w:ascii="仿宋" w:hAnsi="仿宋" w:eastAsia="仿宋" w:cs="宋体"/>
          <w:bCs/>
          <w:sz w:val="32"/>
          <w:szCs w:val="32"/>
          <w:lang w:bidi="ar"/>
        </w:rPr>
        <w:t>95</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办理案件次数指标，预期指标是大于等于12次/年，实际完成值是12次/年，指标完成率是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保障供暖覆盖面积指标，预期指标是大于等于22727.2712平方米，实际完成值是22727.2712平方米，指标完成率是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政府采购次数指标，预期指标是大于等于8次/年，实际完成值是7次/年，指标完成率是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食材采购次数指标，预期指标是大于等于4次/月，实际完成值是4次/月，指标完成率是</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数量指标共计</w:t>
      </w:r>
      <w:r>
        <w:rPr>
          <w:rFonts w:hint="eastAsia" w:ascii="仿宋" w:hAnsi="仿宋" w:eastAsia="仿宋" w:cs="宋体"/>
          <w:bCs/>
          <w:sz w:val="32"/>
          <w:szCs w:val="32"/>
          <w:lang w:bidi="ar"/>
        </w:rPr>
        <w:t>7</w:t>
      </w:r>
      <w:r>
        <w:rPr>
          <w:rStyle w:val="11"/>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7</w:t>
      </w:r>
      <w:r>
        <w:rPr>
          <w:rStyle w:val="11"/>
          <w:rFonts w:hint="eastAsia" w:ascii="仿宋_GB2312" w:hAnsi="仿宋_GB2312" w:eastAsia="仿宋_GB2312" w:cs="仿宋_GB2312"/>
          <w:b w:val="0"/>
          <w:bCs w:val="0"/>
          <w:spacing w:val="-4"/>
          <w:sz w:val="32"/>
          <w:szCs w:val="32"/>
        </w:rPr>
        <w:t>个，达到预期目标，数量指标完成。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2.产出质量</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资金使用合规率指标，预期指标是等于</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%，实际完成值是100</w:t>
      </w:r>
      <w:r>
        <w:rPr>
          <w:rFonts w:hint="eastAsia" w:ascii="仿宋" w:hAnsi="仿宋" w:eastAsia="仿宋" w:cs="宋体"/>
          <w:bCs/>
          <w:sz w:val="32"/>
          <w:szCs w:val="32"/>
          <w:lang w:bidi="ar"/>
        </w:rPr>
        <w:t xml:space="preserve"> </w:t>
      </w:r>
      <w:r>
        <w:rPr>
          <w:rStyle w:val="11"/>
          <w:rFonts w:hint="eastAsia" w:ascii="仿宋_GB2312" w:hAnsi="仿宋_GB2312" w:eastAsia="仿宋_GB2312" w:cs="仿宋_GB2312"/>
          <w:b w:val="0"/>
          <w:bCs w:val="0"/>
          <w:spacing w:val="-4"/>
          <w:sz w:val="32"/>
          <w:szCs w:val="32"/>
        </w:rPr>
        <w:t>%，指标完成率是100%，达到质量提升及标准。</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案件办结率指标，预期指标是等于</w:t>
      </w:r>
      <w:r>
        <w:rPr>
          <w:rFonts w:hint="eastAsia" w:ascii="仿宋" w:hAnsi="仿宋" w:eastAsia="仿宋" w:cs="宋体"/>
          <w:bCs/>
          <w:sz w:val="32"/>
          <w:szCs w:val="32"/>
          <w:lang w:bidi="ar"/>
        </w:rPr>
        <w:t>100</w:t>
      </w:r>
      <w:r>
        <w:rPr>
          <w:rStyle w:val="11"/>
          <w:rFonts w:hint="eastAsia" w:ascii="仿宋_GB2312" w:hAnsi="仿宋_GB2312" w:eastAsia="仿宋_GB2312" w:cs="仿宋_GB2312"/>
          <w:b w:val="0"/>
          <w:bCs w:val="0"/>
          <w:spacing w:val="-4"/>
          <w:sz w:val="32"/>
          <w:szCs w:val="32"/>
        </w:rPr>
        <w:t>%，实际完成值是100</w:t>
      </w:r>
      <w:r>
        <w:rPr>
          <w:rFonts w:hint="eastAsia" w:ascii="仿宋" w:hAnsi="仿宋" w:eastAsia="仿宋" w:cs="宋体"/>
          <w:bCs/>
          <w:sz w:val="32"/>
          <w:szCs w:val="32"/>
          <w:lang w:bidi="ar"/>
        </w:rPr>
        <w:t xml:space="preserve"> </w:t>
      </w:r>
      <w:r>
        <w:rPr>
          <w:rStyle w:val="11"/>
          <w:rFonts w:hint="eastAsia" w:ascii="仿宋_GB2312" w:hAnsi="仿宋_GB2312" w:eastAsia="仿宋_GB2312" w:cs="仿宋_GB2312"/>
          <w:b w:val="0"/>
          <w:bCs w:val="0"/>
          <w:spacing w:val="-4"/>
          <w:sz w:val="32"/>
          <w:szCs w:val="32"/>
        </w:rPr>
        <w:t>%，指标完成率是100%，达到质量提升及标准。</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保障供暖温度指标，预期指标是等于18℃，实际完成值是16℃，指标完成率是88.8%，达到质量提升及标准。</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购置验收合格率指标，预期指标是等于</w:t>
      </w:r>
      <w:r>
        <w:rPr>
          <w:rFonts w:hint="eastAsia" w:ascii="仿宋" w:hAnsi="仿宋" w:eastAsia="仿宋" w:cs="宋体"/>
          <w:bCs/>
          <w:sz w:val="32"/>
          <w:szCs w:val="32"/>
          <w:lang w:bidi="ar"/>
        </w:rPr>
        <w:t>98</w:t>
      </w:r>
      <w:r>
        <w:rPr>
          <w:rStyle w:val="11"/>
          <w:rFonts w:hint="eastAsia" w:ascii="仿宋_GB2312" w:hAnsi="仿宋_GB2312" w:eastAsia="仿宋_GB2312" w:cs="仿宋_GB2312"/>
          <w:b w:val="0"/>
          <w:bCs w:val="0"/>
          <w:spacing w:val="-4"/>
          <w:sz w:val="32"/>
          <w:szCs w:val="32"/>
        </w:rPr>
        <w:t>%，实际完成值是97</w:t>
      </w:r>
      <w:r>
        <w:rPr>
          <w:rFonts w:hint="eastAsia" w:ascii="仿宋" w:hAnsi="仿宋" w:eastAsia="仿宋" w:cs="宋体"/>
          <w:bCs/>
          <w:sz w:val="32"/>
          <w:szCs w:val="32"/>
          <w:lang w:bidi="ar"/>
        </w:rPr>
        <w:t xml:space="preserve"> </w:t>
      </w:r>
      <w:r>
        <w:rPr>
          <w:rStyle w:val="11"/>
          <w:rFonts w:hint="eastAsia" w:ascii="仿宋_GB2312" w:hAnsi="仿宋_GB2312" w:eastAsia="仿宋_GB2312" w:cs="仿宋_GB2312"/>
          <w:b w:val="0"/>
          <w:bCs w:val="0"/>
          <w:spacing w:val="-4"/>
          <w:sz w:val="32"/>
          <w:szCs w:val="32"/>
        </w:rPr>
        <w:t>%，指标完成率是98.9%，达到质量提升及标准。</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ascii="仿宋_GB2312" w:hAnsi="仿宋_GB2312" w:eastAsia="仿宋_GB2312" w:cs="仿宋_GB2312"/>
          <w:b w:val="0"/>
          <w:bCs w:val="0"/>
          <w:spacing w:val="-4"/>
          <w:sz w:val="32"/>
          <w:szCs w:val="32"/>
        </w:rPr>
        <w:t>购买食材质量合格率</w:t>
      </w:r>
      <w:r>
        <w:rPr>
          <w:rStyle w:val="11"/>
          <w:rFonts w:hint="eastAsia" w:ascii="仿宋_GB2312" w:hAnsi="仿宋_GB2312" w:eastAsia="仿宋_GB2312" w:cs="仿宋_GB2312"/>
          <w:b w:val="0"/>
          <w:bCs w:val="0"/>
          <w:spacing w:val="-4"/>
          <w:sz w:val="32"/>
          <w:szCs w:val="32"/>
        </w:rPr>
        <w:t>指标，预期指标是等于</w:t>
      </w:r>
      <w:r>
        <w:rPr>
          <w:rFonts w:hint="eastAsia" w:ascii="仿宋" w:hAnsi="仿宋" w:eastAsia="仿宋" w:cs="宋体"/>
          <w:bCs/>
          <w:sz w:val="32"/>
          <w:szCs w:val="32"/>
          <w:lang w:bidi="ar"/>
        </w:rPr>
        <w:t>98</w:t>
      </w:r>
      <w:r>
        <w:rPr>
          <w:rStyle w:val="11"/>
          <w:rFonts w:hint="eastAsia" w:ascii="仿宋_GB2312" w:hAnsi="仿宋_GB2312" w:eastAsia="仿宋_GB2312" w:cs="仿宋_GB2312"/>
          <w:b w:val="0"/>
          <w:bCs w:val="0"/>
          <w:spacing w:val="-4"/>
          <w:sz w:val="32"/>
          <w:szCs w:val="32"/>
        </w:rPr>
        <w:t>%，实际完成值是97</w:t>
      </w:r>
      <w:r>
        <w:rPr>
          <w:rFonts w:hint="eastAsia" w:ascii="仿宋" w:hAnsi="仿宋" w:eastAsia="仿宋" w:cs="宋体"/>
          <w:bCs/>
          <w:sz w:val="32"/>
          <w:szCs w:val="32"/>
          <w:lang w:bidi="ar"/>
        </w:rPr>
        <w:t xml:space="preserve"> </w:t>
      </w:r>
      <w:r>
        <w:rPr>
          <w:rStyle w:val="11"/>
          <w:rFonts w:hint="eastAsia" w:ascii="仿宋_GB2312" w:hAnsi="仿宋_GB2312" w:eastAsia="仿宋_GB2312" w:cs="仿宋_GB2312"/>
          <w:b w:val="0"/>
          <w:bCs w:val="0"/>
          <w:spacing w:val="-4"/>
          <w:sz w:val="32"/>
          <w:szCs w:val="32"/>
        </w:rPr>
        <w:t>%，指标完成率是98.9%，达到质量提升及标准。</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质量指标共计5个，完成5个，达到质量提升及标准。质量指标完成。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3.产出进度</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案件办理时限指标，预期指标是等于3月，实际完成值是3月，指标完成率是100%，达到预期目标。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供暖期限指标，预期指标是等于5月，实际完成值是5月，指标完成率是100%，达到预期目标。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完成政府采购时限指标，预期指标是等于12月，实际完成值是12月，指标完成率是100%，达到预期目标。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ascii="仿宋_GB2312" w:hAnsi="仿宋_GB2312" w:eastAsia="仿宋_GB2312" w:cs="仿宋_GB2312"/>
          <w:b w:val="0"/>
          <w:bCs w:val="0"/>
          <w:spacing w:val="-4"/>
          <w:sz w:val="32"/>
          <w:szCs w:val="32"/>
        </w:rPr>
        <w:t>资金拨付及时率</w:t>
      </w:r>
      <w:r>
        <w:rPr>
          <w:rStyle w:val="11"/>
          <w:rFonts w:hint="eastAsia" w:ascii="仿宋_GB2312" w:hAnsi="仿宋_GB2312" w:eastAsia="仿宋_GB2312" w:cs="仿宋_GB2312"/>
          <w:b w:val="0"/>
          <w:bCs w:val="0"/>
          <w:spacing w:val="-4"/>
          <w:sz w:val="32"/>
          <w:szCs w:val="32"/>
        </w:rPr>
        <w:t>指标，预期指标是等于100%月，实际完成值是100%月，指标完成率是100%，达到预期目标。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lang w:bidi="ar"/>
        </w:rPr>
        <w:t>4</w:t>
      </w:r>
      <w:r>
        <w:rPr>
          <w:rStyle w:val="11"/>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4</w:t>
      </w:r>
      <w:r>
        <w:rPr>
          <w:rStyle w:val="11"/>
          <w:rFonts w:hint="eastAsia" w:ascii="仿宋_GB2312" w:hAnsi="仿宋_GB2312" w:eastAsia="仿宋_GB2312" w:cs="仿宋_GB2312"/>
          <w:b w:val="0"/>
          <w:bCs w:val="0"/>
          <w:spacing w:val="-4"/>
          <w:sz w:val="32"/>
          <w:szCs w:val="32"/>
        </w:rPr>
        <w:t>个，达达到预期目标，数量指标完成。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4.产出成本</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经费资金总金额指标，预期指标是小于等于545.45万元，实际完成值是545.45万元，指标完成率是100%，达到成本控制及改善目标。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工资资金总金额指标，预期指标是小于等于6443.49万元，实际完成值是6443.49万元，指标完成率是100%，达到成本控制及改善目标。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补助资金总金额指标，预期指标是小于等于69.5万元，实际完成值是65.12万元，指标完成率是93.7%，达到成本控制及改善目标。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成本指标共计3个，完成3个，达到成本控制及改善目标，成本指标完成。</w:t>
      </w:r>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（二）效益指标完成情况分析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1.项目实施的经济效益分析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无。</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2.项目实施的社会效益分析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提升社会公众服务能力指标，预期指标是有效提升，实际完成值是有效提升，指标完成有效提高，达到单位履职能力对社会带来的影响预期目标。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社会效益指标共计2个，完成2个，达到单位履职能力对社会带来的影响预期目标，社会效益指标完成。</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3.项目实施的生态效益分析</w:t>
      </w:r>
    </w:p>
    <w:p>
      <w:pPr>
        <w:pStyle w:val="15"/>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color w:val="FF0000"/>
          <w:spacing w:val="-4"/>
          <w:sz w:val="32"/>
          <w:szCs w:val="32"/>
        </w:rPr>
        <w:t>无。</w:t>
      </w:r>
    </w:p>
    <w:p>
      <w:pPr>
        <w:pStyle w:val="15"/>
        <w:snapToGrid w:val="0"/>
        <w:spacing w:line="540" w:lineRule="exact"/>
        <w:ind w:firstLine="627"/>
        <w:outlineLvl w:val="2"/>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4.项目实施的可持续影响分析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保障单位日常工作正常开展指标，预期指标是持续保障，实际完成值是持续保障，指标完成减少违法违纪行为有效减少，实现部门绩效长效机制建设，提高工作效率目标。</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（三）满意度指标完成情况分析</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按计划完成项目实施，已做满意度调查抽样问卷，具体如下：</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单位人员满意度指标，预期指标是大于等于95%，实际完成值是95%，指标完成率是95%，达到部门（单位）服务对象对部门履职效果的满意度。</w:t>
      </w:r>
    </w:p>
    <w:p>
      <w:pPr>
        <w:pStyle w:val="15"/>
        <w:snapToGrid w:val="0"/>
        <w:spacing w:line="540" w:lineRule="exact"/>
        <w:ind w:firstLine="624"/>
        <w:rPr>
          <w:rStyle w:val="11"/>
          <w:rFonts w:ascii="仿宋_GB2312" w:hAnsi="仿宋_GB2312" w:eastAsia="仿宋_GB2312" w:cs="仿宋_GB2312"/>
          <w:b w:val="0"/>
          <w:bCs w:val="0"/>
          <w:color w:val="FF0000"/>
          <w:spacing w:val="-4"/>
          <w:sz w:val="32"/>
          <w:szCs w:val="32"/>
        </w:rPr>
      </w:pPr>
      <w:r>
        <w:rPr>
          <w:rStyle w:val="11"/>
          <w:rFonts w:hint="eastAsia" w:ascii="仿宋_GB2312" w:hAnsi="仿宋_GB2312" w:eastAsia="仿宋_GB2312" w:cs="仿宋_GB2312"/>
          <w:b w:val="0"/>
          <w:bCs w:val="0"/>
          <w:spacing w:val="-4"/>
          <w:sz w:val="32"/>
          <w:szCs w:val="32"/>
        </w:rPr>
        <w:t>满意度指标共计1个，完成1个，达到部门（单位）服务对象对部门履职效果的满意度，服务对象满意度指标完成。</w:t>
      </w:r>
    </w:p>
    <w:p>
      <w:pPr>
        <w:pStyle w:val="15"/>
        <w:numPr>
          <w:ilvl w:val="0"/>
          <w:numId w:val="5"/>
        </w:numPr>
        <w:snapToGrid w:val="0"/>
        <w:spacing w:line="540" w:lineRule="exact"/>
        <w:ind w:firstLineChars="0"/>
        <w:outlineLvl w:val="0"/>
        <w:rPr>
          <w:rStyle w:val="11"/>
          <w:rFonts w:ascii="仿宋_GB2312" w:hAnsi="仿宋_GB2312" w:eastAsia="仿宋_GB2312" w:cs="仿宋_GB2312"/>
          <w:spacing w:val="-4"/>
          <w:sz w:val="32"/>
          <w:szCs w:val="32"/>
        </w:rPr>
      </w:pPr>
      <w:bookmarkStart w:id="5" w:name="_Toc22800_WPSOffice_Level1"/>
      <w:r>
        <w:rPr>
          <w:rStyle w:val="11"/>
          <w:rFonts w:hint="eastAsia" w:ascii="仿宋_GB2312" w:hAnsi="仿宋_GB2312" w:eastAsia="仿宋_GB2312" w:cs="仿宋_GB2312"/>
          <w:spacing w:val="-4"/>
          <w:sz w:val="32"/>
          <w:szCs w:val="32"/>
        </w:rPr>
        <w:t>存在的主要问题</w:t>
      </w:r>
      <w:bookmarkEnd w:id="5"/>
    </w:p>
    <w:p>
      <w:pPr>
        <w:snapToGrid w:val="0"/>
        <w:spacing w:line="540" w:lineRule="exact"/>
        <w:ind w:firstLine="624" w:firstLineChars="2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5"/>
        <w:numPr>
          <w:ilvl w:val="0"/>
          <w:numId w:val="5"/>
        </w:numPr>
        <w:snapToGrid w:val="0"/>
        <w:spacing w:line="540" w:lineRule="exact"/>
        <w:ind w:firstLineChars="0"/>
        <w:outlineLvl w:val="0"/>
        <w:rPr>
          <w:rStyle w:val="11"/>
          <w:rFonts w:ascii="仿宋_GB2312" w:hAnsi="仿宋_GB2312" w:eastAsia="仿宋_GB2312" w:cs="仿宋_GB2312"/>
          <w:spacing w:val="-4"/>
          <w:sz w:val="32"/>
          <w:szCs w:val="32"/>
        </w:rPr>
      </w:pPr>
      <w:bookmarkStart w:id="6" w:name="_Toc29546_WPSOffice_Level1"/>
      <w:r>
        <w:rPr>
          <w:rStyle w:val="11"/>
          <w:rFonts w:hint="eastAsia" w:ascii="仿宋_GB2312" w:hAnsi="仿宋_GB2312" w:eastAsia="仿宋_GB2312" w:cs="仿宋_GB2312"/>
          <w:spacing w:val="-4"/>
          <w:sz w:val="32"/>
          <w:szCs w:val="32"/>
        </w:rPr>
        <w:t>改进措施和建议</w:t>
      </w:r>
      <w:bookmarkEnd w:id="6"/>
    </w:p>
    <w:p>
      <w:pPr>
        <w:pStyle w:val="15"/>
        <w:snapToGrid w:val="0"/>
        <w:spacing w:line="540" w:lineRule="exact"/>
        <w:ind w:firstLine="627"/>
        <w:outlineLvl w:val="1"/>
        <w:rPr>
          <w:rStyle w:val="11"/>
          <w:rFonts w:ascii="仿宋_GB2312" w:hAnsi="仿宋_GB2312" w:eastAsia="仿宋_GB2312" w:cs="仿宋_GB2312"/>
          <w:spacing w:val="-4"/>
          <w:sz w:val="32"/>
          <w:szCs w:val="32"/>
        </w:rPr>
      </w:pPr>
      <w:r>
        <w:rPr>
          <w:rStyle w:val="11"/>
          <w:rFonts w:hint="eastAsia" w:ascii="仿宋_GB2312" w:hAnsi="仿宋_GB2312" w:eastAsia="仿宋_GB2312" w:cs="仿宋_GB2312"/>
          <w:spacing w:val="-4"/>
          <w:sz w:val="32"/>
          <w:szCs w:val="32"/>
        </w:rPr>
        <w:t>（一）改进措施</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加大绩效工作宣传力度，强化绩效理念。</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5"/>
        <w:snapToGrid w:val="0"/>
        <w:spacing w:line="540" w:lineRule="exact"/>
        <w:ind w:firstLine="624"/>
        <w:outlineLvl w:val="1"/>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w:t>
      </w:r>
      <w:r>
        <w:rPr>
          <w:rStyle w:val="11"/>
          <w:rFonts w:hint="eastAsia" w:ascii="仿宋_GB2312" w:hAnsi="仿宋_GB2312" w:eastAsia="仿宋_GB2312" w:cs="仿宋_GB2312"/>
          <w:spacing w:val="-4"/>
          <w:sz w:val="32"/>
          <w:szCs w:val="32"/>
        </w:rPr>
        <w:t>二）建议</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5"/>
        <w:snapToGrid w:val="0"/>
        <w:spacing w:line="540" w:lineRule="exact"/>
        <w:ind w:firstLine="624"/>
        <w:rPr>
          <w:rStyle w:val="11"/>
          <w:rFonts w:ascii="仿宋_GB2312" w:hAnsi="仿宋_GB2312" w:eastAsia="仿宋_GB2312" w:cs="仿宋_GB2312"/>
          <w:b w:val="0"/>
          <w:bCs w:val="0"/>
          <w:spacing w:val="-4"/>
          <w:sz w:val="32"/>
          <w:szCs w:val="32"/>
        </w:rPr>
      </w:pPr>
      <w:r>
        <w:rPr>
          <w:rStyle w:val="11"/>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1"/>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粗黑宋简体">
    <w:altName w:val="微软雅黑"/>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AFB3F"/>
    <w:multiLevelType w:val="singleLevel"/>
    <w:tmpl w:val="FB7AFB3F"/>
    <w:lvl w:ilvl="0" w:tentative="0">
      <w:start w:val="2"/>
      <w:numFmt w:val="decimal"/>
      <w:suff w:val="nothing"/>
      <w:lvlText w:val="%1."/>
      <w:lvlJc w:val="left"/>
    </w:lvl>
  </w:abstractNum>
  <w:abstractNum w:abstractNumId="1">
    <w:nsid w:val="1DF83438"/>
    <w:multiLevelType w:val="singleLevel"/>
    <w:tmpl w:val="1DF83438"/>
    <w:lvl w:ilvl="0" w:tentative="0">
      <w:start w:val="2"/>
      <w:numFmt w:val="decimal"/>
      <w:lvlText w:val="%1."/>
      <w:lvlJc w:val="left"/>
      <w:pPr>
        <w:tabs>
          <w:tab w:val="left" w:pos="312"/>
        </w:tabs>
      </w:pPr>
    </w:lvl>
  </w:abstractNum>
  <w:abstractNum w:abstractNumId="2">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abstractNum w:abstractNumId="4">
    <w:nsid w:val="6CFAEE21"/>
    <w:multiLevelType w:val="singleLevel"/>
    <w:tmpl w:val="6CFAEE21"/>
    <w:lvl w:ilvl="0" w:tentative="0">
      <w:start w:val="1"/>
      <w:numFmt w:val="decimal"/>
      <w:suff w:val="nothing"/>
      <w:lvlText w:val="%1．"/>
      <w:lvlJc w:val="left"/>
      <w:pPr>
        <w:ind w:left="0" w:firstLine="400"/>
      </w:pPr>
      <w:rPr>
        <w:rFont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8308D"/>
    <w:rsid w:val="000C1F76"/>
    <w:rsid w:val="000C4E29"/>
    <w:rsid w:val="000D3AFA"/>
    <w:rsid w:val="000E1B81"/>
    <w:rsid w:val="0012092B"/>
    <w:rsid w:val="00141421"/>
    <w:rsid w:val="00191BA3"/>
    <w:rsid w:val="001C1E1D"/>
    <w:rsid w:val="001E750D"/>
    <w:rsid w:val="0022744B"/>
    <w:rsid w:val="0023018C"/>
    <w:rsid w:val="00234372"/>
    <w:rsid w:val="00292A50"/>
    <w:rsid w:val="002939FF"/>
    <w:rsid w:val="002F7CCD"/>
    <w:rsid w:val="003C20A7"/>
    <w:rsid w:val="003F0DB2"/>
    <w:rsid w:val="00424A01"/>
    <w:rsid w:val="00484BBB"/>
    <w:rsid w:val="00491D09"/>
    <w:rsid w:val="004E1483"/>
    <w:rsid w:val="00521478"/>
    <w:rsid w:val="0054132C"/>
    <w:rsid w:val="005B1250"/>
    <w:rsid w:val="005C63E7"/>
    <w:rsid w:val="005E52B5"/>
    <w:rsid w:val="005E6341"/>
    <w:rsid w:val="006258B7"/>
    <w:rsid w:val="00633862"/>
    <w:rsid w:val="00644893"/>
    <w:rsid w:val="006B4CDA"/>
    <w:rsid w:val="006C5BED"/>
    <w:rsid w:val="006C5D3A"/>
    <w:rsid w:val="006D4FCD"/>
    <w:rsid w:val="006F7865"/>
    <w:rsid w:val="00702D4A"/>
    <w:rsid w:val="007115C8"/>
    <w:rsid w:val="00720FBA"/>
    <w:rsid w:val="00722C79"/>
    <w:rsid w:val="00724F4D"/>
    <w:rsid w:val="007B2AB9"/>
    <w:rsid w:val="007E7E99"/>
    <w:rsid w:val="007F724A"/>
    <w:rsid w:val="00825D99"/>
    <w:rsid w:val="0089387B"/>
    <w:rsid w:val="008E7E52"/>
    <w:rsid w:val="009304D8"/>
    <w:rsid w:val="0093778D"/>
    <w:rsid w:val="0097614B"/>
    <w:rsid w:val="0099431C"/>
    <w:rsid w:val="009A4BB6"/>
    <w:rsid w:val="009F5A38"/>
    <w:rsid w:val="00A000A6"/>
    <w:rsid w:val="00AA5126"/>
    <w:rsid w:val="00AD16CD"/>
    <w:rsid w:val="00B242B8"/>
    <w:rsid w:val="00B5590F"/>
    <w:rsid w:val="00B86B60"/>
    <w:rsid w:val="00B94DFF"/>
    <w:rsid w:val="00BA13C5"/>
    <w:rsid w:val="00BD6847"/>
    <w:rsid w:val="00BD7AB3"/>
    <w:rsid w:val="00BF62C2"/>
    <w:rsid w:val="00C13635"/>
    <w:rsid w:val="00C77007"/>
    <w:rsid w:val="00CD2F35"/>
    <w:rsid w:val="00CD3C12"/>
    <w:rsid w:val="00CD5A03"/>
    <w:rsid w:val="00CE76FB"/>
    <w:rsid w:val="00CF3363"/>
    <w:rsid w:val="00D65F02"/>
    <w:rsid w:val="00D82401"/>
    <w:rsid w:val="00D9126A"/>
    <w:rsid w:val="00D93262"/>
    <w:rsid w:val="00DB1085"/>
    <w:rsid w:val="00E84EDC"/>
    <w:rsid w:val="00EB1FFE"/>
    <w:rsid w:val="00EE6157"/>
    <w:rsid w:val="00F212B6"/>
    <w:rsid w:val="00F326C7"/>
    <w:rsid w:val="00F84215"/>
    <w:rsid w:val="00FC22C4"/>
    <w:rsid w:val="00FF2ACD"/>
    <w:rsid w:val="012008EE"/>
    <w:rsid w:val="01CC583F"/>
    <w:rsid w:val="026F3386"/>
    <w:rsid w:val="04FF0482"/>
    <w:rsid w:val="05062887"/>
    <w:rsid w:val="054E1D3A"/>
    <w:rsid w:val="05F70F85"/>
    <w:rsid w:val="084208C4"/>
    <w:rsid w:val="098A3C0A"/>
    <w:rsid w:val="0A9A7091"/>
    <w:rsid w:val="10FE60D7"/>
    <w:rsid w:val="13545D39"/>
    <w:rsid w:val="175D58E3"/>
    <w:rsid w:val="18061B60"/>
    <w:rsid w:val="190C3DF8"/>
    <w:rsid w:val="19F83E30"/>
    <w:rsid w:val="1B403139"/>
    <w:rsid w:val="1C6D319F"/>
    <w:rsid w:val="1D4D74D6"/>
    <w:rsid w:val="1DE32CFD"/>
    <w:rsid w:val="1F1A602A"/>
    <w:rsid w:val="1F2854B6"/>
    <w:rsid w:val="21C768CD"/>
    <w:rsid w:val="21EC252C"/>
    <w:rsid w:val="22E14253"/>
    <w:rsid w:val="23F209A3"/>
    <w:rsid w:val="2403516E"/>
    <w:rsid w:val="252437BD"/>
    <w:rsid w:val="256A2A9E"/>
    <w:rsid w:val="2805537E"/>
    <w:rsid w:val="289437EE"/>
    <w:rsid w:val="2EBF757D"/>
    <w:rsid w:val="31B83F5F"/>
    <w:rsid w:val="328E2AB6"/>
    <w:rsid w:val="329B12EA"/>
    <w:rsid w:val="33A83F87"/>
    <w:rsid w:val="355C2B3F"/>
    <w:rsid w:val="35F12468"/>
    <w:rsid w:val="36851B5C"/>
    <w:rsid w:val="37D360CA"/>
    <w:rsid w:val="38A1471B"/>
    <w:rsid w:val="38CB5066"/>
    <w:rsid w:val="3F301058"/>
    <w:rsid w:val="3FB672B0"/>
    <w:rsid w:val="417A34F9"/>
    <w:rsid w:val="418810F4"/>
    <w:rsid w:val="41A37673"/>
    <w:rsid w:val="42C30950"/>
    <w:rsid w:val="45A65C7F"/>
    <w:rsid w:val="468C2A4A"/>
    <w:rsid w:val="46AD2493"/>
    <w:rsid w:val="46EC7F14"/>
    <w:rsid w:val="48AF4C7F"/>
    <w:rsid w:val="4A81677A"/>
    <w:rsid w:val="4DA177B2"/>
    <w:rsid w:val="4DF36D4F"/>
    <w:rsid w:val="501B7C76"/>
    <w:rsid w:val="504D5CCF"/>
    <w:rsid w:val="5149389A"/>
    <w:rsid w:val="533A7469"/>
    <w:rsid w:val="53526129"/>
    <w:rsid w:val="545729B8"/>
    <w:rsid w:val="5507618C"/>
    <w:rsid w:val="565F61A9"/>
    <w:rsid w:val="57232FC4"/>
    <w:rsid w:val="572D2326"/>
    <w:rsid w:val="57365691"/>
    <w:rsid w:val="59EE1E48"/>
    <w:rsid w:val="5A490F5C"/>
    <w:rsid w:val="5BD21464"/>
    <w:rsid w:val="5BDE2B83"/>
    <w:rsid w:val="5D2E708B"/>
    <w:rsid w:val="61635F72"/>
    <w:rsid w:val="618606C5"/>
    <w:rsid w:val="63E114D3"/>
    <w:rsid w:val="6AD46D46"/>
    <w:rsid w:val="6B2C02A3"/>
    <w:rsid w:val="6DE07909"/>
    <w:rsid w:val="6E58438A"/>
    <w:rsid w:val="6E9D5508"/>
    <w:rsid w:val="71EB22B3"/>
    <w:rsid w:val="72010FA6"/>
    <w:rsid w:val="748A4F72"/>
    <w:rsid w:val="75113FBC"/>
    <w:rsid w:val="75664078"/>
    <w:rsid w:val="761E4132"/>
    <w:rsid w:val="78061A79"/>
    <w:rsid w:val="78933F38"/>
    <w:rsid w:val="7BC003CA"/>
    <w:rsid w:val="7CAD12B9"/>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unhideWhenUsed/>
    <w:qFormat/>
    <w:uiPriority w:val="99"/>
    <w:pPr>
      <w:jc w:val="left"/>
    </w:pPr>
  </w:style>
  <w:style w:type="paragraph" w:styleId="6">
    <w:name w:val="Body Text"/>
    <w:basedOn w:val="1"/>
    <w:qFormat/>
    <w:uiPriority w:val="0"/>
    <w:pPr>
      <w:spacing w:before="240" w:after="240" w:line="360" w:lineRule="auto"/>
      <w:jc w:val="center"/>
    </w:pPr>
    <w:rPr>
      <w:b/>
      <w:sz w:val="44"/>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sz w:val="24"/>
    </w:rPr>
  </w:style>
  <w:style w:type="character" w:styleId="11">
    <w:name w:val="Strong"/>
    <w:basedOn w:val="10"/>
    <w:qFormat/>
    <w:uiPriority w:val="0"/>
    <w:rPr>
      <w:b/>
      <w:bCs/>
    </w:rPr>
  </w:style>
  <w:style w:type="character" w:styleId="12">
    <w:name w:val="annotation reference"/>
    <w:basedOn w:val="10"/>
    <w:semiHidden/>
    <w:unhideWhenUsed/>
    <w:qFormat/>
    <w:uiPriority w:val="99"/>
    <w:rPr>
      <w:sz w:val="21"/>
      <w:szCs w:val="21"/>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列表段落1"/>
    <w:basedOn w:val="1"/>
    <w:unhideWhenUsed/>
    <w:qFormat/>
    <w:uiPriority w:val="99"/>
    <w:pPr>
      <w:ind w:firstLine="420" w:firstLineChars="200"/>
    </w:pPr>
  </w:style>
  <w:style w:type="character" w:customStyle="1" w:styleId="16">
    <w:name w:val="页脚 字符"/>
    <w:basedOn w:val="10"/>
    <w:link w:val="7"/>
    <w:qFormat/>
    <w:uiPriority w:val="99"/>
    <w:rPr>
      <w:sz w:val="18"/>
      <w:szCs w:val="18"/>
    </w:rPr>
  </w:style>
  <w:style w:type="character" w:customStyle="1" w:styleId="17">
    <w:name w:val="页眉 字符"/>
    <w:basedOn w:val="10"/>
    <w:link w:val="8"/>
    <w:qFormat/>
    <w:uiPriority w:val="99"/>
    <w:rPr>
      <w:sz w:val="18"/>
      <w:szCs w:val="18"/>
    </w:rPr>
  </w:style>
  <w:style w:type="paragraph" w:customStyle="1" w:styleId="18">
    <w:name w:val="WPSOffice手动目录 1"/>
    <w:qFormat/>
    <w:uiPriority w:val="0"/>
    <w:rPr>
      <w:rFonts w:asciiTheme="minorHAnsi" w:hAnsiTheme="minorHAnsi" w:eastAsiaTheme="minorEastAsia" w:cstheme="minorBidi"/>
      <w:lang w:val="en-US" w:eastAsia="zh-CN" w:bidi="ar-SA"/>
    </w:rPr>
  </w:style>
  <w:style w:type="paragraph" w:customStyle="1" w:styleId="19">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17</Pages>
  <Words>1285</Words>
  <Characters>7331</Characters>
  <Lines>61</Lines>
  <Paragraphs>17</Paragraphs>
  <TotalTime>0</TotalTime>
  <ScaleCrop>false</ScaleCrop>
  <LinksUpToDate>false</LinksUpToDate>
  <CharactersWithSpaces>8599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2025-01-21T08:56:47Z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