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lang w:val="en-US" w:eastAsia="zh-CN"/>
        </w:rPr>
        <w:t>科学技术协会</w:t>
      </w:r>
      <w:r>
        <w:rPr>
          <w:rFonts w:hint="eastAsia" w:ascii="方正小标宋简体" w:hAnsi="方正小标宋简体" w:eastAsia="方正小标宋简体" w:cs="方正小标宋简体"/>
          <w:b/>
          <w:kern w:val="0"/>
          <w:sz w:val="44"/>
          <w:szCs w:val="44"/>
          <w:highlight w:val="none"/>
        </w:rPr>
        <w:t>部门单位</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阿克陶县科学技术协会</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03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22</w:t>
      </w:r>
      <w:r>
        <w:rPr>
          <w:rFonts w:hint="eastAsia" w:ascii="仿宋_GB2312" w:hAnsi="仿宋_GB2312" w:eastAsia="仿宋_GB2312" w:cs="仿宋_GB2312"/>
          <w:kern w:val="0"/>
          <w:sz w:val="32"/>
          <w:szCs w:val="32"/>
          <w:highlight w:val="none"/>
        </w:rPr>
        <w:t>日</w:t>
      </w:r>
    </w:p>
    <w:p>
      <w:pPr>
        <w:pStyle w:val="2"/>
        <w:rPr>
          <w:rFonts w:hint="default"/>
          <w:lang w:val="en-US" w:eastAsia="zh-CN"/>
        </w:rPr>
      </w:pPr>
    </w:p>
    <w:p>
      <w:pPr>
        <w:rPr>
          <w:rFonts w:hint="default"/>
          <w:lang w:val="en-US" w:eastAsia="zh-CN"/>
        </w:rPr>
      </w:pP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r>
        <w:rPr>
          <w:rFonts w:hint="eastAsia" w:ascii="仿宋_GB2312" w:hAnsi="仿宋_GB2312" w:eastAsia="仿宋_GB2312" w:cs="仿宋_GB2312"/>
          <w:b/>
          <w:bCs w:val="0"/>
          <w:color w:val="333333"/>
          <w:sz w:val="32"/>
          <w:szCs w:val="32"/>
          <w:highlight w:val="none"/>
          <w:lang w:bidi="ar"/>
        </w:rPr>
        <w:t>基本概况</w:t>
      </w:r>
      <w:bookmarkEnd w:id="0"/>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bidi="ar"/>
        </w:rPr>
        <w:t>（一）单位基本情况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1.部门主要职能</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1、依照《中华人民共和国科学技术普及法》，弘扬科学精神，普及科学知识，传播科学思想和科学方法。捍卫科学尊严，推广先进技术，开展青少年科学技术教育活动，提高全民科学素质。</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2、全力实施《全民科学素质行动计划刚要》，弘扬科学精神，普及科学知识，传播科学思想，倡导科学方法，努力提升全民科学素质，为县域经济发展服务。</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3、开展学术交流，繁荣学术活动，加大科普力度、培养科技人才，推动科技进步，促进科学发展和科技创新。</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4、拟定全县科协系统科普工作者的具体规划，并组织实施。动员社会各方面的力量，开展科普活动和青少年科技教育活动，推广先进技术；指导科技馆（所）、科普画廊、科技培训学校等科普设施、场所的规划、建设和管理；指导科普工作队伍建设。</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5、全心全意为科技工作者服务，反映科技工作者的意见和要求，维护科技工作者的合法权益。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6、引导科技工作者在管理国家和社会事务中发挥作用，组织科技工作者参与科技政策、法规的制定和政治协商、科学决策、民主监督工作，促进决策科学化、民主化。</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7、表彰、宣传优秀科技工作者，举荐人才；开展科技工作者的继续教育和培训工作。</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8、开展科学论证、科技咨询服务，提出政策建议，促进科技成果转化。</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9、负责对所属学会、科技类社会团体进行监督管理；对下级科协进行业务指导。</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10、负责群众性反邪教工作，开展捍卫科学尊严和反对愚昧迷信、伪科学、反科学活动。</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11、完成县委、县政府交办的其他工作任务。</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2.部门机构设置及人员构成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阿克陶县科学技术协会无下属预算单位，下设4个处室，分别少数民族科普工作队、科普办公室、办公室、全民科学素质办公室。</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人员情况，阿克陶县科学技术协会编制数7人，其中：事业编制7人，实有人数7人，无变化；退休2人，离休 0 人，无变化。</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3.年度重点工作</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一、坚决落实维稳主体责任。坚定不移贯彻落实党中央治疆方略，坚持把总目标扛在肩上、抓在手上、落实到行动上，坚决配合打好反恐维稳“组合拳”，扎实开展“访惠聚”和“民族团结一家亲”活动，持续深化发声亮剑，着力推进发声亮剑常态化长效化，牢牢掌握意识形态工作主动权。加强安全保卫和安全生产，确保实现“三不出”。</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二、深入开展科学普及“去极端化”工作。认真贯彻落实《新疆维吾尔自治区去极端化条例》，充分发挥科协优势，聚焦基层一线、深入县乡村和重点人群当中深入开展科学普及、科技培训、科技咨询等活动，引导各族群众树立科学、健康、文明的生产生活方式，远离愚昧，远离非法宗教。</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三、深入实施“凝心聚力行动”。把为科技工作者服务作为科协组织的重要职责，坚持深入实际、深入基层、深入群众，与科技工作者面对面、手拉手、心贴心交流，不断密切与科技工作者的思想沟通、情感交流和工作联系，广泛建家交友，竭诚为科技工作者提供优质、高效服务，在服务中增进情谊、在服务中体现价值、在服务中拓展事业，切实担负起引导广大科技工作者听党话、跟党走的政治任务，激发科技工作者的爱国之情、报国之志，打造科技工作者的精神家园。</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四、密切与科技工作者的联系。开展科技工作者状况调查，及时了解科技工作者的思想状况，反映他们的呼声，维护他们的合法权益。开展“全国科技工作者日”系列活动，健全完善科协领导联系科技工作者的制度，进一步密切与基层一线科技工作者的联系。</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五、弘扬新时代科学家精神。高扬爱国奋斗主旋律，大力弘扬“爱国、创新、求实、协同、人梯”的中国科学家精神，重点宣传乡村基层一线科技人物扎根基层、开展技术创新、科学普及的先进事迹，进一步激发各族科技工作者的创新报国激情与活力。加强对外宣传合作，提升科协工作的传播力和影响力。</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六、做好科技辅导员专业职称评审宣传工作。县科协要积极做好科技辅导员专业职称评审宣传工作，把阿克陶县更多符合条件的科普工作人员推荐到自治州、自治区科协的评审当中。积极组织人员参加上级科协举办的科技辅导员的培训，打造一支不断适应新形势新任务，符合新时代要求的科普队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七、繁荣学术交流。认真贯彻落实《国务院办公厅关于优化学术环境的指导意见》及自治区贯彻落实实施意见，积极引导教育、医疗、税务、气象、农林牧等涉科部门认真开展学术交流活动，营造浓厚学术氛围，更好地调动广大科技工作者的积极性，深入实施创新驱动发展战略，推动大众创业万众创新。</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八、深入实施“科普惠民行动”。认真落实全民科学素质行动计划纲要。把提高全民科学素质摆在更加突出的位置抓紧抓实，“发挥科协综合协调作用，动员督促各县、各成员单位按照全民科学素质指标任务分解，认真落实职责分工，共同推动《纲要》落地，着力推动科普能力的不断增强，促进各族群众科学素质的不断提高，确保完成“十三五”确定的我县公民具备科学素质水平达到6％目标。持续推进科普信息化建设，广泛开展科普宣传活动。全力抓好青少年科技教育工作。落实好“精准扶贫专家服务行动"项目。</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（二）决策过程</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我单位决策机制根据行政事业单位内部控制体系建设相关要求，我单位实施“三重一大”事项集体决策制度，坚持全面贯彻落实中央八项规定、县党政部门相关要求，以科学决策、民主决策为目的，以落实党的民主集中制为原则，提高认识，明确责任，完善机制，推动落实。我单位党支部书记、科协主席杨彦琴是领导班子实施“三重一大”事项集体决策制度的第一责任人，负有直接领导责任、决定集体研究决策方案，并分别主持召开党组等会议，按要求把握好集体决策的程序。</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（三）项目资金分配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1）基本支出根据阿克陶县财政局进行预算编制，并根据财政部门预算批复、预期绩效目标进行相应分配；由财政部门按照进度每月期拨付，人员支出按照工资计划发放工资；资金支出时按照我单位内控体系中设定的流程进行申报审批。</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（2）预算批复的项目支出属于政府采购的，严格按照《中华人民共和国政府采购法》、自治区财政部门印发的《地方预算单位政府集中采购目录及标准指引（2021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年版））》规定及本单位内控制度，组织人员制定并申报采购计划，按批复采购方式进行；属于非政府采购的项目，按照“三重一大”制度规定重大项目支出上党支部会议研究决定。</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3.本年度本单位预算安排的重点项目0个，预算安排的重点项目支出金额为0万元，部门项目总支出金额为0万元，则重点项目支出占项目总支出的比率为0%。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2.分配结果</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val="0"/>
          <w:color w:val="333333"/>
          <w:sz w:val="32"/>
          <w:szCs w:val="32"/>
          <w:highlight w:val="none"/>
          <w:lang w:val="en-US" w:eastAsia="zh-Hans" w:bidi="ar"/>
        </w:rPr>
      </w:pPr>
      <w:r>
        <w:rPr>
          <w:rStyle w:val="12"/>
          <w:rFonts w:hint="eastAsia" w:ascii="仿宋_GB2312" w:hAnsi="仿宋_GB2312" w:eastAsia="仿宋_GB2312" w:cs="仿宋_GB2312"/>
          <w:b w:val="0"/>
          <w:color w:val="333333"/>
          <w:sz w:val="32"/>
          <w:szCs w:val="32"/>
          <w:highlight w:val="none"/>
          <w:lang w:val="en-US" w:eastAsia="zh-Hans" w:bidi="ar"/>
        </w:rPr>
        <w:t>2021年我单位年度主要任务有</w:t>
      </w:r>
      <w:r>
        <w:rPr>
          <w:rStyle w:val="12"/>
          <w:rFonts w:hint="eastAsia" w:ascii="仿宋_GB2312" w:hAnsi="仿宋_GB2312" w:eastAsia="仿宋_GB2312" w:cs="仿宋_GB2312"/>
          <w:b w:val="0"/>
          <w:color w:val="333333"/>
          <w:sz w:val="32"/>
          <w:szCs w:val="32"/>
          <w:highlight w:val="none"/>
          <w:lang w:val="en-US" w:eastAsia="zh-CN" w:bidi="ar"/>
        </w:rPr>
        <w:t>两</w:t>
      </w:r>
      <w:r>
        <w:rPr>
          <w:rStyle w:val="12"/>
          <w:rFonts w:hint="eastAsia" w:ascii="仿宋_GB2312" w:hAnsi="仿宋_GB2312" w:eastAsia="仿宋_GB2312" w:cs="仿宋_GB2312"/>
          <w:b w:val="0"/>
          <w:color w:val="333333"/>
          <w:sz w:val="32"/>
          <w:szCs w:val="32"/>
          <w:highlight w:val="none"/>
          <w:lang w:val="en-US" w:eastAsia="zh-Hans" w:bidi="ar"/>
        </w:rPr>
        <w:t>个，人员经费、公用经费支出预算金额合计</w:t>
      </w:r>
      <w:r>
        <w:rPr>
          <w:rStyle w:val="12"/>
          <w:rFonts w:hint="eastAsia" w:ascii="仿宋_GB2312" w:hAnsi="仿宋_GB2312" w:eastAsia="仿宋_GB2312" w:cs="仿宋_GB2312"/>
          <w:b w:val="0"/>
          <w:color w:val="333333"/>
          <w:sz w:val="32"/>
          <w:szCs w:val="32"/>
          <w:highlight w:val="none"/>
          <w:lang w:val="en-US" w:eastAsia="zh-CN" w:bidi="ar"/>
        </w:rPr>
        <w:t>121.04</w:t>
      </w:r>
      <w:r>
        <w:rPr>
          <w:rStyle w:val="12"/>
          <w:rFonts w:hint="eastAsia" w:ascii="仿宋_GB2312" w:hAnsi="仿宋_GB2312" w:eastAsia="仿宋_GB2312" w:cs="仿宋_GB2312"/>
          <w:b w:val="0"/>
          <w:color w:val="333333"/>
          <w:sz w:val="32"/>
          <w:szCs w:val="32"/>
          <w:highlight w:val="none"/>
          <w:lang w:val="en-US" w:eastAsia="zh-Hans" w:bidi="ar"/>
        </w:rPr>
        <w:t>万元，年度绩效指标二级指标7个、三级指标1</w:t>
      </w:r>
      <w:r>
        <w:rPr>
          <w:rStyle w:val="12"/>
          <w:rFonts w:hint="eastAsia" w:ascii="仿宋_GB2312" w:hAnsi="仿宋_GB2312" w:eastAsia="仿宋_GB2312" w:cs="仿宋_GB2312"/>
          <w:b w:val="0"/>
          <w:color w:val="333333"/>
          <w:sz w:val="32"/>
          <w:szCs w:val="32"/>
          <w:highlight w:val="none"/>
          <w:lang w:val="en-US" w:eastAsia="zh-CN" w:bidi="ar"/>
        </w:rPr>
        <w:t>2</w:t>
      </w:r>
      <w:r>
        <w:rPr>
          <w:rStyle w:val="12"/>
          <w:rFonts w:hint="eastAsia" w:ascii="仿宋_GB2312" w:hAnsi="仿宋_GB2312" w:eastAsia="仿宋_GB2312" w:cs="仿宋_GB2312"/>
          <w:b w:val="0"/>
          <w:color w:val="333333"/>
          <w:sz w:val="32"/>
          <w:szCs w:val="32"/>
          <w:highlight w:val="none"/>
          <w:lang w:val="en-US" w:eastAsia="zh-Hans" w:bidi="ar"/>
        </w:rPr>
        <w:t>个，分配的所有指标明细与绩效目标的一致，分配结果达到了预期指标，有效保障了人大机关日常工作需要，提高了提高在职干部工作热情以及受益职工满意度达到9</w:t>
      </w:r>
      <w:r>
        <w:rPr>
          <w:rStyle w:val="12"/>
          <w:rFonts w:hint="eastAsia" w:ascii="仿宋_GB2312" w:hAnsi="仿宋_GB2312" w:eastAsia="仿宋_GB2312" w:cs="仿宋_GB2312"/>
          <w:b w:val="0"/>
          <w:color w:val="333333"/>
          <w:sz w:val="32"/>
          <w:szCs w:val="32"/>
          <w:highlight w:val="none"/>
          <w:lang w:val="en-US" w:eastAsia="zh-CN" w:bidi="ar"/>
        </w:rPr>
        <w:t>5</w:t>
      </w:r>
      <w:r>
        <w:rPr>
          <w:rStyle w:val="12"/>
          <w:rFonts w:hint="eastAsia" w:ascii="仿宋_GB2312" w:hAnsi="仿宋_GB2312" w:eastAsia="仿宋_GB2312" w:cs="仿宋_GB2312"/>
          <w:b w:val="0"/>
          <w:color w:val="333333"/>
          <w:sz w:val="32"/>
          <w:szCs w:val="32"/>
          <w:highlight w:val="none"/>
          <w:lang w:val="en-US" w:eastAsia="zh-Hans"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3.重点支出保障率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我单位本年主要实施0个重点项目，履行了保障单位大厅及开标设备实施正常开展等主要职责。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本年度预算安排的重点项目支出0万元，项目总支出0万元，重点支出保障率为0%。</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（1）年初预算执行情况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我单位年初预算数为121.04万元，实际预算执行数120.90万元，预算执行率为99.88%。</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（2）全年预算执行情况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全年预算数为194.34万元，全年实际支出资金151.23万元，预算执行率为77.82%。</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2.预算调整情况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default" w:ascii="仿宋_GB2312" w:hAnsi="仿宋_GB2312" w:eastAsia="仿宋_GB2312" w:cs="仿宋_GB2312"/>
          <w:b w:val="0"/>
          <w:color w:val="FF0000"/>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我单位年初批复预算数121.04万元，年中调整数73.3万元，调整后全年预算数194.34万元，预算调整率60.56%。</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default"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default"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auto"/>
          <w:sz w:val="32"/>
          <w:szCs w:val="32"/>
          <w:highlight w:val="none"/>
          <w:lang w:val="en-US" w:eastAsia="zh-CN" w:bidi="ar"/>
        </w:rPr>
      </w:pPr>
      <w:r>
        <w:rPr>
          <w:rStyle w:val="12"/>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1.评价使用方法</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val="0"/>
          <w:color w:val="auto"/>
          <w:sz w:val="32"/>
          <w:szCs w:val="32"/>
          <w:lang w:val="en-US" w:eastAsia="zh-CN" w:bidi="ar"/>
        </w:rPr>
      </w:pPr>
      <w:bookmarkStart w:id="1" w:name="_Hlk49856735"/>
      <w:r>
        <w:rPr>
          <w:rStyle w:val="12"/>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是调查法。通过对干部职工、党员代表的谈话，并对调查结果进行统计和分析评定项目实施效果。</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default"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auto"/>
          <w:sz w:val="32"/>
          <w:szCs w:val="32"/>
          <w:lang w:val="en-US" w:eastAsia="zh-CN" w:bidi="ar"/>
        </w:rPr>
      </w:pPr>
      <w:r>
        <w:rPr>
          <w:rStyle w:val="12"/>
          <w:rFonts w:hint="eastAsia" w:ascii="仿宋_GB2312" w:hAnsi="仿宋_GB2312" w:eastAsia="仿宋_GB2312" w:cs="仿宋_GB2312"/>
          <w:b w:val="0"/>
          <w:color w:val="333333"/>
          <w:sz w:val="32"/>
          <w:szCs w:val="32"/>
          <w:lang w:val="en-US" w:eastAsia="zh-CN" w:bidi="ar"/>
        </w:rPr>
        <w:t>评价的对象及主要内容为:</w:t>
      </w:r>
      <w:r>
        <w:rPr>
          <w:rStyle w:val="12"/>
          <w:rFonts w:hint="eastAsia" w:ascii="仿宋_GB2312" w:hAnsi="仿宋_GB2312" w:eastAsia="仿宋_GB2312" w:cs="仿宋_GB2312"/>
          <w:b/>
          <w:bCs w:val="0"/>
          <w:color w:val="333333"/>
          <w:sz w:val="32"/>
          <w:szCs w:val="32"/>
          <w:highlight w:val="none"/>
          <w:lang w:val="en-US" w:eastAsia="zh-CN" w:bidi="ar"/>
        </w:rPr>
        <w:t>一是</w:t>
      </w:r>
      <w:r>
        <w:rPr>
          <w:rStyle w:val="12"/>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2"/>
          <w:rFonts w:hint="eastAsia" w:ascii="仿宋_GB2312" w:hAnsi="仿宋_GB2312" w:eastAsia="仿宋_GB2312" w:cs="仿宋_GB2312"/>
          <w:b/>
          <w:bCs w:val="0"/>
          <w:color w:val="333333"/>
          <w:sz w:val="32"/>
          <w:szCs w:val="32"/>
          <w:highlight w:val="none"/>
          <w:lang w:val="en-US" w:eastAsia="zh-CN" w:bidi="ar"/>
        </w:rPr>
        <w:t>二是</w:t>
      </w:r>
      <w:r>
        <w:rPr>
          <w:rStyle w:val="12"/>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2"/>
          <w:rFonts w:hint="eastAsia" w:ascii="仿宋_GB2312" w:hAnsi="仿宋_GB2312" w:eastAsia="仿宋_GB2312" w:cs="仿宋_GB2312"/>
          <w:b/>
          <w:bCs w:val="0"/>
          <w:color w:val="333333"/>
          <w:sz w:val="32"/>
          <w:szCs w:val="32"/>
          <w:highlight w:val="none"/>
          <w:lang w:val="en-US" w:eastAsia="zh-CN" w:bidi="ar"/>
        </w:rPr>
        <w:t>三是</w:t>
      </w:r>
      <w:r>
        <w:rPr>
          <w:rStyle w:val="12"/>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2"/>
          <w:rFonts w:hint="eastAsia" w:ascii="仿宋_GB2312" w:hAnsi="仿宋_GB2312" w:eastAsia="仿宋_GB2312" w:cs="仿宋_GB2312"/>
          <w:b/>
          <w:bCs w:val="0"/>
          <w:color w:val="333333"/>
          <w:sz w:val="32"/>
          <w:szCs w:val="32"/>
          <w:highlight w:val="none"/>
          <w:lang w:val="en-US" w:eastAsia="zh-CN" w:bidi="ar"/>
        </w:rPr>
        <w:t>四是</w:t>
      </w:r>
      <w:r>
        <w:rPr>
          <w:rStyle w:val="12"/>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2"/>
          <w:rFonts w:hint="eastAsia" w:ascii="仿宋_GB2312" w:hAnsi="仿宋_GB2312" w:eastAsia="仿宋_GB2312" w:cs="仿宋_GB2312"/>
          <w:b w:val="0"/>
          <w:color w:val="333333"/>
          <w:sz w:val="32"/>
          <w:szCs w:val="32"/>
          <w:lang w:val="en-US" w:eastAsia="zh-CN"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color w:val="333333"/>
          <w:sz w:val="32"/>
          <w:szCs w:val="32"/>
          <w:lang w:val="en-US" w:eastAsia="zh-CN" w:bidi="ar"/>
        </w:rPr>
      </w:pPr>
      <w:r>
        <w:rPr>
          <w:rStyle w:val="12"/>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3"/>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（一）预算管理情况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1.管理制度健全性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本单位为加强预算管理，规范财务行为，已制定《阿克陶县科学技术协会预算绩效管理工作实施办法》，《阿克陶县科学技术协会财务管理制度》等健全完整的各项管理制度，有效保障了我单位高效的履行工作职能，较好的促进事业发展。</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333333"/>
          <w:sz w:val="32"/>
          <w:szCs w:val="32"/>
          <w:highlight w:val="none"/>
          <w:lang w:val="en-US" w:eastAsia="zh-CN" w:bidi="ar"/>
        </w:rPr>
      </w:pPr>
      <w:r>
        <w:rPr>
          <w:rStyle w:val="12"/>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3.预决算信息公开性</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w:t>
      </w:r>
      <w:r>
        <w:rPr>
          <w:rStyle w:val="12"/>
          <w:rFonts w:hint="eastAsia" w:ascii="仿宋_GB2312" w:hAnsi="仿宋_GB2312" w:eastAsia="仿宋_GB2312" w:cs="仿宋_GB2312"/>
          <w:b w:val="0"/>
          <w:color w:val="auto"/>
          <w:sz w:val="32"/>
          <w:szCs w:val="32"/>
          <w:highlight w:val="none"/>
          <w:lang w:bidi="ar"/>
        </w:rPr>
        <w:t>基本支出</w:t>
      </w:r>
      <w:r>
        <w:rPr>
          <w:rStyle w:val="12"/>
          <w:rFonts w:hint="eastAsia" w:ascii="仿宋_GB2312" w:hAnsi="仿宋_GB2312" w:eastAsia="仿宋_GB2312" w:cs="仿宋_GB2312"/>
          <w:b w:val="0"/>
          <w:color w:val="auto"/>
          <w:sz w:val="32"/>
          <w:szCs w:val="32"/>
          <w:highlight w:val="none"/>
          <w:lang w:val="en-US" w:eastAsia="zh-CN" w:bidi="ar"/>
        </w:rPr>
        <w:t>全年</w:t>
      </w:r>
      <w:r>
        <w:rPr>
          <w:rStyle w:val="12"/>
          <w:rFonts w:hint="eastAsia" w:ascii="仿宋_GB2312" w:hAnsi="仿宋_GB2312" w:eastAsia="仿宋_GB2312" w:cs="仿宋_GB2312"/>
          <w:b w:val="0"/>
          <w:color w:val="auto"/>
          <w:sz w:val="32"/>
          <w:szCs w:val="32"/>
          <w:highlight w:val="none"/>
          <w:lang w:bidi="ar"/>
        </w:rPr>
        <w:t>预算总额</w:t>
      </w:r>
      <w:r>
        <w:rPr>
          <w:rStyle w:val="12"/>
          <w:rFonts w:hint="eastAsia" w:ascii="仿宋_GB2312" w:hAnsi="仿宋_GB2312" w:eastAsia="仿宋_GB2312" w:cs="仿宋_GB2312"/>
          <w:b w:val="0"/>
          <w:color w:val="auto"/>
          <w:sz w:val="32"/>
          <w:szCs w:val="32"/>
          <w:highlight w:val="none"/>
          <w:lang w:val="en-US" w:eastAsia="zh-CN" w:bidi="ar"/>
        </w:rPr>
        <w:t>155.2</w:t>
      </w:r>
      <w:r>
        <w:rPr>
          <w:rStyle w:val="12"/>
          <w:rFonts w:hint="eastAsia" w:ascii="仿宋_GB2312" w:hAnsi="仿宋_GB2312" w:eastAsia="仿宋_GB2312" w:cs="仿宋_GB2312"/>
          <w:b w:val="0"/>
          <w:color w:val="auto"/>
          <w:sz w:val="32"/>
          <w:szCs w:val="32"/>
          <w:highlight w:val="none"/>
          <w:lang w:bidi="ar"/>
        </w:rPr>
        <w:t>万元，其中</w:t>
      </w:r>
      <w:r>
        <w:rPr>
          <w:rStyle w:val="12"/>
          <w:rFonts w:hint="eastAsia" w:ascii="仿宋_GB2312" w:hAnsi="仿宋_GB2312" w:eastAsia="仿宋_GB2312" w:cs="仿宋_GB2312"/>
          <w:b w:val="0"/>
          <w:color w:val="auto"/>
          <w:sz w:val="32"/>
          <w:szCs w:val="32"/>
          <w:highlight w:val="none"/>
          <w:lang w:eastAsia="zh-CN" w:bidi="ar"/>
        </w:rPr>
        <w:t>：</w:t>
      </w:r>
      <w:r>
        <w:rPr>
          <w:rStyle w:val="12"/>
          <w:rFonts w:hint="eastAsia" w:ascii="仿宋_GB2312" w:hAnsi="仿宋_GB2312" w:eastAsia="仿宋_GB2312" w:cs="仿宋_GB2312"/>
          <w:b w:val="0"/>
          <w:color w:val="auto"/>
          <w:sz w:val="32"/>
          <w:szCs w:val="32"/>
          <w:highlight w:val="none"/>
          <w:lang w:bidi="ar"/>
        </w:rPr>
        <w:t>人员经费</w:t>
      </w:r>
      <w:r>
        <w:rPr>
          <w:rStyle w:val="12"/>
          <w:rFonts w:hint="eastAsia" w:ascii="仿宋_GB2312" w:hAnsi="仿宋_GB2312" w:eastAsia="仿宋_GB2312" w:cs="仿宋_GB2312"/>
          <w:b w:val="0"/>
          <w:color w:val="auto"/>
          <w:sz w:val="32"/>
          <w:szCs w:val="32"/>
          <w:highlight w:val="none"/>
          <w:lang w:val="en-US" w:eastAsia="zh-CN" w:bidi="ar"/>
        </w:rPr>
        <w:t>127.49</w:t>
      </w:r>
      <w:r>
        <w:rPr>
          <w:rStyle w:val="12"/>
          <w:rFonts w:hint="eastAsia" w:ascii="仿宋_GB2312" w:hAnsi="仿宋_GB2312" w:eastAsia="仿宋_GB2312" w:cs="仿宋_GB2312"/>
          <w:b w:val="0"/>
          <w:color w:val="auto"/>
          <w:sz w:val="32"/>
          <w:szCs w:val="32"/>
          <w:highlight w:val="none"/>
          <w:lang w:bidi="ar"/>
        </w:rPr>
        <w:t>万元，公用经费</w:t>
      </w:r>
      <w:r>
        <w:rPr>
          <w:rStyle w:val="12"/>
          <w:rFonts w:hint="eastAsia" w:ascii="仿宋_GB2312" w:hAnsi="仿宋_GB2312" w:eastAsia="仿宋_GB2312" w:cs="仿宋_GB2312"/>
          <w:b w:val="0"/>
          <w:color w:val="auto"/>
          <w:sz w:val="32"/>
          <w:szCs w:val="32"/>
          <w:highlight w:val="none"/>
          <w:lang w:val="en-US" w:eastAsia="zh-CN" w:bidi="ar"/>
        </w:rPr>
        <w:t>27.7</w:t>
      </w:r>
      <w:r>
        <w:rPr>
          <w:rStyle w:val="12"/>
          <w:rFonts w:hint="eastAsia" w:ascii="仿宋_GB2312" w:hAnsi="仿宋_GB2312" w:eastAsia="仿宋_GB2312" w:cs="仿宋_GB2312"/>
          <w:b w:val="0"/>
          <w:color w:val="auto"/>
          <w:sz w:val="32"/>
          <w:szCs w:val="32"/>
          <w:highlight w:val="none"/>
          <w:lang w:bidi="ar"/>
        </w:rPr>
        <w:t>万元。实际支出</w:t>
      </w:r>
      <w:r>
        <w:rPr>
          <w:rStyle w:val="12"/>
          <w:rFonts w:hint="eastAsia" w:ascii="仿宋_GB2312" w:hAnsi="仿宋_GB2312" w:eastAsia="仿宋_GB2312" w:cs="仿宋_GB2312"/>
          <w:b w:val="0"/>
          <w:color w:val="auto"/>
          <w:sz w:val="32"/>
          <w:szCs w:val="32"/>
          <w:highlight w:val="none"/>
          <w:lang w:val="en-US" w:eastAsia="zh-CN" w:bidi="ar"/>
        </w:rPr>
        <w:t>132.99</w:t>
      </w:r>
      <w:r>
        <w:rPr>
          <w:rStyle w:val="12"/>
          <w:rFonts w:hint="eastAsia" w:ascii="仿宋_GB2312" w:hAnsi="仿宋_GB2312" w:eastAsia="仿宋_GB2312" w:cs="仿宋_GB2312"/>
          <w:b w:val="0"/>
          <w:color w:val="auto"/>
          <w:sz w:val="32"/>
          <w:szCs w:val="32"/>
          <w:highlight w:val="none"/>
          <w:lang w:bidi="ar"/>
        </w:rPr>
        <w:t>万元，</w:t>
      </w:r>
      <w:r>
        <w:rPr>
          <w:rStyle w:val="12"/>
          <w:rFonts w:hint="eastAsia" w:ascii="仿宋_GB2312" w:hAnsi="仿宋_GB2312" w:eastAsia="仿宋_GB2312" w:cs="仿宋_GB2312"/>
          <w:b w:val="0"/>
          <w:color w:val="auto"/>
          <w:sz w:val="32"/>
          <w:szCs w:val="32"/>
          <w:highlight w:val="none"/>
          <w:lang w:val="en-US" w:eastAsia="zh-CN" w:bidi="ar"/>
        </w:rPr>
        <w:t>基本支出</w:t>
      </w:r>
      <w:r>
        <w:rPr>
          <w:rStyle w:val="12"/>
          <w:rFonts w:hint="eastAsia" w:ascii="仿宋_GB2312" w:hAnsi="仿宋_GB2312" w:eastAsia="仿宋_GB2312" w:cs="仿宋_GB2312"/>
          <w:b w:val="0"/>
          <w:color w:val="auto"/>
          <w:sz w:val="32"/>
          <w:szCs w:val="32"/>
          <w:highlight w:val="none"/>
          <w:lang w:bidi="ar"/>
        </w:rPr>
        <w:t>预算执行率</w:t>
      </w:r>
      <w:r>
        <w:rPr>
          <w:rStyle w:val="12"/>
          <w:rFonts w:hint="eastAsia" w:ascii="仿宋_GB2312" w:hAnsi="仿宋_GB2312" w:eastAsia="仿宋_GB2312" w:cs="仿宋_GB2312"/>
          <w:b w:val="0"/>
          <w:color w:val="auto"/>
          <w:sz w:val="32"/>
          <w:szCs w:val="32"/>
          <w:highlight w:val="none"/>
          <w:lang w:val="en-US" w:eastAsia="zh-CN" w:bidi="ar"/>
        </w:rPr>
        <w:t>85.69%</w:t>
      </w:r>
      <w:r>
        <w:rPr>
          <w:rStyle w:val="12"/>
          <w:rFonts w:hint="eastAsia" w:ascii="仿宋_GB2312" w:hAnsi="仿宋_GB2312" w:eastAsia="仿宋_GB2312" w:cs="仿宋_GB2312"/>
          <w:b w:val="0"/>
          <w:color w:val="auto"/>
          <w:sz w:val="32"/>
          <w:szCs w:val="32"/>
          <w:highlight w:val="none"/>
          <w:lang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2.三公经费控制情况</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Hans" w:bidi="ar"/>
        </w:rPr>
        <w:t>xx县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年“三公经费”预算为</w:t>
      </w:r>
      <w:r>
        <w:rPr>
          <w:rFonts w:hint="eastAsia" w:ascii="仿宋" w:hAnsi="仿宋" w:eastAsia="仿宋" w:cs="宋体"/>
          <w:bCs/>
          <w:color w:val="333333"/>
          <w:sz w:val="32"/>
          <w:szCs w:val="32"/>
          <w:lang w:val="en-US" w:eastAsia="zh-CN" w:bidi="ar"/>
        </w:rPr>
        <w:t>1.37</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1.23</w:t>
      </w:r>
      <w:r>
        <w:rPr>
          <w:rFonts w:hint="eastAsia" w:ascii="仿宋" w:hAnsi="仿宋" w:eastAsia="仿宋" w:cs="宋体"/>
          <w:bCs/>
          <w:color w:val="333333"/>
          <w:sz w:val="32"/>
          <w:szCs w:val="32"/>
          <w:lang w:eastAsia="zh-CN" w:bidi="ar"/>
        </w:rPr>
        <w:t>万元，“三公经费”控制率为</w:t>
      </w:r>
      <w:r>
        <w:rPr>
          <w:rFonts w:hint="eastAsia" w:ascii="仿宋" w:hAnsi="仿宋" w:eastAsia="仿宋" w:cs="宋体"/>
          <w:bCs/>
          <w:color w:val="333333"/>
          <w:sz w:val="32"/>
          <w:szCs w:val="32"/>
          <w:lang w:val="en-US" w:eastAsia="zh-CN" w:bidi="ar"/>
        </w:rPr>
        <w:t>89.78</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lang w:val="en-US" w:eastAsia="zh-CN" w:bidi="ar"/>
        </w:rPr>
        <w:t>1.37</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1.23</w:t>
      </w:r>
      <w:r>
        <w:rPr>
          <w:rFonts w:hint="eastAsia" w:ascii="仿宋" w:hAnsi="仿宋" w:eastAsia="仿宋" w:cs="宋体"/>
          <w:bCs/>
          <w:color w:val="333333"/>
          <w:sz w:val="32"/>
          <w:szCs w:val="32"/>
          <w:lang w:eastAsia="zh-CN" w:bidi="ar"/>
        </w:rPr>
        <w:t>万元，公务用车运行维护费控制率</w:t>
      </w:r>
      <w:r>
        <w:rPr>
          <w:rFonts w:hint="eastAsia" w:ascii="仿宋" w:hAnsi="仿宋" w:eastAsia="仿宋" w:cs="宋体"/>
          <w:bCs/>
          <w:color w:val="333333"/>
          <w:sz w:val="32"/>
          <w:szCs w:val="32"/>
          <w:lang w:val="en-US" w:eastAsia="zh-CN" w:bidi="ar"/>
        </w:rPr>
        <w:t>89.78</w:t>
      </w:r>
      <w:r>
        <w:rPr>
          <w:rFonts w:hint="eastAsia" w:ascii="仿宋" w:hAnsi="仿宋" w:eastAsia="仿宋" w:cs="宋体"/>
          <w:bCs/>
          <w:color w:val="333333"/>
          <w:sz w:val="32"/>
          <w:szCs w:val="32"/>
          <w:lang w:eastAsia="zh-CN" w:bidi="ar"/>
        </w:rPr>
        <w:t>%，符合财政部门本年预算要求和相关管理制度要求。</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val="0"/>
          <w:color w:val="333333"/>
          <w:sz w:val="32"/>
          <w:szCs w:val="32"/>
          <w:highlight w:val="none"/>
          <w:lang w:val="en-US" w:eastAsia="zh-CN" w:bidi="ar"/>
        </w:rPr>
      </w:pPr>
      <w:r>
        <w:rPr>
          <w:rStyle w:val="12"/>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bidi="ar"/>
        </w:rPr>
      </w:pPr>
      <w:r>
        <w:rPr>
          <w:rStyle w:val="12"/>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本单位安排</w:t>
      </w:r>
      <w:r>
        <w:rPr>
          <w:rStyle w:val="12"/>
          <w:rFonts w:hint="eastAsia" w:ascii="仿宋_GB2312" w:hAnsi="仿宋_GB2312" w:eastAsia="仿宋_GB2312" w:cs="仿宋_GB2312"/>
          <w:b w:val="0"/>
          <w:color w:val="auto"/>
          <w:sz w:val="32"/>
          <w:szCs w:val="32"/>
          <w:highlight w:val="none"/>
          <w:lang w:bidi="ar"/>
        </w:rPr>
        <w:t>专项支出预算总额</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万元，实际支出</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万元，</w:t>
      </w:r>
      <w:r>
        <w:rPr>
          <w:rStyle w:val="12"/>
          <w:rFonts w:hint="eastAsia" w:ascii="仿宋_GB2312" w:hAnsi="仿宋_GB2312" w:eastAsia="仿宋_GB2312" w:cs="仿宋_GB2312"/>
          <w:b w:val="0"/>
          <w:color w:val="auto"/>
          <w:sz w:val="32"/>
          <w:szCs w:val="32"/>
          <w:highlight w:val="none"/>
          <w:lang w:val="en-US" w:eastAsia="zh-CN" w:bidi="ar"/>
        </w:rPr>
        <w:t>专项支出</w:t>
      </w:r>
      <w:r>
        <w:rPr>
          <w:rStyle w:val="12"/>
          <w:rFonts w:hint="eastAsia" w:ascii="仿宋_GB2312" w:hAnsi="仿宋_GB2312" w:eastAsia="仿宋_GB2312" w:cs="仿宋_GB2312"/>
          <w:b w:val="0"/>
          <w:color w:val="auto"/>
          <w:sz w:val="32"/>
          <w:szCs w:val="32"/>
          <w:highlight w:val="none"/>
          <w:lang w:bidi="ar"/>
        </w:rPr>
        <w:t>预算执行率</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2021</w:t>
      </w:r>
      <w:r>
        <w:rPr>
          <w:rStyle w:val="12"/>
          <w:rFonts w:hint="eastAsia" w:ascii="仿宋_GB2312" w:hAnsi="仿宋_GB2312" w:eastAsia="仿宋_GB2312" w:cs="仿宋_GB2312"/>
          <w:b w:val="0"/>
          <w:color w:val="auto"/>
          <w:sz w:val="32"/>
          <w:szCs w:val="32"/>
          <w:highlight w:val="none"/>
          <w:lang w:bidi="ar"/>
        </w:rPr>
        <w:t>年</w:t>
      </w:r>
      <w:r>
        <w:rPr>
          <w:rStyle w:val="12"/>
          <w:rFonts w:hint="eastAsia" w:ascii="仿宋_GB2312" w:hAnsi="仿宋_GB2312" w:eastAsia="仿宋_GB2312" w:cs="仿宋_GB2312"/>
          <w:b w:val="0"/>
          <w:color w:val="auto"/>
          <w:sz w:val="32"/>
          <w:szCs w:val="32"/>
          <w:highlight w:val="none"/>
          <w:lang w:val="en-US" w:eastAsia="zh-CN" w:bidi="ar"/>
        </w:rPr>
        <w:t>本单位</w:t>
      </w:r>
      <w:r>
        <w:rPr>
          <w:rStyle w:val="12"/>
          <w:rFonts w:hint="eastAsia" w:ascii="仿宋_GB2312" w:hAnsi="仿宋_GB2312" w:eastAsia="仿宋_GB2312" w:cs="仿宋_GB2312"/>
          <w:b w:val="0"/>
          <w:color w:val="auto"/>
          <w:sz w:val="32"/>
          <w:szCs w:val="32"/>
          <w:highlight w:val="none"/>
          <w:lang w:bidi="ar"/>
        </w:rPr>
        <w:t>共有</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个资金项目，其中</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个属经常性项目、</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个属当年度新增项目，已完成项目</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个、未完成项目</w:t>
      </w:r>
      <w:r>
        <w:rPr>
          <w:rStyle w:val="12"/>
          <w:rFonts w:hint="eastAsia" w:ascii="仿宋_GB2312" w:hAnsi="仿宋_GB2312" w:eastAsia="仿宋_GB2312" w:cs="仿宋_GB2312"/>
          <w:b w:val="0"/>
          <w:color w:val="auto"/>
          <w:sz w:val="32"/>
          <w:szCs w:val="32"/>
          <w:highlight w:val="none"/>
          <w:lang w:val="en-US" w:eastAsia="zh-CN" w:bidi="ar"/>
        </w:rPr>
        <w:t>0</w:t>
      </w:r>
      <w:r>
        <w:rPr>
          <w:rStyle w:val="12"/>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本年我单位供实施0个项目，金额0万元，分别为0项目，0万元；0项目，0万元；0项目，0万元；</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本年我单位实施专项项目0个，涉及金额0万元，其中：中央专项项目0个涉及金额0万元，自治区专项项目0个涉及金额0万元，地区本级专项项目0个涉及金额0万元，</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val="0"/>
          <w:spacing w:val="-4"/>
          <w:sz w:val="32"/>
          <w:szCs w:val="32"/>
          <w:highlight w:val="none"/>
          <w:lang w:val="en-US" w:eastAsia="zh-CN"/>
        </w:rPr>
        <w:t>（一）阿克陶县科学技术协会项目专项组织情况分析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1.前期准备</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2"/>
          <w:rFonts w:hint="eastAsia" w:ascii="仿宋_GB2312" w:hAnsi="仿宋_GB2312" w:eastAsia="仿宋_GB2312" w:cs="仿宋_GB2312"/>
          <w:b w:val="0"/>
          <w:color w:val="auto"/>
          <w:sz w:val="32"/>
          <w:szCs w:val="32"/>
          <w:highlight w:val="none"/>
          <w:lang w:eastAsia="zh-CN" w:bidi="ar"/>
        </w:rPr>
        <w:t>成员如下：</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杨彦琴</w:t>
      </w:r>
      <w:r>
        <w:rPr>
          <w:rStyle w:val="12"/>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王闪闪</w:t>
      </w:r>
      <w:r>
        <w:rPr>
          <w:rStyle w:val="12"/>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艾合买提江</w:t>
      </w:r>
      <w:r>
        <w:rPr>
          <w:rStyle w:val="12"/>
          <w:rFonts w:hint="eastAsia" w:ascii="仿宋_GB2312" w:hAnsi="仿宋_GB2312" w:eastAsia="仿宋_GB2312" w:cs="仿宋_GB2312"/>
          <w:b w:val="0"/>
          <w:color w:val="auto"/>
          <w:sz w:val="32"/>
          <w:szCs w:val="32"/>
          <w:highlight w:val="none"/>
          <w:lang w:val="en-US" w:eastAsia="zh-CN" w:bidi="ar"/>
        </w:rPr>
        <w:t>·麦海提、周子涵、阿卜杜艾尼·托合提</w:t>
      </w:r>
      <w:r>
        <w:rPr>
          <w:rStyle w:val="12"/>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2"/>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2.组织实施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val="0"/>
          <w:spacing w:val="-4"/>
          <w:sz w:val="32"/>
          <w:szCs w:val="32"/>
          <w:highlight w:val="none"/>
          <w:lang w:val="en-US" w:eastAsia="zh-CN"/>
        </w:rPr>
        <w:t>（二）阿克陶县科学技术协会项目专项组织情况分析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1.前期准备</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2"/>
          <w:rFonts w:hint="eastAsia" w:ascii="仿宋_GB2312" w:hAnsi="仿宋_GB2312" w:eastAsia="仿宋_GB2312" w:cs="仿宋_GB2312"/>
          <w:b w:val="0"/>
          <w:color w:val="auto"/>
          <w:sz w:val="32"/>
          <w:szCs w:val="32"/>
          <w:highlight w:val="none"/>
          <w:lang w:eastAsia="zh-CN" w:bidi="ar"/>
        </w:rPr>
        <w:t>成员如下：</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杨彦琴</w:t>
      </w:r>
      <w:r>
        <w:rPr>
          <w:rStyle w:val="12"/>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eastAsia="zh-CN" w:bidi="ar"/>
        </w:rPr>
      </w:pPr>
      <w:r>
        <w:rPr>
          <w:rStyle w:val="12"/>
          <w:rFonts w:hint="eastAsia" w:ascii="仿宋_GB2312" w:hAnsi="仿宋_GB2312" w:eastAsia="仿宋_GB2312" w:cs="仿宋_GB2312"/>
          <w:b w:val="0"/>
          <w:color w:val="auto"/>
          <w:sz w:val="32"/>
          <w:szCs w:val="32"/>
          <w:highlight w:val="none"/>
          <w:lang w:val="en-US" w:eastAsia="zh-CN" w:bidi="ar"/>
        </w:rPr>
        <w:t>王闪闪</w:t>
      </w:r>
      <w:r>
        <w:rPr>
          <w:rStyle w:val="12"/>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eastAsia="zh-CN" w:bidi="ar"/>
        </w:rPr>
        <w:t>艾合买提江</w:t>
      </w:r>
      <w:r>
        <w:rPr>
          <w:rStyle w:val="12"/>
          <w:rFonts w:hint="eastAsia" w:ascii="仿宋_GB2312" w:hAnsi="仿宋_GB2312" w:eastAsia="仿宋_GB2312" w:cs="仿宋_GB2312"/>
          <w:b w:val="0"/>
          <w:color w:val="auto"/>
          <w:sz w:val="32"/>
          <w:szCs w:val="32"/>
          <w:highlight w:val="none"/>
          <w:lang w:val="en-US" w:eastAsia="zh-CN" w:bidi="ar"/>
        </w:rPr>
        <w:t>·麦海提、周子涵、阿卜杜艾尼·托合提</w:t>
      </w:r>
      <w:r>
        <w:rPr>
          <w:rStyle w:val="12"/>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2"/>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2.组织实施</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（二）专项管理情况分析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1.项目资金情况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该项目预算资金0万元，实际到位0万元，实际支出0万元。到位足额及时，预算编制依据充分，预算编制准确，资金不存在截留、挪用，支付审批合规、不存在用途改变、范围超支和虚列项目支出等情况；本项目严格按照《阿克陶县科学技术协会单位财务管理制度》执行项目资金，实行专账核算、逐级审批。认真落实项目资金的使用各项管理制度，确保专款专用，及时拨付到位。</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color w:val="auto"/>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2.项目实施情况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项目组织情况：</w:t>
      </w:r>
      <w:r>
        <w:rPr>
          <w:rStyle w:val="12"/>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项目管理情况：</w:t>
      </w:r>
      <w:r>
        <w:rPr>
          <w:rStyle w:val="12"/>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color w:val="auto"/>
          <w:spacing w:val="-4"/>
          <w:sz w:val="32"/>
          <w:szCs w:val="32"/>
          <w:highlight w:val="none"/>
          <w:lang w:val="en-US" w:eastAsia="zh-CN"/>
        </w:rPr>
        <w:t>项目监管情况：</w:t>
      </w:r>
      <w:r>
        <w:rPr>
          <w:rStyle w:val="12"/>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3.项目绩效情况</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成本控制情况：</w:t>
      </w:r>
      <w:r>
        <w:rPr>
          <w:rStyle w:val="12"/>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成本节约情况：</w:t>
      </w:r>
      <w:r>
        <w:rPr>
          <w:rStyle w:val="12"/>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4.项目效率性</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项目实施进度：</w:t>
      </w:r>
      <w:r>
        <w:rPr>
          <w:rStyle w:val="12"/>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项目完成质量：</w:t>
      </w:r>
      <w:r>
        <w:rPr>
          <w:rStyle w:val="12"/>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5.项目效益性</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预期目标完成程度：</w:t>
      </w:r>
      <w:r>
        <w:rPr>
          <w:rStyle w:val="12"/>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3"/>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项目实施对效益的影响：</w:t>
      </w:r>
      <w:r>
        <w:rPr>
          <w:rStyle w:val="12"/>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4" w:name="_Toc27846_WPSOffice_Level1"/>
      <w:r>
        <w:rPr>
          <w:rStyle w:val="12"/>
          <w:rFonts w:hint="eastAsia" w:ascii="仿宋_GB2312" w:hAnsi="仿宋_GB2312" w:eastAsia="仿宋_GB2312" w:cs="仿宋_GB2312"/>
          <w:b/>
          <w:bCs/>
          <w:spacing w:val="-4"/>
          <w:sz w:val="32"/>
          <w:szCs w:val="32"/>
          <w:highlight w:val="none"/>
        </w:rPr>
        <w:t>资产管理情况</w:t>
      </w:r>
      <w:bookmarkEnd w:id="4"/>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一）资产管理规范性</w:t>
      </w:r>
    </w:p>
    <w:p>
      <w:pPr>
        <w:pStyle w:val="13"/>
        <w:snapToGrid w:val="0"/>
        <w:spacing w:line="540" w:lineRule="exact"/>
        <w:rPr>
          <w:rFonts w:hint="default" w:ascii="仿宋" w:hAnsi="仿宋" w:eastAsia="仿宋" w:cs="宋体"/>
          <w:bCs/>
          <w:color w:val="auto"/>
          <w:sz w:val="32"/>
          <w:szCs w:val="32"/>
          <w:lang w:val="en-US" w:eastAsia="zh-CN" w:bidi="ar"/>
        </w:rPr>
      </w:pPr>
      <w:r>
        <w:rPr>
          <w:rFonts w:hint="eastAsia" w:ascii="仿宋" w:hAnsi="仿宋" w:eastAsia="仿宋" w:cs="宋体"/>
          <w:bCs/>
          <w:color w:val="333333"/>
          <w:sz w:val="32"/>
          <w:szCs w:val="32"/>
          <w:lang w:eastAsia="zh-CN" w:bidi="ar"/>
        </w:rPr>
        <w:t>我</w:t>
      </w:r>
      <w:r>
        <w:rPr>
          <w:rFonts w:hint="eastAsia" w:ascii="仿宋" w:hAnsi="仿宋" w:eastAsia="仿宋" w:cs="宋体"/>
          <w:bCs/>
          <w:color w:val="auto"/>
          <w:sz w:val="32"/>
          <w:szCs w:val="32"/>
          <w:lang w:eastAsia="zh-CN" w:bidi="ar"/>
        </w:rPr>
        <w:t>单位202</w:t>
      </w:r>
      <w:r>
        <w:rPr>
          <w:rFonts w:hint="eastAsia" w:ascii="仿宋" w:hAnsi="仿宋" w:eastAsia="仿宋" w:cs="宋体"/>
          <w:bCs/>
          <w:color w:val="auto"/>
          <w:sz w:val="32"/>
          <w:szCs w:val="32"/>
          <w:lang w:val="en-US" w:eastAsia="zh-CN" w:bidi="ar"/>
        </w:rPr>
        <w:t>1</w:t>
      </w:r>
      <w:r>
        <w:rPr>
          <w:rFonts w:hint="eastAsia" w:ascii="仿宋" w:hAnsi="仿宋" w:eastAsia="仿宋" w:cs="宋体"/>
          <w:bCs/>
          <w:color w:val="auto"/>
          <w:sz w:val="32"/>
          <w:szCs w:val="32"/>
          <w:lang w:eastAsia="zh-CN" w:bidi="ar"/>
        </w:rPr>
        <w:t>年资产合计数为</w:t>
      </w:r>
      <w:r>
        <w:rPr>
          <w:rFonts w:hint="eastAsia" w:ascii="仿宋" w:hAnsi="仿宋" w:eastAsia="仿宋" w:cs="宋体"/>
          <w:bCs/>
          <w:color w:val="auto"/>
          <w:sz w:val="32"/>
          <w:szCs w:val="32"/>
          <w:lang w:val="en-US" w:eastAsia="zh-CN" w:bidi="ar"/>
        </w:rPr>
        <w:t>77.90</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22.38</w:t>
      </w:r>
      <w:bookmarkStart w:id="8" w:name="_GoBack"/>
      <w:bookmarkEnd w:id="8"/>
      <w:r>
        <w:rPr>
          <w:rFonts w:hint="eastAsia" w:ascii="仿宋" w:hAnsi="仿宋" w:eastAsia="仿宋" w:cs="宋体"/>
          <w:bCs/>
          <w:color w:val="auto"/>
          <w:sz w:val="32"/>
          <w:szCs w:val="32"/>
          <w:lang w:eastAsia="zh-CN" w:bidi="ar"/>
        </w:rPr>
        <w:t>万元，主要原因是有新增固定资产，货币资金增加，其中：货币资金</w:t>
      </w:r>
      <w:r>
        <w:rPr>
          <w:rFonts w:hint="eastAsia" w:ascii="仿宋" w:hAnsi="仿宋" w:eastAsia="仿宋" w:cs="宋体"/>
          <w:bCs/>
          <w:color w:val="auto"/>
          <w:sz w:val="32"/>
          <w:szCs w:val="32"/>
          <w:lang w:val="en-US" w:eastAsia="zh-CN" w:bidi="ar"/>
        </w:rPr>
        <w:t>43.12</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22.39</w:t>
      </w:r>
      <w:r>
        <w:rPr>
          <w:rFonts w:hint="eastAsia" w:ascii="仿宋" w:hAnsi="仿宋" w:eastAsia="仿宋" w:cs="宋体"/>
          <w:bCs/>
          <w:color w:val="auto"/>
          <w:sz w:val="32"/>
          <w:szCs w:val="32"/>
          <w:lang w:eastAsia="zh-CN" w:bidi="ar"/>
        </w:rPr>
        <w:t>万元；财政应返还额度</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万元，比上年相比无变化；房屋</w:t>
      </w:r>
      <w:r>
        <w:rPr>
          <w:rFonts w:hint="eastAsia" w:ascii="仿宋" w:hAnsi="仿宋" w:eastAsia="仿宋" w:cs="宋体"/>
          <w:bCs/>
          <w:color w:val="auto"/>
          <w:sz w:val="32"/>
          <w:szCs w:val="32"/>
          <w:lang w:val="en-US" w:eastAsia="zh-CN" w:bidi="ar"/>
        </w:rPr>
        <w:t>15</w:t>
      </w:r>
      <w:r>
        <w:rPr>
          <w:rFonts w:hint="eastAsia" w:ascii="仿宋" w:hAnsi="仿宋" w:eastAsia="仿宋" w:cs="宋体"/>
          <w:bCs/>
          <w:color w:val="auto"/>
          <w:sz w:val="32"/>
          <w:szCs w:val="32"/>
          <w:lang w:eastAsia="zh-CN" w:bidi="ar"/>
        </w:rPr>
        <w:t>平方米</w:t>
      </w:r>
      <w:r>
        <w:rPr>
          <w:rFonts w:hint="eastAsia" w:ascii="仿宋" w:hAnsi="仿宋" w:eastAsia="仿宋" w:cs="宋体"/>
          <w:bCs/>
          <w:color w:val="auto"/>
          <w:sz w:val="32"/>
          <w:szCs w:val="32"/>
          <w:lang w:val="en-US" w:eastAsia="zh-CN" w:bidi="ar"/>
        </w:rPr>
        <w:t>0.62</w:t>
      </w:r>
      <w:r>
        <w:rPr>
          <w:rFonts w:hint="eastAsia" w:ascii="仿宋" w:hAnsi="仿宋" w:eastAsia="仿宋" w:cs="宋体"/>
          <w:bCs/>
          <w:color w:val="auto"/>
          <w:sz w:val="32"/>
          <w:szCs w:val="32"/>
          <w:lang w:eastAsia="zh-CN" w:bidi="ar"/>
        </w:rPr>
        <w:t>万元，比上年相比无变化；车辆</w:t>
      </w:r>
      <w:r>
        <w:rPr>
          <w:rFonts w:hint="eastAsia" w:ascii="仿宋" w:hAnsi="仿宋" w:eastAsia="仿宋" w:cs="宋体"/>
          <w:bCs/>
          <w:color w:val="auto"/>
          <w:sz w:val="32"/>
          <w:szCs w:val="32"/>
          <w:lang w:val="en-US" w:eastAsia="zh-CN" w:bidi="ar"/>
        </w:rPr>
        <w:t>3</w:t>
      </w:r>
      <w:r>
        <w:rPr>
          <w:rFonts w:hint="eastAsia" w:ascii="仿宋" w:hAnsi="仿宋" w:eastAsia="仿宋" w:cs="宋体"/>
          <w:bCs/>
          <w:color w:val="auto"/>
          <w:sz w:val="32"/>
          <w:szCs w:val="32"/>
          <w:lang w:eastAsia="zh-CN" w:bidi="ar"/>
        </w:rPr>
        <w:t>辆</w:t>
      </w:r>
      <w:r>
        <w:rPr>
          <w:rFonts w:hint="eastAsia" w:ascii="仿宋" w:hAnsi="仿宋" w:eastAsia="仿宋" w:cs="宋体"/>
          <w:bCs/>
          <w:color w:val="auto"/>
          <w:sz w:val="32"/>
          <w:szCs w:val="32"/>
          <w:lang w:val="en-US" w:eastAsia="zh-CN" w:bidi="ar"/>
        </w:rPr>
        <w:t>34.79</w:t>
      </w:r>
      <w:r>
        <w:rPr>
          <w:rFonts w:hint="eastAsia" w:ascii="仿宋" w:hAnsi="仿宋" w:eastAsia="仿宋" w:cs="宋体"/>
          <w:bCs/>
          <w:color w:val="auto"/>
          <w:sz w:val="32"/>
          <w:szCs w:val="32"/>
          <w:lang w:eastAsia="zh-CN" w:bidi="ar"/>
        </w:rPr>
        <w:t>万元，与上年相比无变化；在建工程</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万元，与上年相比无变化；办公设备及家具</w:t>
      </w:r>
      <w:r>
        <w:rPr>
          <w:rFonts w:hint="eastAsia" w:ascii="仿宋" w:hAnsi="仿宋" w:eastAsia="仿宋" w:cs="宋体"/>
          <w:bCs/>
          <w:color w:val="auto"/>
          <w:sz w:val="32"/>
          <w:szCs w:val="32"/>
          <w:lang w:val="en-US" w:eastAsia="zh-CN" w:bidi="ar"/>
        </w:rPr>
        <w:t>78.46</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1.34</w:t>
      </w:r>
      <w:r>
        <w:rPr>
          <w:rFonts w:hint="eastAsia" w:ascii="仿宋" w:hAnsi="仿宋" w:eastAsia="仿宋" w:cs="宋体"/>
          <w:bCs/>
          <w:color w:val="auto"/>
          <w:sz w:val="32"/>
          <w:szCs w:val="32"/>
          <w:lang w:eastAsia="zh-CN" w:bidi="ar"/>
        </w:rPr>
        <w:t>万元。我单位本年无资产处置情况，资产配置合理，使用规范，安全完整。</w:t>
      </w:r>
    </w:p>
    <w:p>
      <w:pPr>
        <w:pStyle w:val="13"/>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3"/>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3"/>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113.87</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套房屋</w:t>
      </w:r>
      <w:r>
        <w:rPr>
          <w:rFonts w:hint="eastAsia" w:ascii="仿宋" w:hAnsi="仿宋" w:eastAsia="仿宋" w:cs="宋体"/>
          <w:bCs/>
          <w:color w:val="333333"/>
          <w:sz w:val="32"/>
          <w:szCs w:val="32"/>
          <w:lang w:val="en-US" w:eastAsia="zh-CN" w:bidi="ar"/>
        </w:rPr>
        <w:t>0.62</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3</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34.79</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个专用设备</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107</w:t>
      </w:r>
      <w:r>
        <w:rPr>
          <w:rFonts w:hint="eastAsia" w:ascii="仿宋" w:hAnsi="仿宋" w:eastAsia="仿宋" w:cs="宋体"/>
          <w:bCs/>
          <w:color w:val="333333"/>
          <w:sz w:val="32"/>
          <w:szCs w:val="32"/>
          <w:lang w:eastAsia="zh-CN" w:bidi="ar"/>
        </w:rPr>
        <w:t>个办公设备</w:t>
      </w:r>
      <w:r>
        <w:rPr>
          <w:rFonts w:hint="eastAsia" w:ascii="仿宋" w:hAnsi="仿宋" w:eastAsia="仿宋" w:cs="宋体"/>
          <w:bCs/>
          <w:color w:val="333333"/>
          <w:sz w:val="32"/>
          <w:szCs w:val="32"/>
          <w:lang w:val="en-US" w:eastAsia="zh-CN" w:bidi="ar"/>
        </w:rPr>
        <w:t>77.47</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113.87</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3"/>
        <w:snapToGrid w:val="0"/>
        <w:spacing w:line="540" w:lineRule="exact"/>
        <w:rPr>
          <w:rStyle w:val="12"/>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2"/>
          <w:rFonts w:hint="eastAsia" w:ascii="仿宋" w:hAnsi="仿宋" w:eastAsia="仿宋"/>
          <w:b w:val="0"/>
          <w:bCs w:val="0"/>
          <w:spacing w:val="-4"/>
          <w:sz w:val="32"/>
          <w:szCs w:val="32"/>
          <w:lang w:val="en-US" w:eastAsia="zh-CN"/>
        </w:rPr>
        <w:t>3.</w:t>
      </w:r>
      <w:r>
        <w:rPr>
          <w:rStyle w:val="12"/>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3"/>
        <w:snapToGrid w:val="0"/>
        <w:spacing w:line="540" w:lineRule="exact"/>
        <w:rPr>
          <w:rStyle w:val="12"/>
          <w:rFonts w:hint="eastAsia" w:ascii="仿宋_GB2312" w:hAnsi="仿宋_GB2312" w:eastAsia="仿宋_GB2312" w:cs="仿宋_GB2312"/>
          <w:b/>
          <w:bCs/>
          <w:color w:val="auto"/>
          <w:spacing w:val="-4"/>
          <w:sz w:val="32"/>
          <w:szCs w:val="32"/>
          <w:highlight w:val="none"/>
        </w:rPr>
      </w:pPr>
      <w:r>
        <w:rPr>
          <w:rStyle w:val="12"/>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二）固定资产利用率</w:t>
      </w:r>
    </w:p>
    <w:p>
      <w:pPr>
        <w:pStyle w:val="13"/>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截止本年度固定资产账面净值13.69万元，年末实际在用固定资产113.87万元，固定资产利用率为100%。</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5" w:name="_Toc13582_WPSOffice_Level1"/>
      <w:r>
        <w:rPr>
          <w:rStyle w:val="12"/>
          <w:rFonts w:hint="eastAsia" w:ascii="仿宋_GB2312" w:hAnsi="仿宋_GB2312" w:eastAsia="仿宋_GB2312" w:cs="仿宋_GB2312"/>
          <w:b/>
          <w:bCs/>
          <w:spacing w:val="-4"/>
          <w:sz w:val="32"/>
          <w:szCs w:val="32"/>
          <w:highlight w:val="none"/>
        </w:rPr>
        <w:t>部门单位整体支出绩效情况</w:t>
      </w:r>
      <w:bookmarkEnd w:id="5"/>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部门单位整体支出</w:t>
      </w:r>
      <w:r>
        <w:rPr>
          <w:rStyle w:val="12"/>
          <w:rFonts w:hint="eastAsia" w:ascii="仿宋_GB2312" w:hAnsi="仿宋_GB2312" w:eastAsia="仿宋_GB2312" w:cs="仿宋_GB2312"/>
          <w:b w:val="0"/>
          <w:bCs w:val="0"/>
          <w:color w:val="auto"/>
          <w:spacing w:val="-4"/>
          <w:sz w:val="32"/>
          <w:szCs w:val="32"/>
          <w:highlight w:val="none"/>
          <w:lang w:eastAsia="zh-CN"/>
        </w:rPr>
        <w:t>自评表，</w:t>
      </w:r>
      <w:r>
        <w:rPr>
          <w:rStyle w:val="12"/>
          <w:rFonts w:hint="eastAsia" w:ascii="仿宋_GB2312" w:hAnsi="仿宋_GB2312" w:eastAsia="仿宋_GB2312" w:cs="仿宋_GB2312"/>
          <w:b w:val="0"/>
          <w:bCs w:val="0"/>
          <w:color w:val="auto"/>
          <w:spacing w:val="-4"/>
          <w:sz w:val="32"/>
          <w:szCs w:val="32"/>
          <w:highlight w:val="none"/>
        </w:rPr>
        <w:t>共设置一级指标3个，二级指标</w:t>
      </w:r>
      <w:r>
        <w:rPr>
          <w:rStyle w:val="12"/>
          <w:rFonts w:hint="eastAsia" w:ascii="仿宋_GB2312" w:hAnsi="仿宋_GB2312" w:eastAsia="仿宋_GB2312" w:cs="仿宋_GB2312"/>
          <w:b w:val="0"/>
          <w:bCs w:val="0"/>
          <w:color w:val="auto"/>
          <w:spacing w:val="-4"/>
          <w:sz w:val="32"/>
          <w:szCs w:val="32"/>
          <w:highlight w:val="none"/>
          <w:lang w:val="en-US" w:eastAsia="zh-CN"/>
        </w:rPr>
        <w:t>7</w:t>
      </w:r>
      <w:r>
        <w:rPr>
          <w:rStyle w:val="12"/>
          <w:rFonts w:hint="eastAsia" w:ascii="仿宋_GB2312" w:hAnsi="仿宋_GB2312" w:eastAsia="仿宋_GB2312" w:cs="仿宋_GB2312"/>
          <w:b w:val="0"/>
          <w:bCs w:val="0"/>
          <w:color w:val="auto"/>
          <w:spacing w:val="-4"/>
          <w:sz w:val="32"/>
          <w:szCs w:val="32"/>
          <w:highlight w:val="none"/>
        </w:rPr>
        <w:t>个，三级指标</w:t>
      </w:r>
      <w:r>
        <w:rPr>
          <w:rStyle w:val="12"/>
          <w:rFonts w:hint="eastAsia" w:ascii="仿宋_GB2312" w:hAnsi="仿宋_GB2312" w:eastAsia="仿宋_GB2312" w:cs="仿宋_GB2312"/>
          <w:b w:val="0"/>
          <w:bCs w:val="0"/>
          <w:color w:val="auto"/>
          <w:spacing w:val="-4"/>
          <w:sz w:val="32"/>
          <w:szCs w:val="32"/>
          <w:highlight w:val="none"/>
          <w:lang w:val="en-US" w:eastAsia="zh-CN"/>
        </w:rPr>
        <w:t>12</w:t>
      </w:r>
      <w:r>
        <w:rPr>
          <w:rStyle w:val="12"/>
          <w:rFonts w:hint="eastAsia" w:ascii="仿宋_GB2312" w:hAnsi="仿宋_GB2312" w:eastAsia="仿宋_GB2312" w:cs="仿宋_GB2312"/>
          <w:b w:val="0"/>
          <w:bCs w:val="0"/>
          <w:color w:val="auto"/>
          <w:spacing w:val="-4"/>
          <w:sz w:val="32"/>
          <w:szCs w:val="32"/>
          <w:highlight w:val="none"/>
        </w:rPr>
        <w:t>个。</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rPr>
      </w:pPr>
      <w:r>
        <w:rPr>
          <w:rStyle w:val="12"/>
          <w:rFonts w:hint="eastAsia" w:ascii="仿宋_GB2312" w:hAnsi="仿宋_GB2312" w:eastAsia="仿宋_GB2312" w:cs="仿宋_GB2312"/>
          <w:b/>
          <w:bCs/>
          <w:spacing w:val="-4"/>
          <w:sz w:val="32"/>
          <w:szCs w:val="32"/>
          <w:highlight w:val="none"/>
          <w:lang w:eastAsia="zh-CN"/>
        </w:rPr>
        <w:t>（</w:t>
      </w:r>
      <w:r>
        <w:rPr>
          <w:rStyle w:val="12"/>
          <w:rFonts w:hint="eastAsia" w:ascii="仿宋_GB2312" w:hAnsi="仿宋_GB2312" w:eastAsia="仿宋_GB2312" w:cs="仿宋_GB2312"/>
          <w:b/>
          <w:bCs/>
          <w:spacing w:val="-4"/>
          <w:sz w:val="32"/>
          <w:szCs w:val="32"/>
          <w:highlight w:val="none"/>
          <w:lang w:val="en-US" w:eastAsia="zh-CN"/>
        </w:rPr>
        <w:t>一）</w:t>
      </w:r>
      <w:r>
        <w:rPr>
          <w:rStyle w:val="12"/>
          <w:rFonts w:hint="eastAsia" w:ascii="仿宋_GB2312" w:hAnsi="仿宋_GB2312" w:eastAsia="仿宋_GB2312" w:cs="仿宋_GB2312"/>
          <w:b/>
          <w:bCs/>
          <w:spacing w:val="-4"/>
          <w:sz w:val="32"/>
          <w:szCs w:val="32"/>
          <w:highlight w:val="none"/>
        </w:rPr>
        <w:t>产出指标完成情况分析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rPr>
      </w:pPr>
      <w:r>
        <w:rPr>
          <w:rStyle w:val="12"/>
          <w:rFonts w:hint="eastAsia" w:ascii="仿宋_GB2312" w:hAnsi="仿宋_GB2312" w:eastAsia="仿宋_GB2312" w:cs="仿宋_GB2312"/>
          <w:b/>
          <w:bCs/>
          <w:spacing w:val="-4"/>
          <w:sz w:val="32"/>
          <w:szCs w:val="32"/>
          <w:highlight w:val="none"/>
          <w:lang w:val="en-US" w:eastAsia="zh-CN"/>
        </w:rPr>
        <w:t>1.产出</w:t>
      </w:r>
      <w:r>
        <w:rPr>
          <w:rStyle w:val="12"/>
          <w:rFonts w:hint="eastAsia" w:ascii="仿宋_GB2312" w:hAnsi="仿宋_GB2312" w:eastAsia="仿宋_GB2312" w:cs="仿宋_GB2312"/>
          <w:b/>
          <w:bCs/>
          <w:spacing w:val="-4"/>
          <w:sz w:val="32"/>
          <w:szCs w:val="32"/>
          <w:highlight w:val="none"/>
        </w:rPr>
        <w:t>数量</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保障人员人数指标，预期指标是大于等于</w:t>
      </w:r>
      <w:r>
        <w:rPr>
          <w:rFonts w:hint="eastAsia" w:ascii="仿宋" w:hAnsi="仿宋" w:eastAsia="仿宋" w:cs="宋体"/>
          <w:bCs/>
          <w:color w:val="auto"/>
          <w:sz w:val="32"/>
          <w:szCs w:val="32"/>
          <w:lang w:val="en-US" w:eastAsia="zh-CN" w:bidi="ar"/>
        </w:rPr>
        <w:t>9</w:t>
      </w:r>
      <w:r>
        <w:rPr>
          <w:rStyle w:val="12"/>
          <w:rFonts w:hint="eastAsia" w:ascii="仿宋_GB2312" w:hAnsi="仿宋_GB2312" w:eastAsia="仿宋_GB2312" w:cs="仿宋_GB2312"/>
          <w:b w:val="0"/>
          <w:bCs w:val="0"/>
          <w:color w:val="auto"/>
          <w:spacing w:val="-4"/>
          <w:sz w:val="32"/>
          <w:szCs w:val="32"/>
          <w:highlight w:val="none"/>
          <w:lang w:val="en-US" w:eastAsia="zh-CN"/>
        </w:rPr>
        <w:t>人，实际完成值是</w:t>
      </w:r>
      <w:r>
        <w:rPr>
          <w:rFonts w:hint="eastAsia" w:ascii="仿宋" w:hAnsi="仿宋" w:eastAsia="仿宋" w:cs="宋体"/>
          <w:bCs/>
          <w:color w:val="auto"/>
          <w:sz w:val="32"/>
          <w:szCs w:val="32"/>
          <w:lang w:val="en-US" w:eastAsia="zh-CN" w:bidi="ar"/>
        </w:rPr>
        <w:t>9</w:t>
      </w:r>
      <w:r>
        <w:rPr>
          <w:rStyle w:val="12"/>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2"/>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8"/>
        <w:snapToGrid w:val="0"/>
        <w:spacing w:line="540" w:lineRule="exact"/>
        <w:ind w:firstLine="640"/>
        <w:rPr>
          <w:rStyle w:val="12"/>
          <w:rFonts w:ascii="仿宋" w:hAnsi="仿宋" w:eastAsia="仿宋" w:cs="仿宋_GB2312"/>
          <w:b w:val="0"/>
          <w:sz w:val="32"/>
          <w:szCs w:val="32"/>
          <w:lang w:bidi="ar"/>
        </w:rPr>
      </w:pPr>
      <w:r>
        <w:rPr>
          <w:rStyle w:val="12"/>
          <w:rFonts w:hint="eastAsia" w:ascii="仿宋" w:hAnsi="仿宋" w:eastAsia="仿宋" w:cs="仿宋_GB2312"/>
          <w:b w:val="0"/>
          <w:sz w:val="32"/>
          <w:szCs w:val="32"/>
          <w:lang w:bidi="ar"/>
        </w:rPr>
        <w:t>保障职工人员数（人），预期指标是</w:t>
      </w:r>
      <w:r>
        <w:rPr>
          <w:rStyle w:val="12"/>
          <w:rFonts w:hint="eastAsia" w:ascii="仿宋" w:hAnsi="仿宋" w:eastAsia="仿宋" w:cs="仿宋_GB2312"/>
          <w:b w:val="0"/>
          <w:sz w:val="32"/>
          <w:szCs w:val="32"/>
          <w:lang w:val="en-US" w:eastAsia="zh-CN" w:bidi="ar"/>
        </w:rPr>
        <w:t>9</w:t>
      </w:r>
      <w:r>
        <w:rPr>
          <w:rStyle w:val="12"/>
          <w:rFonts w:hint="eastAsia" w:ascii="仿宋" w:hAnsi="仿宋" w:eastAsia="仿宋" w:cs="仿宋_GB2312"/>
          <w:b w:val="0"/>
          <w:sz w:val="32"/>
          <w:szCs w:val="32"/>
          <w:lang w:bidi="ar"/>
        </w:rPr>
        <w:t>，实际完成值</w:t>
      </w:r>
      <w:r>
        <w:rPr>
          <w:rStyle w:val="12"/>
          <w:rFonts w:hint="eastAsia" w:ascii="仿宋" w:hAnsi="仿宋" w:eastAsia="仿宋" w:cs="仿宋_GB2312"/>
          <w:b w:val="0"/>
          <w:sz w:val="32"/>
          <w:szCs w:val="32"/>
          <w:lang w:val="en-US" w:eastAsia="zh-CN" w:bidi="ar"/>
        </w:rPr>
        <w:t>9</w:t>
      </w:r>
      <w:r>
        <w:rPr>
          <w:rStyle w:val="12"/>
          <w:rFonts w:hint="eastAsia" w:ascii="仿宋" w:hAnsi="仿宋" w:eastAsia="仿宋" w:cs="仿宋_GB2312"/>
          <w:b w:val="0"/>
          <w:sz w:val="32"/>
          <w:szCs w:val="32"/>
          <w:lang w:bidi="ar"/>
        </w:rPr>
        <w:t>，指标完成率是100%，达到预期目标。</w:t>
      </w:r>
    </w:p>
    <w:p>
      <w:pPr>
        <w:pStyle w:val="18"/>
        <w:snapToGrid w:val="0"/>
        <w:spacing w:line="540" w:lineRule="exact"/>
        <w:ind w:firstLine="640"/>
        <w:rPr>
          <w:rStyle w:val="12"/>
          <w:rFonts w:hint="eastAsia" w:ascii="仿宋" w:hAnsi="仿宋" w:eastAsia="仿宋" w:cs="仿宋_GB2312"/>
          <w:b w:val="0"/>
          <w:sz w:val="32"/>
          <w:szCs w:val="32"/>
          <w:lang w:bidi="ar"/>
        </w:rPr>
      </w:pPr>
      <w:r>
        <w:rPr>
          <w:rStyle w:val="12"/>
          <w:rFonts w:hint="eastAsia" w:ascii="仿宋" w:hAnsi="仿宋" w:eastAsia="仿宋" w:cs="仿宋_GB2312"/>
          <w:b w:val="0"/>
          <w:sz w:val="32"/>
          <w:szCs w:val="32"/>
          <w:lang w:bidi="ar"/>
        </w:rPr>
        <w:t>保障车辆数（辆），预期指标是</w:t>
      </w:r>
      <w:r>
        <w:rPr>
          <w:rStyle w:val="12"/>
          <w:rFonts w:hint="eastAsia" w:ascii="仿宋" w:hAnsi="仿宋" w:eastAsia="仿宋" w:cs="仿宋_GB2312"/>
          <w:b w:val="0"/>
          <w:sz w:val="32"/>
          <w:szCs w:val="32"/>
          <w:lang w:val="en-US" w:eastAsia="zh-CN" w:bidi="ar"/>
        </w:rPr>
        <w:t>3</w:t>
      </w:r>
      <w:r>
        <w:rPr>
          <w:rStyle w:val="12"/>
          <w:rFonts w:hint="eastAsia" w:ascii="仿宋" w:hAnsi="仿宋" w:eastAsia="仿宋" w:cs="仿宋_GB2312"/>
          <w:b w:val="0"/>
          <w:sz w:val="32"/>
          <w:szCs w:val="32"/>
          <w:lang w:bidi="ar"/>
        </w:rPr>
        <w:t>，实际完成值</w:t>
      </w:r>
      <w:r>
        <w:rPr>
          <w:rStyle w:val="12"/>
          <w:rFonts w:hint="eastAsia" w:ascii="仿宋" w:hAnsi="仿宋" w:eastAsia="仿宋" w:cs="仿宋_GB2312"/>
          <w:b w:val="0"/>
          <w:sz w:val="32"/>
          <w:szCs w:val="32"/>
          <w:lang w:val="en-US" w:eastAsia="zh-CN" w:bidi="ar"/>
        </w:rPr>
        <w:t>3</w:t>
      </w:r>
      <w:r>
        <w:rPr>
          <w:rStyle w:val="12"/>
          <w:rFonts w:hint="eastAsia" w:ascii="仿宋" w:hAnsi="仿宋" w:eastAsia="仿宋" w:cs="仿宋_GB2312"/>
          <w:b w:val="0"/>
          <w:sz w:val="32"/>
          <w:szCs w:val="32"/>
          <w:lang w:bidi="ar"/>
        </w:rPr>
        <w:t>，指标完成率是100%，达到预期目标。</w:t>
      </w:r>
    </w:p>
    <w:p>
      <w:pPr>
        <w:pStyle w:val="18"/>
        <w:snapToGrid w:val="0"/>
        <w:spacing w:line="540" w:lineRule="exact"/>
        <w:ind w:firstLine="640"/>
        <w:rPr>
          <w:rStyle w:val="12"/>
          <w:rFonts w:hint="eastAsia" w:ascii="仿宋" w:hAnsi="仿宋" w:eastAsia="仿宋" w:cs="仿宋_GB2312"/>
          <w:b w:val="0"/>
          <w:sz w:val="32"/>
          <w:szCs w:val="32"/>
          <w:lang w:bidi="ar"/>
        </w:rPr>
      </w:pPr>
      <w:r>
        <w:rPr>
          <w:rStyle w:val="12"/>
          <w:rFonts w:hint="eastAsia" w:ascii="仿宋" w:hAnsi="仿宋" w:eastAsia="仿宋" w:cs="仿宋_GB2312"/>
          <w:b w:val="0"/>
          <w:sz w:val="32"/>
          <w:szCs w:val="32"/>
          <w:lang w:bidi="ar"/>
        </w:rPr>
        <w:t>科普大篷车进社区、进校园、进乡村（场次）</w:t>
      </w:r>
      <w:r>
        <w:rPr>
          <w:rStyle w:val="12"/>
          <w:rFonts w:hint="eastAsia" w:ascii="仿宋" w:hAnsi="仿宋" w:eastAsia="仿宋" w:cs="仿宋_GB2312"/>
          <w:b w:val="0"/>
          <w:sz w:val="32"/>
          <w:szCs w:val="32"/>
          <w:lang w:eastAsia="zh-CN" w:bidi="ar"/>
        </w:rPr>
        <w:t>，</w:t>
      </w:r>
      <w:r>
        <w:rPr>
          <w:rStyle w:val="12"/>
          <w:rFonts w:hint="eastAsia" w:ascii="仿宋" w:hAnsi="仿宋" w:eastAsia="仿宋" w:cs="仿宋_GB2312"/>
          <w:b w:val="0"/>
          <w:sz w:val="32"/>
          <w:szCs w:val="32"/>
          <w:lang w:bidi="ar"/>
        </w:rPr>
        <w:t>预期指标是</w:t>
      </w:r>
      <w:r>
        <w:rPr>
          <w:rStyle w:val="12"/>
          <w:rFonts w:hint="eastAsia" w:ascii="仿宋" w:hAnsi="仿宋" w:eastAsia="仿宋" w:cs="仿宋_GB2312"/>
          <w:b w:val="0"/>
          <w:sz w:val="32"/>
          <w:szCs w:val="32"/>
          <w:lang w:val="en-US" w:eastAsia="zh-CN" w:bidi="ar"/>
        </w:rPr>
        <w:t>54</w:t>
      </w:r>
      <w:r>
        <w:rPr>
          <w:rStyle w:val="12"/>
          <w:rFonts w:hint="eastAsia" w:ascii="仿宋" w:hAnsi="仿宋" w:eastAsia="仿宋" w:cs="仿宋_GB2312"/>
          <w:b w:val="0"/>
          <w:sz w:val="32"/>
          <w:szCs w:val="32"/>
          <w:lang w:bidi="ar"/>
        </w:rPr>
        <w:t>，实际完成值</w:t>
      </w:r>
      <w:r>
        <w:rPr>
          <w:rStyle w:val="12"/>
          <w:rFonts w:hint="eastAsia" w:ascii="仿宋" w:hAnsi="仿宋" w:eastAsia="仿宋" w:cs="仿宋_GB2312"/>
          <w:b w:val="0"/>
          <w:sz w:val="32"/>
          <w:szCs w:val="32"/>
          <w:lang w:val="en-US" w:eastAsia="zh-CN" w:bidi="ar"/>
        </w:rPr>
        <w:t>54</w:t>
      </w:r>
      <w:r>
        <w:rPr>
          <w:rStyle w:val="12"/>
          <w:rFonts w:hint="eastAsia" w:ascii="仿宋" w:hAnsi="仿宋" w:eastAsia="仿宋" w:cs="仿宋_GB2312"/>
          <w:b w:val="0"/>
          <w:sz w:val="32"/>
          <w:szCs w:val="32"/>
          <w:lang w:bidi="ar"/>
        </w:rPr>
        <w:t>，指标完成率是100%，达到预期目标。</w:t>
      </w:r>
    </w:p>
    <w:p>
      <w:pPr>
        <w:pStyle w:val="18"/>
        <w:snapToGrid w:val="0"/>
        <w:spacing w:line="540" w:lineRule="exact"/>
        <w:ind w:firstLine="640"/>
        <w:rPr>
          <w:rStyle w:val="12"/>
          <w:rFonts w:hint="eastAsia" w:ascii="仿宋" w:hAnsi="仿宋" w:eastAsia="仿宋" w:cs="仿宋_GB2312"/>
          <w:b w:val="0"/>
          <w:sz w:val="32"/>
          <w:szCs w:val="32"/>
          <w:lang w:bidi="ar"/>
        </w:rPr>
      </w:pPr>
      <w:r>
        <w:rPr>
          <w:rStyle w:val="12"/>
          <w:rFonts w:hint="eastAsia" w:ascii="仿宋" w:hAnsi="仿宋" w:eastAsia="仿宋" w:cs="仿宋_GB2312"/>
          <w:b w:val="0"/>
          <w:sz w:val="32"/>
          <w:szCs w:val="32"/>
          <w:lang w:bidi="ar"/>
        </w:rPr>
        <w:t>科技馆年度正常免费开馆时间（天）</w:t>
      </w:r>
      <w:r>
        <w:rPr>
          <w:rStyle w:val="12"/>
          <w:rFonts w:hint="eastAsia" w:ascii="仿宋" w:hAnsi="仿宋" w:eastAsia="仿宋" w:cs="仿宋_GB2312"/>
          <w:b w:val="0"/>
          <w:sz w:val="32"/>
          <w:szCs w:val="32"/>
          <w:lang w:eastAsia="zh-CN" w:bidi="ar"/>
        </w:rPr>
        <w:t>，</w:t>
      </w:r>
      <w:r>
        <w:rPr>
          <w:rStyle w:val="12"/>
          <w:rFonts w:hint="eastAsia" w:ascii="仿宋" w:hAnsi="仿宋" w:eastAsia="仿宋" w:cs="仿宋_GB2312"/>
          <w:b w:val="0"/>
          <w:sz w:val="32"/>
          <w:szCs w:val="32"/>
          <w:lang w:bidi="ar"/>
        </w:rPr>
        <w:t>预期指标是</w:t>
      </w:r>
      <w:r>
        <w:rPr>
          <w:rStyle w:val="12"/>
          <w:rFonts w:hint="eastAsia" w:ascii="仿宋" w:hAnsi="仿宋" w:eastAsia="仿宋" w:cs="仿宋_GB2312"/>
          <w:b w:val="0"/>
          <w:sz w:val="32"/>
          <w:szCs w:val="32"/>
          <w:lang w:val="en-US" w:eastAsia="zh-CN" w:bidi="ar"/>
        </w:rPr>
        <w:t>220</w:t>
      </w:r>
      <w:r>
        <w:rPr>
          <w:rStyle w:val="12"/>
          <w:rFonts w:hint="eastAsia" w:ascii="仿宋" w:hAnsi="仿宋" w:eastAsia="仿宋" w:cs="仿宋_GB2312"/>
          <w:b w:val="0"/>
          <w:sz w:val="32"/>
          <w:szCs w:val="32"/>
          <w:lang w:bidi="ar"/>
        </w:rPr>
        <w:t>，实际完成值</w:t>
      </w:r>
      <w:r>
        <w:rPr>
          <w:rStyle w:val="12"/>
          <w:rFonts w:hint="eastAsia" w:ascii="仿宋" w:hAnsi="仿宋" w:eastAsia="仿宋" w:cs="仿宋_GB2312"/>
          <w:b w:val="0"/>
          <w:sz w:val="32"/>
          <w:szCs w:val="32"/>
          <w:lang w:val="en-US" w:eastAsia="zh-CN" w:bidi="ar"/>
        </w:rPr>
        <w:t>220</w:t>
      </w:r>
      <w:r>
        <w:rPr>
          <w:rStyle w:val="12"/>
          <w:rFonts w:hint="eastAsia" w:ascii="仿宋" w:hAnsi="仿宋" w:eastAsia="仿宋" w:cs="仿宋_GB2312"/>
          <w:b w:val="0"/>
          <w:sz w:val="32"/>
          <w:szCs w:val="32"/>
          <w:lang w:bidi="ar"/>
        </w:rPr>
        <w:t>，指标完成率是100%，达到预期目标。</w:t>
      </w:r>
    </w:p>
    <w:p>
      <w:pPr>
        <w:pStyle w:val="18"/>
        <w:snapToGrid w:val="0"/>
        <w:spacing w:line="540" w:lineRule="exact"/>
        <w:ind w:firstLine="640"/>
        <w:rPr>
          <w:rStyle w:val="12"/>
          <w:rFonts w:hint="eastAsia" w:ascii="仿宋" w:hAnsi="仿宋" w:eastAsia="仿宋" w:cs="仿宋_GB2312"/>
          <w:b w:val="0"/>
          <w:sz w:val="32"/>
          <w:szCs w:val="32"/>
          <w:lang w:bidi="ar"/>
        </w:rPr>
      </w:pPr>
    </w:p>
    <w:p>
      <w:pPr>
        <w:pStyle w:val="18"/>
        <w:snapToGrid w:val="0"/>
        <w:spacing w:line="540" w:lineRule="exact"/>
        <w:ind w:firstLine="640"/>
        <w:rPr>
          <w:rStyle w:val="12"/>
          <w:rFonts w:ascii="仿宋" w:hAnsi="仿宋" w:eastAsia="仿宋" w:cs="仿宋_GB2312"/>
          <w:b w:val="0"/>
          <w:sz w:val="32"/>
          <w:szCs w:val="32"/>
          <w:lang w:bidi="ar"/>
        </w:rPr>
      </w:pPr>
      <w:r>
        <w:rPr>
          <w:rStyle w:val="12"/>
          <w:rFonts w:hint="eastAsia" w:ascii="仿宋" w:hAnsi="仿宋" w:eastAsia="仿宋" w:cs="仿宋_GB2312"/>
          <w:b w:val="0"/>
          <w:sz w:val="32"/>
          <w:szCs w:val="32"/>
          <w:lang w:bidi="ar"/>
        </w:rPr>
        <w:t>数量指标共计4个，完成4个，达到预期目标，数量指标完成。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spacing w:val="-4"/>
          <w:sz w:val="32"/>
          <w:szCs w:val="32"/>
          <w:highlight w:val="none"/>
        </w:rPr>
      </w:pPr>
      <w:r>
        <w:rPr>
          <w:rStyle w:val="12"/>
          <w:rFonts w:hint="eastAsia" w:ascii="仿宋_GB2312" w:hAnsi="仿宋_GB2312" w:eastAsia="仿宋_GB2312" w:cs="仿宋_GB2312"/>
          <w:b/>
          <w:bCs/>
          <w:spacing w:val="-4"/>
          <w:sz w:val="32"/>
          <w:szCs w:val="32"/>
          <w:highlight w:val="none"/>
          <w:lang w:val="en-US" w:eastAsia="zh-CN"/>
        </w:rPr>
        <w:t>2.产出</w:t>
      </w:r>
      <w:r>
        <w:rPr>
          <w:rStyle w:val="12"/>
          <w:rFonts w:hint="eastAsia" w:ascii="仿宋_GB2312" w:hAnsi="仿宋_GB2312" w:eastAsia="仿宋_GB2312" w:cs="仿宋_GB2312"/>
          <w:b/>
          <w:bCs/>
          <w:spacing w:val="-4"/>
          <w:sz w:val="32"/>
          <w:szCs w:val="32"/>
          <w:highlight w:val="none"/>
        </w:rPr>
        <w:t>质量</w:t>
      </w:r>
    </w:p>
    <w:p>
      <w:pPr>
        <w:pStyle w:val="18"/>
        <w:snapToGrid w:val="0"/>
        <w:spacing w:line="540" w:lineRule="exact"/>
        <w:ind w:firstLine="640"/>
        <w:rPr>
          <w:rStyle w:val="12"/>
          <w:rFonts w:ascii="仿宋" w:hAnsi="仿宋" w:eastAsia="仿宋" w:cs="仿宋_GB2312"/>
          <w:b w:val="0"/>
          <w:sz w:val="32"/>
          <w:szCs w:val="32"/>
          <w:lang w:bidi="ar"/>
        </w:rPr>
      </w:pPr>
      <w:r>
        <w:rPr>
          <w:rStyle w:val="12"/>
          <w:rFonts w:hint="eastAsia" w:ascii="仿宋" w:hAnsi="仿宋" w:eastAsia="仿宋" w:cs="仿宋_GB2312"/>
          <w:b w:val="0"/>
          <w:sz w:val="32"/>
          <w:szCs w:val="32"/>
          <w:lang w:bidi="ar"/>
        </w:rPr>
        <w:t>资金发放合规率指标，预期指标是等于100%，实际完成值是100%，指标完成率是100%，达到质量提升及标准。</w:t>
      </w:r>
    </w:p>
    <w:p>
      <w:pPr>
        <w:pStyle w:val="18"/>
        <w:snapToGrid w:val="0"/>
        <w:spacing w:line="540" w:lineRule="exact"/>
        <w:ind w:firstLine="640"/>
        <w:rPr>
          <w:rStyle w:val="12"/>
          <w:rFonts w:ascii="仿宋" w:hAnsi="仿宋" w:eastAsia="仿宋" w:cs="仿宋_GB2312"/>
          <w:b w:val="0"/>
          <w:sz w:val="32"/>
          <w:szCs w:val="32"/>
          <w:lang w:bidi="ar"/>
        </w:rPr>
      </w:pPr>
      <w:r>
        <w:rPr>
          <w:rStyle w:val="12"/>
          <w:rFonts w:hint="eastAsia" w:ascii="仿宋" w:hAnsi="仿宋" w:eastAsia="仿宋" w:cs="仿宋_GB2312"/>
          <w:b w:val="0"/>
          <w:sz w:val="32"/>
          <w:szCs w:val="32"/>
          <w:lang w:bidi="ar"/>
        </w:rPr>
        <w:t>质量指标共计1个，完成1个，达到质量提升及标准。质量指标完成。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spacing w:val="-4"/>
          <w:sz w:val="32"/>
          <w:szCs w:val="32"/>
          <w:highlight w:val="none"/>
        </w:rPr>
      </w:pPr>
      <w:r>
        <w:rPr>
          <w:rStyle w:val="12"/>
          <w:rFonts w:hint="eastAsia" w:ascii="仿宋_GB2312" w:hAnsi="仿宋_GB2312" w:eastAsia="仿宋_GB2312" w:cs="仿宋_GB2312"/>
          <w:b/>
          <w:bCs/>
          <w:i w:val="0"/>
          <w:iCs w:val="0"/>
          <w:spacing w:val="-4"/>
          <w:sz w:val="32"/>
          <w:szCs w:val="32"/>
          <w:highlight w:val="none"/>
          <w:lang w:val="en-US" w:eastAsia="zh-CN"/>
        </w:rPr>
        <w:t>3.产出进</w:t>
      </w:r>
      <w:r>
        <w:rPr>
          <w:rStyle w:val="12"/>
          <w:rFonts w:hint="eastAsia" w:ascii="仿宋_GB2312" w:hAnsi="仿宋_GB2312" w:eastAsia="仿宋_GB2312" w:cs="仿宋_GB2312"/>
          <w:b/>
          <w:bCs/>
          <w:i w:val="0"/>
          <w:iCs w:val="0"/>
          <w:spacing w:val="-4"/>
          <w:sz w:val="32"/>
          <w:szCs w:val="32"/>
          <w:highlight w:val="none"/>
        </w:rPr>
        <w:t>度</w:t>
      </w:r>
    </w:p>
    <w:p>
      <w:pPr>
        <w:pStyle w:val="18"/>
        <w:snapToGrid w:val="0"/>
        <w:spacing w:line="540" w:lineRule="exact"/>
        <w:ind w:firstLine="640"/>
        <w:rPr>
          <w:rStyle w:val="12"/>
          <w:rFonts w:ascii="仿宋" w:hAnsi="仿宋" w:eastAsia="仿宋" w:cs="仿宋_GB2312"/>
          <w:b w:val="0"/>
          <w:sz w:val="32"/>
          <w:szCs w:val="32"/>
          <w:lang w:bidi="ar"/>
        </w:rPr>
      </w:pPr>
      <w:r>
        <w:rPr>
          <w:rStyle w:val="12"/>
          <w:rFonts w:hint="eastAsia" w:ascii="仿宋" w:hAnsi="仿宋" w:eastAsia="仿宋" w:cs="仿宋_GB2312"/>
          <w:b w:val="0"/>
          <w:sz w:val="32"/>
          <w:szCs w:val="32"/>
          <w:lang w:bidi="ar"/>
        </w:rPr>
        <w:t>资金拨付及时率指标，预期指标是等于100%，实际完成值是100%，指标完成率是100%，达到预期目标。</w:t>
      </w:r>
    </w:p>
    <w:p>
      <w:pPr>
        <w:pStyle w:val="18"/>
        <w:snapToGrid w:val="0"/>
        <w:spacing w:line="540" w:lineRule="exact"/>
        <w:ind w:firstLine="640"/>
        <w:rPr>
          <w:rStyle w:val="12"/>
          <w:rFonts w:ascii="仿宋" w:hAnsi="仿宋" w:eastAsia="仿宋" w:cs="仿宋_GB2312"/>
          <w:b w:val="0"/>
          <w:sz w:val="32"/>
          <w:szCs w:val="32"/>
          <w:lang w:bidi="ar"/>
        </w:rPr>
      </w:pPr>
      <w:r>
        <w:rPr>
          <w:rStyle w:val="12"/>
          <w:rFonts w:hint="eastAsia" w:ascii="仿宋" w:hAnsi="仿宋" w:eastAsia="仿宋" w:cs="仿宋_GB2312"/>
          <w:b w:val="0"/>
          <w:sz w:val="32"/>
          <w:szCs w:val="32"/>
          <w:lang w:bidi="ar"/>
        </w:rPr>
        <w:t>时效指标共计1个，完成1个，达到预期目标，数量指标完成。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4.产出成本</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经费资金总金额指标，预期指标是小于等于</w:t>
      </w:r>
      <w:r>
        <w:rPr>
          <w:rStyle w:val="12"/>
          <w:rFonts w:hint="eastAsia" w:ascii="仿宋_GB2312" w:hAnsi="仿宋_GB2312" w:eastAsia="仿宋_GB2312" w:cs="仿宋_GB2312"/>
          <w:b w:val="0"/>
          <w:bCs w:val="0"/>
          <w:color w:val="auto"/>
          <w:spacing w:val="-4"/>
          <w:sz w:val="32"/>
          <w:szCs w:val="32"/>
          <w:highlight w:val="none"/>
          <w:lang w:val="en-US" w:eastAsia="zh-CN"/>
        </w:rPr>
        <w:t>118.83</w:t>
      </w:r>
      <w:r>
        <w:rPr>
          <w:rStyle w:val="12"/>
          <w:rFonts w:hint="eastAsia" w:ascii="仿宋_GB2312" w:hAnsi="仿宋_GB2312" w:eastAsia="仿宋_GB2312" w:cs="仿宋_GB2312"/>
          <w:b w:val="0"/>
          <w:bCs w:val="0"/>
          <w:color w:val="auto"/>
          <w:spacing w:val="-4"/>
          <w:sz w:val="32"/>
          <w:szCs w:val="32"/>
          <w:highlight w:val="none"/>
        </w:rPr>
        <w:t>万元，实际完成值是</w:t>
      </w:r>
      <w:r>
        <w:rPr>
          <w:rStyle w:val="12"/>
          <w:rFonts w:hint="eastAsia" w:ascii="仿宋_GB2312" w:hAnsi="仿宋_GB2312" w:eastAsia="仿宋_GB2312" w:cs="仿宋_GB2312"/>
          <w:b w:val="0"/>
          <w:bCs w:val="0"/>
          <w:color w:val="auto"/>
          <w:spacing w:val="-4"/>
          <w:sz w:val="32"/>
          <w:szCs w:val="32"/>
          <w:highlight w:val="none"/>
          <w:lang w:val="en-US" w:eastAsia="zh-CN"/>
        </w:rPr>
        <w:t>118.83</w:t>
      </w:r>
      <w:r>
        <w:rPr>
          <w:rStyle w:val="12"/>
          <w:rFonts w:hint="eastAsia" w:ascii="仿宋_GB2312" w:hAnsi="仿宋_GB2312" w:eastAsia="仿宋_GB2312" w:cs="仿宋_GB2312"/>
          <w:b w:val="0"/>
          <w:bCs w:val="0"/>
          <w:color w:val="auto"/>
          <w:spacing w:val="-4"/>
          <w:sz w:val="32"/>
          <w:szCs w:val="32"/>
          <w:highlight w:val="none"/>
        </w:rPr>
        <w:t>万元，指标完成率是</w:t>
      </w:r>
      <w:r>
        <w:rPr>
          <w:rStyle w:val="12"/>
          <w:rFonts w:hint="eastAsia" w:ascii="仿宋_GB2312" w:hAnsi="仿宋_GB2312" w:eastAsia="仿宋_GB2312" w:cs="仿宋_GB2312"/>
          <w:b w:val="0"/>
          <w:bCs w:val="0"/>
          <w:color w:val="auto"/>
          <w:spacing w:val="-4"/>
          <w:sz w:val="32"/>
          <w:szCs w:val="32"/>
          <w:highlight w:val="none"/>
          <w:lang w:val="en-US" w:eastAsia="zh-CN"/>
        </w:rPr>
        <w:t>100</w:t>
      </w:r>
      <w:r>
        <w:rPr>
          <w:rStyle w:val="12"/>
          <w:rFonts w:hint="eastAsia" w:ascii="仿宋_GB2312" w:hAnsi="仿宋_GB2312" w:eastAsia="仿宋_GB2312" w:cs="仿宋_GB2312"/>
          <w:b w:val="0"/>
          <w:bCs w:val="0"/>
          <w:color w:val="auto"/>
          <w:spacing w:val="-4"/>
          <w:sz w:val="32"/>
          <w:szCs w:val="32"/>
          <w:highlight w:val="none"/>
          <w:lang w:eastAsia="zh-CN"/>
        </w:rPr>
        <w:t>%</w:t>
      </w:r>
      <w:r>
        <w:rPr>
          <w:rStyle w:val="12"/>
          <w:rFonts w:hint="eastAsia" w:ascii="仿宋_GB2312" w:hAnsi="仿宋_GB2312" w:eastAsia="仿宋_GB2312" w:cs="仿宋_GB2312"/>
          <w:b w:val="0"/>
          <w:bCs w:val="0"/>
          <w:color w:val="auto"/>
          <w:spacing w:val="-4"/>
          <w:sz w:val="32"/>
          <w:szCs w:val="32"/>
          <w:highlight w:val="none"/>
        </w:rPr>
        <w:t>，达到</w:t>
      </w:r>
      <w:r>
        <w:rPr>
          <w:rStyle w:val="12"/>
          <w:rFonts w:hint="eastAsia" w:ascii="仿宋_GB2312" w:hAnsi="仿宋_GB2312" w:eastAsia="仿宋_GB2312" w:cs="仿宋_GB2312"/>
          <w:b w:val="0"/>
          <w:bCs w:val="0"/>
          <w:color w:val="auto"/>
          <w:spacing w:val="-4"/>
          <w:sz w:val="32"/>
          <w:szCs w:val="32"/>
          <w:highlight w:val="none"/>
          <w:lang w:eastAsia="zh-CN"/>
        </w:rPr>
        <w:t>成本控制及改善</w:t>
      </w:r>
      <w:r>
        <w:rPr>
          <w:rStyle w:val="12"/>
          <w:rFonts w:hint="eastAsia" w:ascii="仿宋_GB2312" w:hAnsi="仿宋_GB2312" w:eastAsia="仿宋_GB2312" w:cs="仿宋_GB2312"/>
          <w:b w:val="0"/>
          <w:bCs w:val="0"/>
          <w:color w:val="auto"/>
          <w:spacing w:val="-4"/>
          <w:sz w:val="32"/>
          <w:szCs w:val="32"/>
          <w:highlight w:val="none"/>
        </w:rPr>
        <w:t>目标。</w:t>
      </w:r>
    </w:p>
    <w:p>
      <w:pPr>
        <w:pStyle w:val="18"/>
        <w:snapToGrid w:val="0"/>
        <w:spacing w:line="540" w:lineRule="exact"/>
        <w:ind w:firstLine="640"/>
        <w:rPr>
          <w:rStyle w:val="12"/>
          <w:rFonts w:hint="eastAsia" w:ascii="仿宋" w:hAnsi="仿宋" w:eastAsia="仿宋" w:cs="仿宋_GB2312"/>
          <w:b w:val="0"/>
          <w:sz w:val="32"/>
          <w:szCs w:val="32"/>
          <w:lang w:bidi="ar"/>
        </w:rPr>
      </w:pPr>
      <w:r>
        <w:rPr>
          <w:rStyle w:val="12"/>
          <w:rFonts w:hint="eastAsia" w:ascii="仿宋" w:hAnsi="仿宋" w:eastAsia="仿宋" w:cs="仿宋_GB2312"/>
          <w:b w:val="0"/>
          <w:sz w:val="32"/>
          <w:szCs w:val="32"/>
          <w:lang w:bidi="ar"/>
        </w:rPr>
        <w:t>公用经费总金额指标，预期指标是</w:t>
      </w:r>
      <w:r>
        <w:rPr>
          <w:rStyle w:val="12"/>
          <w:rFonts w:hint="eastAsia" w:ascii="仿宋" w:hAnsi="仿宋" w:eastAsia="仿宋" w:cs="仿宋_GB2312"/>
          <w:b w:val="0"/>
          <w:sz w:val="32"/>
          <w:szCs w:val="32"/>
          <w:lang w:val="en-US" w:eastAsia="zh-CN" w:bidi="ar"/>
        </w:rPr>
        <w:t>2.21</w:t>
      </w:r>
      <w:r>
        <w:rPr>
          <w:rStyle w:val="12"/>
          <w:rFonts w:hint="eastAsia" w:ascii="仿宋" w:hAnsi="仿宋" w:eastAsia="仿宋" w:cs="仿宋_GB2312"/>
          <w:b w:val="0"/>
          <w:sz w:val="32"/>
          <w:szCs w:val="32"/>
          <w:lang w:bidi="ar"/>
        </w:rPr>
        <w:t>万元，实际完成值是</w:t>
      </w:r>
      <w:r>
        <w:rPr>
          <w:rStyle w:val="12"/>
          <w:rFonts w:hint="eastAsia" w:ascii="仿宋" w:hAnsi="仿宋" w:eastAsia="仿宋" w:cs="仿宋_GB2312"/>
          <w:b w:val="0"/>
          <w:sz w:val="32"/>
          <w:szCs w:val="32"/>
          <w:lang w:val="en-US" w:eastAsia="zh-CN" w:bidi="ar"/>
        </w:rPr>
        <w:t>2.07</w:t>
      </w:r>
      <w:r>
        <w:rPr>
          <w:rStyle w:val="12"/>
          <w:rFonts w:hint="eastAsia" w:ascii="仿宋" w:hAnsi="仿宋" w:eastAsia="仿宋" w:cs="仿宋_GB2312"/>
          <w:b w:val="0"/>
          <w:sz w:val="32"/>
          <w:szCs w:val="32"/>
          <w:lang w:bidi="ar"/>
        </w:rPr>
        <w:t>万元，指标完成率是</w:t>
      </w:r>
      <w:r>
        <w:rPr>
          <w:rStyle w:val="12"/>
          <w:rFonts w:hint="eastAsia" w:ascii="仿宋" w:hAnsi="仿宋" w:eastAsia="仿宋" w:cs="仿宋_GB2312"/>
          <w:b w:val="0"/>
          <w:sz w:val="32"/>
          <w:szCs w:val="32"/>
          <w:lang w:val="en-US" w:eastAsia="zh-CN" w:bidi="ar"/>
        </w:rPr>
        <w:t>93.67</w:t>
      </w:r>
      <w:r>
        <w:rPr>
          <w:rStyle w:val="12"/>
          <w:rFonts w:hint="eastAsia" w:ascii="仿宋" w:hAnsi="仿宋" w:eastAsia="仿宋" w:cs="仿宋_GB2312"/>
          <w:b w:val="0"/>
          <w:sz w:val="32"/>
          <w:szCs w:val="32"/>
          <w:lang w:bidi="ar"/>
        </w:rPr>
        <w:t>%，达到成预期目标。</w:t>
      </w:r>
    </w:p>
    <w:p>
      <w:pPr>
        <w:pStyle w:val="18"/>
        <w:snapToGrid w:val="0"/>
        <w:spacing w:line="540" w:lineRule="exact"/>
        <w:ind w:firstLine="640"/>
        <w:rPr>
          <w:rStyle w:val="12"/>
          <w:rFonts w:hint="eastAsia" w:ascii="仿宋" w:hAnsi="仿宋" w:eastAsia="仿宋" w:cs="仿宋_GB2312"/>
          <w:b w:val="0"/>
          <w:sz w:val="32"/>
          <w:szCs w:val="32"/>
          <w:lang w:bidi="ar"/>
        </w:rPr>
      </w:pPr>
      <w:r>
        <w:rPr>
          <w:rStyle w:val="12"/>
          <w:rFonts w:hint="eastAsia" w:ascii="仿宋" w:hAnsi="仿宋" w:eastAsia="仿宋" w:cs="仿宋_GB2312"/>
          <w:b w:val="0"/>
          <w:sz w:val="32"/>
          <w:szCs w:val="32"/>
          <w:lang w:bidi="ar"/>
        </w:rPr>
        <w:t>成本指标共计</w:t>
      </w:r>
      <w:r>
        <w:rPr>
          <w:rStyle w:val="12"/>
          <w:rFonts w:hint="eastAsia" w:ascii="仿宋" w:hAnsi="仿宋" w:eastAsia="仿宋" w:cs="仿宋_GB2312"/>
          <w:b w:val="0"/>
          <w:sz w:val="32"/>
          <w:szCs w:val="32"/>
          <w:lang w:val="en-US" w:eastAsia="zh-CN" w:bidi="ar"/>
        </w:rPr>
        <w:t>2</w:t>
      </w:r>
      <w:r>
        <w:rPr>
          <w:rStyle w:val="12"/>
          <w:rFonts w:hint="eastAsia" w:ascii="仿宋" w:hAnsi="仿宋" w:eastAsia="仿宋" w:cs="仿宋_GB2312"/>
          <w:b w:val="0"/>
          <w:sz w:val="32"/>
          <w:szCs w:val="32"/>
          <w:lang w:bidi="ar"/>
        </w:rPr>
        <w:t>个，完成2个，达到成本控制及改善目标，成本指标完成。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无。</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2.项目实施的社会效益分析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提升社会公众服务能力指标，预期指标是有效提升，实际完成值是有效提升，指标完成率是100%，达到单位履职能力对社会带来的影响预期目标。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社会效益指标共计</w:t>
      </w:r>
      <w:r>
        <w:rPr>
          <w:rStyle w:val="12"/>
          <w:rFonts w:hint="eastAsia" w:ascii="仿宋_GB2312" w:hAnsi="仿宋_GB2312" w:eastAsia="仿宋_GB2312" w:cs="仿宋_GB2312"/>
          <w:b w:val="0"/>
          <w:bCs w:val="0"/>
          <w:color w:val="auto"/>
          <w:spacing w:val="-4"/>
          <w:sz w:val="32"/>
          <w:szCs w:val="32"/>
          <w:highlight w:val="none"/>
          <w:lang w:val="en-US" w:eastAsia="zh-CN"/>
        </w:rPr>
        <w:t>2</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2</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2"/>
          <w:rFonts w:hint="eastAsia" w:ascii="仿宋_GB2312" w:hAnsi="仿宋_GB2312" w:eastAsia="仿宋_GB2312" w:cs="仿宋_GB2312"/>
          <w:b w:val="0"/>
          <w:bCs w:val="0"/>
          <w:color w:val="auto"/>
          <w:spacing w:val="-4"/>
          <w:sz w:val="32"/>
          <w:szCs w:val="32"/>
          <w:highlight w:val="none"/>
        </w:rPr>
        <w:t>，社会效益指标完成。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3.项目实施的生态效益分析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无。</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4.项目实施的可持续影响分析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保障单位日常工作正常开展指标，预期指标是持续保障，实际完成值是持续保障，指标完成率是100%，实现部门绩效长效机制建设，提高工作效率目标。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lang w:val="en-US" w:eastAsia="zh-CN"/>
        </w:rPr>
        <w:t>可持续影响</w:t>
      </w:r>
      <w:r>
        <w:rPr>
          <w:rStyle w:val="12"/>
          <w:rFonts w:hint="eastAsia" w:ascii="仿宋_GB2312" w:hAnsi="仿宋_GB2312" w:eastAsia="仿宋_GB2312" w:cs="仿宋_GB2312"/>
          <w:b w:val="0"/>
          <w:bCs w:val="0"/>
          <w:color w:val="auto"/>
          <w:spacing w:val="-4"/>
          <w:sz w:val="32"/>
          <w:szCs w:val="32"/>
          <w:highlight w:val="none"/>
        </w:rPr>
        <w:t>指标共计</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个，达到预期目标，</w:t>
      </w:r>
      <w:r>
        <w:rPr>
          <w:rStyle w:val="12"/>
          <w:rFonts w:hint="eastAsia" w:ascii="仿宋_GB2312" w:hAnsi="仿宋_GB2312" w:eastAsia="仿宋_GB2312" w:cs="仿宋_GB2312"/>
          <w:b w:val="0"/>
          <w:bCs w:val="0"/>
          <w:color w:val="auto"/>
          <w:spacing w:val="-4"/>
          <w:sz w:val="32"/>
          <w:szCs w:val="32"/>
          <w:highlight w:val="none"/>
          <w:lang w:val="en-US" w:eastAsia="zh-CN"/>
        </w:rPr>
        <w:t>可持续影响</w:t>
      </w:r>
      <w:r>
        <w:rPr>
          <w:rStyle w:val="12"/>
          <w:rFonts w:hint="eastAsia" w:ascii="仿宋_GB2312" w:hAnsi="仿宋_GB2312" w:eastAsia="仿宋_GB2312" w:cs="仿宋_GB2312"/>
          <w:b w:val="0"/>
          <w:bCs w:val="0"/>
          <w:color w:val="auto"/>
          <w:spacing w:val="-4"/>
          <w:sz w:val="32"/>
          <w:szCs w:val="32"/>
          <w:highlight w:val="none"/>
        </w:rPr>
        <w:t>指标完成。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i w:val="0"/>
          <w:iCs w:val="0"/>
          <w:spacing w:val="-4"/>
          <w:sz w:val="32"/>
          <w:szCs w:val="32"/>
          <w:highlight w:val="none"/>
          <w:lang w:val="en-US" w:eastAsia="zh-CN"/>
        </w:rPr>
      </w:pPr>
      <w:r>
        <w:rPr>
          <w:rStyle w:val="12"/>
          <w:rFonts w:hint="eastAsia" w:ascii="仿宋_GB2312" w:hAnsi="仿宋_GB2312" w:eastAsia="仿宋_GB2312" w:cs="仿宋_GB2312"/>
          <w:b/>
          <w:bCs/>
          <w:i w:val="0"/>
          <w:iCs w:val="0"/>
          <w:spacing w:val="-4"/>
          <w:sz w:val="32"/>
          <w:szCs w:val="32"/>
          <w:highlight w:val="none"/>
          <w:lang w:val="en-US" w:eastAsia="zh-CN"/>
        </w:rPr>
        <w:t>（三）满意度指标完成情况分析</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单位人员满意度指标，预期指标是大于等于95%，实际完成值是95%，指标完成率是100%，达到部门（单位）服务对象对部门履职效果的满意度。</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2"/>
          <w:rFonts w:hint="eastAsia" w:ascii="仿宋_GB2312" w:hAnsi="仿宋_GB2312" w:eastAsia="仿宋_GB2312" w:cs="仿宋_GB2312"/>
          <w:b w:val="0"/>
          <w:bCs w:val="0"/>
          <w:color w:val="FF0000"/>
          <w:spacing w:val="-4"/>
          <w:sz w:val="32"/>
          <w:szCs w:val="32"/>
          <w:highlight w:val="none"/>
        </w:rPr>
      </w:pPr>
      <w:r>
        <w:rPr>
          <w:rStyle w:val="12"/>
          <w:rFonts w:hint="eastAsia" w:ascii="仿宋_GB2312" w:hAnsi="仿宋_GB2312" w:eastAsia="仿宋_GB2312" w:cs="仿宋_GB2312"/>
          <w:b w:val="0"/>
          <w:bCs w:val="0"/>
          <w:color w:val="auto"/>
          <w:spacing w:val="-4"/>
          <w:sz w:val="32"/>
          <w:szCs w:val="32"/>
          <w:highlight w:val="none"/>
        </w:rPr>
        <w:t>满意度指标共计</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个，完成</w:t>
      </w:r>
      <w:r>
        <w:rPr>
          <w:rStyle w:val="12"/>
          <w:rFonts w:hint="eastAsia" w:ascii="仿宋_GB2312" w:hAnsi="仿宋_GB2312" w:eastAsia="仿宋_GB2312" w:cs="仿宋_GB2312"/>
          <w:b w:val="0"/>
          <w:bCs w:val="0"/>
          <w:color w:val="auto"/>
          <w:spacing w:val="-4"/>
          <w:sz w:val="32"/>
          <w:szCs w:val="32"/>
          <w:highlight w:val="none"/>
          <w:lang w:val="en-US" w:eastAsia="zh-CN"/>
        </w:rPr>
        <w:t>1</w:t>
      </w:r>
      <w:r>
        <w:rPr>
          <w:rStyle w:val="12"/>
          <w:rFonts w:hint="eastAsia" w:ascii="仿宋_GB2312" w:hAnsi="仿宋_GB2312" w:eastAsia="仿宋_GB2312" w:cs="仿宋_GB2312"/>
          <w:b w:val="0"/>
          <w:bCs w:val="0"/>
          <w:color w:val="auto"/>
          <w:spacing w:val="-4"/>
          <w:sz w:val="32"/>
          <w:szCs w:val="32"/>
          <w:highlight w:val="none"/>
        </w:rPr>
        <w:t>个，</w:t>
      </w:r>
      <w:r>
        <w:rPr>
          <w:rStyle w:val="12"/>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2"/>
          <w:rFonts w:hint="eastAsia" w:ascii="仿宋_GB2312" w:hAnsi="仿宋_GB2312" w:eastAsia="仿宋_GB2312" w:cs="仿宋_GB2312"/>
          <w:b w:val="0"/>
          <w:bCs w:val="0"/>
          <w:color w:val="auto"/>
          <w:spacing w:val="-4"/>
          <w:sz w:val="32"/>
          <w:szCs w:val="32"/>
          <w:highlight w:val="none"/>
        </w:rPr>
        <w:t>，服务对象满意度指标完成。</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6" w:name="_Toc22800_WPSOffice_Level1"/>
      <w:r>
        <w:rPr>
          <w:rStyle w:val="12"/>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2"/>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2"/>
          <w:rFonts w:hint="eastAsia" w:ascii="仿宋_GB2312" w:hAnsi="仿宋_GB2312" w:eastAsia="仿宋_GB2312" w:cs="仿宋_GB2312"/>
          <w:b w:val="0"/>
          <w:bCs w:val="0"/>
          <w:color w:val="auto"/>
          <w:spacing w:val="-4"/>
          <w:kern w:val="2"/>
          <w:sz w:val="32"/>
          <w:szCs w:val="32"/>
          <w:highlight w:val="none"/>
          <w:lang w:val="en-US" w:eastAsia="zh-CN" w:bidi="ar-SA"/>
        </w:rPr>
        <w:t>一是部分业务人员绩效管理意识有待增强，未能全面深入认识理解绩效管理工作的意义。绩效管理经验不足，预算绩效管理工作有待进一步落实。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2"/>
          <w:rFonts w:hint="eastAsia" w:ascii="仿宋_GB2312" w:hAnsi="仿宋_GB2312" w:eastAsia="仿宋_GB2312" w:cs="仿宋_GB2312"/>
          <w:b w:val="0"/>
          <w:bCs w:val="0"/>
          <w:color w:val="FF0000"/>
          <w:spacing w:val="-4"/>
          <w:kern w:val="2"/>
          <w:sz w:val="32"/>
          <w:szCs w:val="32"/>
          <w:highlight w:val="none"/>
          <w:lang w:val="en-US" w:eastAsia="zh-CN" w:bidi="ar-SA"/>
        </w:rPr>
      </w:pPr>
      <w:r>
        <w:rPr>
          <w:rStyle w:val="12"/>
          <w:rFonts w:hint="eastAsia" w:ascii="仿宋_GB2312" w:hAnsi="仿宋_GB2312" w:eastAsia="仿宋_GB2312" w:cs="仿宋_GB2312"/>
          <w:b w:val="0"/>
          <w:bCs w:val="0"/>
          <w:color w:val="auto"/>
          <w:spacing w:val="-4"/>
          <w:kern w:val="2"/>
          <w:sz w:val="32"/>
          <w:szCs w:val="32"/>
          <w:highlight w:val="none"/>
          <w:lang w:val="en-US" w:eastAsia="zh-CN" w:bidi="ar-SA"/>
        </w:rPr>
        <w:t>二是绩效指标的明确性、可衡量性、相关性还需进一步提升。预算精细化管理还需完善，预算编制管理水平仍有进一步提升的空间。</w:t>
      </w:r>
    </w:p>
    <w:p>
      <w:pPr>
        <w:pStyle w:val="13"/>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2"/>
          <w:rFonts w:hint="eastAsia" w:ascii="仿宋_GB2312" w:hAnsi="仿宋_GB2312" w:eastAsia="仿宋_GB2312" w:cs="仿宋_GB2312"/>
          <w:b/>
          <w:bCs/>
          <w:spacing w:val="-4"/>
          <w:sz w:val="32"/>
          <w:szCs w:val="32"/>
          <w:highlight w:val="none"/>
        </w:rPr>
      </w:pPr>
      <w:bookmarkStart w:id="7" w:name="_Toc29546_WPSOffice_Level1"/>
      <w:r>
        <w:rPr>
          <w:rStyle w:val="12"/>
          <w:rFonts w:hint="eastAsia" w:ascii="仿宋_GB2312" w:hAnsi="仿宋_GB2312" w:eastAsia="仿宋_GB2312" w:cs="仿宋_GB2312"/>
          <w:b/>
          <w:bCs/>
          <w:spacing w:val="-4"/>
          <w:sz w:val="32"/>
          <w:szCs w:val="32"/>
          <w:highlight w:val="none"/>
        </w:rPr>
        <w:t>改进措施和建议</w:t>
      </w:r>
      <w:bookmarkEnd w:id="7"/>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bCs/>
          <w:spacing w:val="-4"/>
          <w:sz w:val="32"/>
          <w:szCs w:val="32"/>
          <w:highlight w:val="none"/>
          <w:lang w:val="en-US" w:eastAsia="zh-CN"/>
        </w:rPr>
      </w:pPr>
      <w:r>
        <w:rPr>
          <w:rStyle w:val="12"/>
          <w:rFonts w:hint="eastAsia" w:ascii="仿宋_GB2312" w:hAnsi="仿宋_GB2312" w:eastAsia="仿宋_GB2312" w:cs="仿宋_GB2312"/>
          <w:b/>
          <w:bCs/>
          <w:spacing w:val="-4"/>
          <w:sz w:val="32"/>
          <w:szCs w:val="32"/>
          <w:highlight w:val="none"/>
          <w:lang w:val="en-US" w:eastAsia="zh-CN"/>
        </w:rPr>
        <w:t>（一）改进措施</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一是提高整体绩效目标质量，精准设置年度指标值。同时对项目支出要做到前期的详细计划，提高资金执行率。</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color w:val="auto"/>
          <w:spacing w:val="-4"/>
          <w:sz w:val="32"/>
          <w:szCs w:val="32"/>
          <w:highlight w:val="none"/>
          <w:lang w:val="en-US" w:eastAsia="zh-CN"/>
        </w:rPr>
      </w:pPr>
      <w:r>
        <w:rPr>
          <w:rStyle w:val="12"/>
          <w:rFonts w:hint="eastAsia" w:ascii="仿宋_GB2312" w:hAnsi="仿宋_GB2312" w:eastAsia="仿宋_GB2312" w:cs="仿宋_GB2312"/>
          <w:b w:val="0"/>
          <w:bCs w:val="0"/>
          <w:color w:val="auto"/>
          <w:spacing w:val="-4"/>
          <w:sz w:val="32"/>
          <w:szCs w:val="32"/>
          <w:highlight w:val="none"/>
          <w:lang w:val="en-US" w:eastAsia="zh-CN"/>
        </w:rPr>
        <w:t>二是继续完善预算绩效管理相关工作制度，建立全过程预算绩效管理链条，有效贯彻落实全面实施绩效管理的精神。</w:t>
      </w:r>
    </w:p>
    <w:p>
      <w:pPr>
        <w:pStyle w:val="13"/>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2"/>
          <w:rFonts w:hint="eastAsia" w:ascii="仿宋_GB2312" w:hAnsi="仿宋_GB2312" w:eastAsia="仿宋_GB2312" w:cs="仿宋_GB2312"/>
          <w:b w:val="0"/>
          <w:bCs w:val="0"/>
          <w:spacing w:val="-4"/>
          <w:sz w:val="32"/>
          <w:szCs w:val="32"/>
          <w:highlight w:val="none"/>
          <w:lang w:val="en-US" w:eastAsia="zh-CN"/>
        </w:rPr>
      </w:pPr>
      <w:r>
        <w:rPr>
          <w:rStyle w:val="12"/>
          <w:rFonts w:hint="eastAsia" w:ascii="仿宋_GB2312" w:hAnsi="仿宋_GB2312" w:eastAsia="仿宋_GB2312" w:cs="仿宋_GB2312"/>
          <w:b w:val="0"/>
          <w:bCs w:val="0"/>
          <w:spacing w:val="-4"/>
          <w:sz w:val="32"/>
          <w:szCs w:val="32"/>
          <w:highlight w:val="none"/>
          <w:lang w:val="en-US" w:eastAsia="zh-CN"/>
        </w:rPr>
        <w:t>（</w:t>
      </w:r>
      <w:r>
        <w:rPr>
          <w:rStyle w:val="12"/>
          <w:rFonts w:hint="eastAsia" w:ascii="仿宋_GB2312" w:hAnsi="仿宋_GB2312" w:eastAsia="仿宋_GB2312" w:cs="仿宋_GB2312"/>
          <w:b/>
          <w:bCs/>
          <w:spacing w:val="-4"/>
          <w:sz w:val="32"/>
          <w:szCs w:val="32"/>
          <w:highlight w:val="none"/>
          <w:lang w:val="en-US" w:eastAsia="zh-CN"/>
        </w:rPr>
        <w:t>二）建议</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加强预算绩效目标管理工作。明确预算项目绩效目标编制要求，分类别建立科学合理、细化量化、可比可测预算绩效指标体系，突出结果导向，重点考核实绩。</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3"/>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2"/>
          <w:rFonts w:hint="eastAsia" w:ascii="仿宋_GB2312" w:hAnsi="仿宋_GB2312" w:eastAsia="仿宋_GB2312" w:cs="仿宋_GB2312"/>
          <w:b w:val="0"/>
          <w:color w:val="auto"/>
          <w:sz w:val="32"/>
          <w:szCs w:val="32"/>
          <w:highlight w:val="none"/>
          <w:lang w:val="en-US" w:eastAsia="zh-CN" w:bidi="ar"/>
        </w:rPr>
      </w:pPr>
      <w:r>
        <w:rPr>
          <w:rStyle w:val="12"/>
          <w:rFonts w:hint="eastAsia" w:ascii="仿宋_GB2312" w:hAnsi="仿宋_GB2312" w:eastAsia="仿宋_GB2312" w:cs="仿宋_GB2312"/>
          <w:b w:val="0"/>
          <w:color w:val="auto"/>
          <w:sz w:val="32"/>
          <w:szCs w:val="32"/>
          <w:highlight w:val="none"/>
          <w:lang w:val="en-US" w:eastAsia="zh-CN" w:bidi="ar"/>
        </w:rPr>
        <w:t>借助第三方专业机构力量，贯彻落实全面预算绩效管理工作，建立全过程预算绩效管理链条，将绩效各个环节紧密贯通。</w:t>
      </w:r>
    </w:p>
    <w:p>
      <w:pPr>
        <w:snapToGrid w:val="0"/>
        <w:spacing w:line="540" w:lineRule="exact"/>
        <w:rPr>
          <w:rStyle w:val="12"/>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8263FD"/>
    <w:rsid w:val="04FF0482"/>
    <w:rsid w:val="05062887"/>
    <w:rsid w:val="05CA7D68"/>
    <w:rsid w:val="05F70F85"/>
    <w:rsid w:val="073B26F3"/>
    <w:rsid w:val="084208C4"/>
    <w:rsid w:val="098A3C0A"/>
    <w:rsid w:val="0A9A7091"/>
    <w:rsid w:val="0DD11D39"/>
    <w:rsid w:val="105D1326"/>
    <w:rsid w:val="10FE60D7"/>
    <w:rsid w:val="175D58E3"/>
    <w:rsid w:val="18061B60"/>
    <w:rsid w:val="188360AA"/>
    <w:rsid w:val="190C3DF8"/>
    <w:rsid w:val="19474D08"/>
    <w:rsid w:val="19F83E30"/>
    <w:rsid w:val="1B403139"/>
    <w:rsid w:val="1C6D319F"/>
    <w:rsid w:val="1D4D74D6"/>
    <w:rsid w:val="1DE32CFD"/>
    <w:rsid w:val="1DEF6081"/>
    <w:rsid w:val="1F1A602A"/>
    <w:rsid w:val="1F2854B6"/>
    <w:rsid w:val="213F12E5"/>
    <w:rsid w:val="21C768CD"/>
    <w:rsid w:val="22E14253"/>
    <w:rsid w:val="23F209A3"/>
    <w:rsid w:val="2403516E"/>
    <w:rsid w:val="256A2A9E"/>
    <w:rsid w:val="2805537E"/>
    <w:rsid w:val="289437EE"/>
    <w:rsid w:val="2EBF757D"/>
    <w:rsid w:val="31B83F5F"/>
    <w:rsid w:val="32402A82"/>
    <w:rsid w:val="328E2AB6"/>
    <w:rsid w:val="329B12EA"/>
    <w:rsid w:val="33A83F87"/>
    <w:rsid w:val="355C2B3F"/>
    <w:rsid w:val="35F12468"/>
    <w:rsid w:val="36851B5C"/>
    <w:rsid w:val="37D360CA"/>
    <w:rsid w:val="382149CD"/>
    <w:rsid w:val="38CB5066"/>
    <w:rsid w:val="3CE64286"/>
    <w:rsid w:val="3F301058"/>
    <w:rsid w:val="40CD40A3"/>
    <w:rsid w:val="417A34F9"/>
    <w:rsid w:val="418810F4"/>
    <w:rsid w:val="41A37673"/>
    <w:rsid w:val="42C30950"/>
    <w:rsid w:val="4467028E"/>
    <w:rsid w:val="45A65C7F"/>
    <w:rsid w:val="468C2A4A"/>
    <w:rsid w:val="46AD2493"/>
    <w:rsid w:val="46EC7F14"/>
    <w:rsid w:val="48AF4C7F"/>
    <w:rsid w:val="4A81677A"/>
    <w:rsid w:val="4DA177B2"/>
    <w:rsid w:val="4DF36D4F"/>
    <w:rsid w:val="4F996FF0"/>
    <w:rsid w:val="501B7C76"/>
    <w:rsid w:val="504D5CCF"/>
    <w:rsid w:val="50BA4910"/>
    <w:rsid w:val="51AD3812"/>
    <w:rsid w:val="533A7469"/>
    <w:rsid w:val="53526129"/>
    <w:rsid w:val="53EB36E3"/>
    <w:rsid w:val="55AB6301"/>
    <w:rsid w:val="565F61A9"/>
    <w:rsid w:val="56E85C70"/>
    <w:rsid w:val="57232FC4"/>
    <w:rsid w:val="572D2326"/>
    <w:rsid w:val="57365691"/>
    <w:rsid w:val="59EE1E48"/>
    <w:rsid w:val="5A490F5C"/>
    <w:rsid w:val="5BD21464"/>
    <w:rsid w:val="5BDE2B83"/>
    <w:rsid w:val="5C7E33C2"/>
    <w:rsid w:val="61635F72"/>
    <w:rsid w:val="618606C5"/>
    <w:rsid w:val="63E114D3"/>
    <w:rsid w:val="651C63F3"/>
    <w:rsid w:val="654B168C"/>
    <w:rsid w:val="67FB26CA"/>
    <w:rsid w:val="6AD46D46"/>
    <w:rsid w:val="6DE07909"/>
    <w:rsid w:val="6DE1351C"/>
    <w:rsid w:val="6E58438A"/>
    <w:rsid w:val="6E9D5508"/>
    <w:rsid w:val="6FCA1DD9"/>
    <w:rsid w:val="71EB22B3"/>
    <w:rsid w:val="72010FA6"/>
    <w:rsid w:val="748A4F72"/>
    <w:rsid w:val="75664078"/>
    <w:rsid w:val="761E4132"/>
    <w:rsid w:val="76BC32D8"/>
    <w:rsid w:val="78061A79"/>
    <w:rsid w:val="7BC003CA"/>
    <w:rsid w:val="7CBF4BB4"/>
    <w:rsid w:val="7CF147ED"/>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Body Text Indent"/>
    <w:basedOn w:val="1"/>
    <w:unhideWhenUsed/>
    <w:qFormat/>
    <w:uiPriority w:val="99"/>
    <w:pPr>
      <w:ind w:firstLine="4800" w:firstLineChars="1500"/>
    </w:pPr>
    <w:rPr>
      <w:rFonts w:ascii="楷体_GB2312" w:eastAsia="楷体_GB2312"/>
      <w:sz w:val="32"/>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unhideWhenUsed/>
    <w:uiPriority w:val="99"/>
    <w:pPr>
      <w:ind w:firstLine="420" w:firstLineChars="200"/>
    </w:pPr>
    <w:rPr>
      <w:rFonts w:ascii="Times New Roman" w:hAnsi="Times New Roman" w:eastAsia="宋体"/>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paragraph" w:customStyle="1" w:styleId="13">
    <w:name w:val="List Paragraph"/>
    <w:basedOn w:val="1"/>
    <w:unhideWhenUsed/>
    <w:qFormat/>
    <w:uiPriority w:val="99"/>
    <w:pPr>
      <w:ind w:firstLine="420" w:firstLineChars="200"/>
    </w:pPr>
  </w:style>
  <w:style w:type="character" w:customStyle="1" w:styleId="14">
    <w:name w:val="页脚 字符"/>
    <w:basedOn w:val="11"/>
    <w:link w:val="6"/>
    <w:qFormat/>
    <w:uiPriority w:val="99"/>
    <w:rPr>
      <w:sz w:val="18"/>
      <w:szCs w:val="18"/>
    </w:rPr>
  </w:style>
  <w:style w:type="character" w:customStyle="1" w:styleId="15">
    <w:name w:val="页眉 字符"/>
    <w:basedOn w:val="11"/>
    <w:link w:val="7"/>
    <w:qFormat/>
    <w:uiPriority w:val="99"/>
    <w:rPr>
      <w:sz w:val="18"/>
      <w:szCs w:val="18"/>
    </w:rPr>
  </w:style>
  <w:style w:type="paragraph" w:customStyle="1" w:styleId="16">
    <w:name w:val="WPSOffice手动目录 1"/>
    <w:qFormat/>
    <w:uiPriority w:val="0"/>
    <w:pPr>
      <w:ind w:leftChars="0"/>
    </w:pPr>
    <w:rPr>
      <w:rFonts w:asciiTheme="minorHAnsi" w:hAnsiTheme="minorHAnsi" w:eastAsiaTheme="minorEastAsia" w:cstheme="minorBidi"/>
      <w:sz w:val="20"/>
      <w:szCs w:val="20"/>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18</Pages>
  <Words>8525</Words>
  <Characters>8849</Characters>
  <Lines>7</Lines>
  <Paragraphs>2</Paragraphs>
  <TotalTime>98</TotalTime>
  <ScaleCrop>false</ScaleCrop>
  <LinksUpToDate>false</LinksUpToDate>
  <CharactersWithSpaces>8858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2022-04-20T05:31:32Z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F00621D908B949BAB6576A407CFDB724</vt:lpwstr>
  </property>
</Properties>
</file>