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w:t>
      </w:r>
      <w:r>
        <w:rPr>
          <w:rFonts w:hint="eastAsia" w:ascii="方正小标宋简体" w:hAnsi="方正小标宋简体" w:eastAsia="方正小标宋简体" w:cs="方正小标宋简体"/>
          <w:b/>
          <w:kern w:val="0"/>
          <w:sz w:val="44"/>
          <w:szCs w:val="44"/>
          <w:lang w:eastAsia="zh-Hans"/>
        </w:rPr>
        <w:t>县</w:t>
      </w:r>
      <w:r>
        <w:rPr>
          <w:rFonts w:hint="eastAsia" w:ascii="方正小标宋简体" w:hAnsi="方正小标宋简体" w:eastAsia="方正小标宋简体" w:cs="方正小标宋简体"/>
          <w:b/>
          <w:kern w:val="0"/>
          <w:sz w:val="44"/>
          <w:szCs w:val="44"/>
        </w:rPr>
        <w:t>自然资源局整体支出绩效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部门单位名称（公章）：阿克陶县自然资源局</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   2022 年 4 月  4 日</w:t>
      </w:r>
    </w:p>
    <w:p>
      <w:pPr>
        <w:spacing w:line="700" w:lineRule="exact"/>
        <w:jc w:val="lef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p>
    <w:p>
      <w:pPr>
        <w:pStyle w:val="15"/>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5"/>
        <w:snapToGrid w:val="0"/>
        <w:spacing w:line="540" w:lineRule="exact"/>
        <w:ind w:firstLine="640"/>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（一）单位基本情况</w:t>
      </w:r>
    </w:p>
    <w:p>
      <w:pPr>
        <w:spacing w:line="560" w:lineRule="exact"/>
        <w:rPr>
          <w:rFonts w:ascii="仿宋_GB2312" w:hAnsi="仿宋_GB2312" w:eastAsia="仿宋_GB2312" w:cs="仿宋_GB2312"/>
          <w:bCs/>
          <w:sz w:val="32"/>
          <w:szCs w:val="32"/>
        </w:rPr>
      </w:pPr>
      <w:r>
        <w:rPr>
          <w:rFonts w:hint="eastAsia" w:ascii="黑体" w:hAnsi="黑体" w:eastAsia="黑体" w:cs="宋体"/>
          <w:bCs/>
          <w:kern w:val="0"/>
          <w:sz w:val="32"/>
          <w:szCs w:val="32"/>
        </w:rPr>
        <w:t xml:space="preserve">  </w:t>
      </w:r>
      <w:r>
        <w:rPr>
          <w:rFonts w:hint="eastAsia" w:ascii="仿宋_GB2312" w:hAnsi="仿宋_GB2312" w:eastAsia="仿宋_GB2312" w:cs="仿宋_GB2312"/>
          <w:bCs/>
          <w:sz w:val="32"/>
          <w:szCs w:val="32"/>
        </w:rPr>
        <w:t>第一条  根据</w:t>
      </w:r>
      <w:r>
        <w:rPr>
          <w:rFonts w:hint="eastAsia" w:ascii="仿宋_GB2312" w:hAnsi="仿宋_GB2312" w:eastAsia="仿宋_GB2312" w:cs="仿宋_GB2312"/>
          <w:bCs/>
          <w:color w:val="000000"/>
          <w:sz w:val="32"/>
          <w:szCs w:val="32"/>
        </w:rPr>
        <w:t>自治州党委、自治州人民政府批准</w:t>
      </w:r>
      <w:r>
        <w:rPr>
          <w:rFonts w:hint="eastAsia" w:ascii="仿宋_GB2312" w:hAnsi="仿宋_GB2312" w:eastAsia="仿宋_GB2312" w:cs="仿宋_GB2312"/>
          <w:bCs/>
          <w:sz w:val="32"/>
          <w:szCs w:val="32"/>
        </w:rPr>
        <w:t xml:space="preserve">的《阿克陶县机构改革方案》（克党室字〔2019〕3号）和阿克陶县委办公室、阿克陶县人民政府办公室印发的《关于&lt;阿克陶县机构改革方案&gt;的实施意见》（陶党办发〔2019〕7号），制定本规定。 </w:t>
      </w:r>
    </w:p>
    <w:p>
      <w:pPr>
        <w:spacing w:line="560" w:lineRule="exact"/>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第二条  阿克陶县自然资源局是阿克陶县人民政府工作部门，为正科级，加挂阿克陶县林业和草原局牌子。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第三条  阿克陶县自然资源局贯彻落实党中央关于自然资源工作的方针政策和决策部署以及自治区、自治州、县委工作要求，在履行职责过程中坚持和加强党对自然资源工作的集中统一领导。主要职责是：</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履行全民所有土地、矿产、森林、草原、湿地、水等自然资源资产所有者职责和所有国土空间用途管制职责。贯彻执行自然资源和国土空间规划及测绘等法律法规，起草阿克陶县自然资源和国土空间规划及测绘等地方规范性文件草案并监督检查执行情况。</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负责自然资源调查监督评价。贯彻执行国家自然资源调查监测评价的指标体系和统计标准，建立统一规范的自然资源调查监测评价制度。实施自然资源基础调查、专项调查和监测。负责自然资源调查监测评价成果的监督管理和信息发布。</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负责自然资源统一确权登记工作。贯彻执行国家各类自然资源和不动产统一确权登记、权籍调查、不动产测绘、争议调处、成果应用的制度、标准、规范。建立健全自然资源和不动产登记信息管理基础平台。负责县自然资源和不动产登记资料收集、整理、共享、汇交等。执行上级有关部门提出处理土地、草场等纠纷的配套政策。组织人员调查、裁定县内土地、草场、矿山、林地、水域等权属纠纷。执行监督全县自然资源和不动产确权登记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四）负责自然资源资产有偿使用工作。贯彻执行国家全民所有自然资源资产统计制度，负责全县全民所有自然资源资产核算。贯彻执行国家、全县全民所有自然资源资产划拨、出让、租赁、作价出资和土地储备政策并拟定阿克陶县有关政策，合理配置全县全民所有自然资源资产。负责全县自然资源资产价值评估管理，依法收缴相关资产收益。</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五）负责自然资源的合理开发利用。组织拟订全县自然资源发展规划和战略，组织实施自然资源开发利用标准，建立政府公示自然资源价格体系，组织开展自然资源分等定级价格评估，开展自然资源利用评价考核，指导节约集约利用。负责全县自然资源市场监管。组织研究全县自然资源管理涉及宏观调控、区域协调和城乡统筹的政策措施。</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六）负责建立空间规划体系并监督实施。推进阿克陶主体功能区战略和制度，组织编制并监督实施国土空间规划和相关专项规划。开展全县国土空间开发适宜性评价，建立国土空间规划实施监测、评估和预警体系。组织划定阿克陶县生态保护红线、永久基本农田、城镇开发边界等控制线，构建节约资源和保护环境的生产、生活、生态空间布局。建立健全全县国土空间用途管制制度，研究拟定城乡规划政策并监督实施。组织拟定并实施阿克陶县土地等自然资源年度利用计划。负责全县土地等国土空间用途转用工作。负责阿克陶县土地征收征用管理。负责统筹国土空间生态修复。负责全县国土空间综合整治、土地整理复垦、矿山地质环境恢复治理等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七）负责组织实施最严格的耕地保护制度。贯彻执行国家、自治区耕地保护政策并拟订和实施阿克陶县有关地方性政策，负责耕地数量、质量、生态保护。组织实施全县耕地保护责任目标考核和永久基本农田特殊保护。完善全县耕地占补平衡制度，监督占用耕地补偿制度执行情况。负责管理地质勘查行业和全县地质工作。编制全县地质勘查规划并监督检查执行情况。</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（八）负责矿产资源管理工作。负责全县矿产资源储量管理及压覆重要矿产资源查询。负责全县矿业权管理。</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九）负责城乡规划、城乡规划测绘的法律、法规及相关方针政策、县域城镇体系规划、城市总体规划。历史建筑保护规划、城乡规划区内建筑工程、市政道路、工程管线、桥梁、涵洞、绿化等各类项目的规划管理、土地使用权出让转让规划管理工作。监督检查全县城乡规划的执行情况。负责测绘地理信息管理工作。负责全县基础测绘和测绘行业管理。负责全县测绘资质资格与信用管理，监督管理阿克陶县地理信息安全和市场秩序。负责阿克陶县地理信息公共服务管理。负责阿克陶县测量标志保护。</w:t>
      </w:r>
    </w:p>
    <w:p>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十）负责组织、协调、指导和监督全县湿地保护工作。管理国有林场的国有森林资源；负责草原禁牧、草畜平衡和草原生态修复治理工作，监督管理草原开发利用；拟订县域湿地保护规划；执行湿地保护的有关国家标准和规定；组织实施建立湿地保护区、湿地公园等保护管理工作；监督湿地的合理利用；承担有关湿地公约的履约相关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一）负责组织、协调、指导和监督全县荒漠化防治工作。组织拟订全县防沙治沙和沙化土地封禁保护县建设规划；组织林业和草原重点生态修复及造林绿化工作，认真执行相关国家标准和规定，监督沙化土地的合理利用；组织、指导建设项目对土地沙化影响的审核；组织、指导沙尘暴灾害预测预报和应急处置，承担林业和草原应对气候变化相关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二）负责组织、指导和监督全县陆生野生动植物资源的保护和合理开发利用；组织开展陆生野生动植物资源调查，严格执行上级部门下发重点保护的陆生野生动物、植物名录；依法组织、管理和指导陆生野生动植物的救护繁育、栖息地恢复发展、疫源疫病监测；监督管理全县陆生野生动植物猎捕或采集、驯养繁殖或培植、经营利用；监督管理野生动植物进出口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（十三）负责监督管理各类自然保护地，执行相关地方标准；负责国家公园、自然保护区、风景名胜区、地质公园、森林公园等设立、规划建设和特许经营等工作。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四）承担全县推进林业改革，维护农民经营林业合法权益的责任。拟订集体林权制度、重点国有林区、国有林场等重大林业改革意见并指导监督实施；拟订农村林业发展、维护农民经营林业合法权益的政策措施；指导、监督农村林地承包经营和林权流转；指导林权纠纷调处和林地承包合同纠纷仲裁；依法负责退耕还林工作；指导苗圃、森林公园和基层林业工作机构的建设和管理。</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五）承担组织、协调、指导、监督管理全县森林防火工作的责任。组织、协调、指导专业、半专业森林扑火队伍的防扑火工作；承担县森林防火指挥部的具体工作；承担林业行政执法监管的责任；监督管理林业公安队伍；指导全县林业重大违法案件的查处；指导林业有害生物的防治、检疫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六）贯彻落实国家、自治区和自治州有关林果业发展的法律、法规和方针、政策；研究起草本县有关林果业发展的方针、政策、规程、标准，并监督执行；组织编制全县林果业发展规划和年度计划，并组织实施和监督检查；指导全县林果业的生产经营、林果业灾害综合防控体系建设。</w:t>
      </w:r>
      <w:r>
        <w:rPr>
          <w:rFonts w:hint="eastAsia" w:ascii="仿宋_GB2312" w:hAnsi="仿宋_GB2312" w:eastAsia="仿宋_GB2312" w:cs="仿宋_GB2312"/>
          <w:bCs/>
          <w:sz w:val="32"/>
          <w:szCs w:val="32"/>
        </w:rPr>
        <w:br w:type="textWrapping"/>
      </w:r>
      <w:r>
        <w:rPr>
          <w:rFonts w:hint="eastAsia" w:ascii="仿宋_GB2312" w:hAnsi="仿宋_GB2312" w:eastAsia="仿宋_GB2312" w:cs="仿宋_GB2312"/>
          <w:bCs/>
          <w:sz w:val="32"/>
          <w:szCs w:val="32"/>
        </w:rPr>
        <w:t xml:space="preserve">  （十七）承担全县草地资源动态监测、草地资源调查。负责全县地合理利用和改良技术推广；负责提高草地生产力新技术的示范推广应用；承担草业科学技术和饲料技术咨询，基层人员及农牧民培训；参与国家、自治区的草业开发和饲料加工项目的实施工程技术指导检查、监督；负责改良草地、牧民定居、牧草种子进行监督；负责草原鼠害防治工作。</w:t>
      </w:r>
    </w:p>
    <w:p>
      <w:pPr>
        <w:spacing w:line="560" w:lineRule="exact"/>
        <w:ind w:firstLine="640" w:firstLineChars="200"/>
        <w:rPr>
          <w:rFonts w:ascii="仿宋_GB2312" w:hAnsi="仿宋_GB2312" w:eastAsia="仿宋_GB2312" w:cs="仿宋_GB2312"/>
          <w:bCs/>
          <w:color w:val="FF0000"/>
          <w:sz w:val="32"/>
          <w:szCs w:val="32"/>
        </w:rPr>
      </w:pPr>
      <w:r>
        <w:rPr>
          <w:rFonts w:hint="eastAsia" w:ascii="仿宋_GB2312" w:hAnsi="仿宋_GB2312" w:eastAsia="仿宋_GB2312" w:cs="仿宋_GB2312"/>
          <w:bCs/>
          <w:sz w:val="32"/>
          <w:szCs w:val="32"/>
        </w:rPr>
        <w:t>（十八）负责监督管理本行政区域地理信息获取与应用，统一管理县林业和草原局。</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（十九）负责本行政区域地理信息安全监管工作。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（二十）完成阿克陶县委、县人民政府交办的其他任务。</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第四条  阿克陶县自然资源局设下列内设机构：</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（一）办公室</w:t>
      </w:r>
    </w:p>
    <w:p>
      <w:pPr>
        <w:spacing w:line="560" w:lineRule="exact"/>
        <w:ind w:firstLine="646"/>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负责机关日常运转工作，承担信息、 综合协调局机关日常政务；负责局主要工作的协调和政务督办；负责公文流转、会务、机要、档案等工作；负责局规章制度建设和工作规则的制定；牵头组织工作目标管理考核；负责综合性文稿和规范性文件的起草、审核，起草阿克陶县土地资源、矿产资源、规划测绘管理、林业生态文明和生态文化建设相关工作的规范性文件草案，组织开展综合性调查研究，牵头组织有关法律、法规的宣传教育和新闻发布工作；承担机关综合业务与协调处理、精神文明建设、信息、保密、政务公开、计划生育、社会治安综合治理工作；负责自然资源史志的编纂和县自然资源局依法行政工作，承办行政复议、行政应诉和行政处罚听证有关事宜；监督检查土地、矿产和测绘政策、法律、法规贯彻执行，审查土地、矿产重大违法案件，研究解决土地、矿产执法重大问题，协助有关部门制定土地、矿产和测绘监督检查规章制度；负责开展自然资源科普工作；负责阿克陶县自然资源局思想政治建设和队伍建设；负责局机关及直属单位的机构编制、人事、工资管理、劳动和社会保障等工作；负责自然资源局专业技术职务任职资格的评审和技术工人技术等级评定工作；负责编制并组织实施县自然资源局宣传、教育培训规划、计划；负责县自然资源局离退休干部工作。承担局机关后勤服务工作；负责单位财务、固定资产和资金管理；承担和参与自然资源非税收入征管，承担有关专项资金、其他资金和工作经费的管理，负责部门预决算、政府采购、国库集中支付有关工作；组织拟定系统有关财务资产管理规章。</w:t>
      </w:r>
    </w:p>
    <w:p>
      <w:pPr>
        <w:spacing w:line="560" w:lineRule="exact"/>
        <w:ind w:firstLine="646"/>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（二）综合管理室</w:t>
      </w:r>
    </w:p>
    <w:p>
      <w:pPr>
        <w:spacing w:line="560" w:lineRule="exact"/>
        <w:ind w:firstLine="646"/>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地籍、林政（不动产）工作。负责城乡地籍和地政管理工作，报定并组织实施本县土地利用现状调查、地籍调查、变更调查、动态监测和统计的有关规定和技术规程，土地确权、登记、发证工作；承担各类土地登出资料的管理和应用参与调处土地权属纠纷审核全县森林采伐限额并监督执行；监督林木、木材的凭证采伐与运输；组织、指导林地、林权管理，组织实施林权登记、发证工作。</w:t>
      </w:r>
    </w:p>
    <w:p>
      <w:pPr>
        <w:spacing w:line="560" w:lineRule="exact"/>
        <w:ind w:firstLine="64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土地利用工作。负责规范土地使用权出让、租赁、作价出资和转让行为；拟定并实施土地供应、土地价格、土地资产和土地储备管理政策；拟定并实施土地开发利用；承担节约集约用地评价和城镇土地和农用地的分等工作，组织开展基准地价、标定地价等评测；对土地市场和地价实行动态监测，规定和组织实施农村集体非农建设用地土地使用权的流转管理办法，拟定阿克陶县土地使用权出让、租赁、作价出资、转让、交易和政府收购、储备招标、拍卖管理实施办法负责组织实施；确定土地使用权价格；森林资源调查、动态监测；拟订森林资源可持续发展的政策措施和技术规程；指导监督森林资源的管理使用和林政执法工作；组织编制、拟订林地保护利用规划并指导实施，负责森林资源有偿使用并监督林地合理开发利用。              </w:t>
      </w:r>
    </w:p>
    <w:p>
      <w:pPr>
        <w:spacing w:line="560" w:lineRule="exact"/>
        <w:ind w:firstLine="64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耕地保护工作。承担耕地和基本农田保护；土地开发整理复垦工作；承担耕地保护责任目标考核的有关工作；监督检查基本农田保护和占用耕地补偿制度落实情况；编制和实施建设项目耕地占补平衡方案、耕地占补平衡项目储备库工作；组织基本农田划定。</w:t>
      </w:r>
    </w:p>
    <w:p>
      <w:pPr>
        <w:spacing w:line="560" w:lineRule="exact"/>
        <w:ind w:firstLine="64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建设用地工作。负责全县土地开发整理项目的立项、申报工作。依法组织承办农用地转用、土地征用等建设用地的审查报批工作.拟定有关农用地转用、土地征收、征用的管理办法并组织实施:参与阿克陶县农用地转用年度计划，分类计划的实施依法协助收缴有关土地征收征用的费用会同有关部门报定工程项目建设用地地定额标标准，并组织实施;负责国家自治区重点建设项目用地的调查、协调、监督工作。</w:t>
      </w:r>
    </w:p>
    <w:p>
      <w:pPr>
        <w:spacing w:line="560" w:lineRule="exact"/>
        <w:ind w:firstLine="64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自然资源功能区保护工作。承担矿产资源开发、利用与保护的监督管理，承担自然保护区、风景名胜区、自然遗产、地质公园管理；依法调处地质矿产勘查权属争议、纠纷；矿山地质环境保护、地质遗迹保护的管理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地质矿产勘测工作。矿产资源勘探；开发和矿山储量、承担矿产资源储量的登记、矿山地质环境保护、负责阿克陶县探矿、采矿权的登记及依法查处各类违法违规案件工作；组织矿产资源调查评价指导参与地质勤查规划的编制和监督实施；监督管理地质矿产勘查活动；负责采矿权市场管理；统计和矿山储量动态监督管理；承担自治区矿产资源保护和保护性开采特定矿种的管理事项；负责阿克陶县矿产资源补偿费保护专项资金项目的立项、实施工作。</w:t>
      </w:r>
      <w:r>
        <w:rPr>
          <w:rFonts w:hint="eastAsia" w:ascii="仿宋_GB2312" w:hAnsi="仿宋_GB2312" w:eastAsia="仿宋_GB2312" w:cs="仿宋_GB2312"/>
          <w:bCs/>
          <w:sz w:val="32"/>
          <w:szCs w:val="32"/>
        </w:rPr>
        <w:br w:type="textWrapping"/>
      </w:r>
      <w:r>
        <w:rPr>
          <w:rFonts w:hint="eastAsia" w:ascii="仿宋_GB2312" w:hAnsi="仿宋_GB2312" w:eastAsia="仿宋_GB2312" w:cs="仿宋_GB2312"/>
          <w:bCs/>
          <w:sz w:val="32"/>
          <w:szCs w:val="32"/>
        </w:rPr>
        <w:t xml:space="preserve">    绿化委员会工作。认真贯彻执行全国人大《关于开展全民义务植树运动的决议》、国务院《关于开展全民义务植树运动的实施办法》、《新疆维吾尔自治区实施全民义务植树条例》以及国家有关国土绿化的其他法律、法规；组织指导全县各乡镇、各部门全民义务植树发展规划的编制，并监督实施；指导和检查全民义务植树、部门绿化和城市绿化等工作；组织开展全民义务植树和国土绿化的宣传发动工作；组织开展“绿化合格”单位建设工作和“花园式”单位上报初审等绿色文明建设活动；组织开展全县古树名木的普查、建档和保护工作；组织开展全县绿化评比表彰工作；掌握各乡镇、各部门（系统）绿化动态、信息，汇总统计义务植树、部门绿化和城市绿化的各项成果；深入基层，调查研究，树立典型，推广经验，研究和解决绿化实践中的实际问题；负责向上级绿化委员会报告全民义务植树运动和整个国土绿化的开展情况。  </w:t>
      </w:r>
    </w:p>
    <w:p>
      <w:pPr>
        <w:spacing w:line="560" w:lineRule="exact"/>
        <w:ind w:firstLine="64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野生动植物保护管理工作。组织、监督管理和指导陆生野生动植物的救护繁育、栖息地恢复发展；组织、监督管理和指导全县陆生野生动植物资源的保护和合理开发利用及其专用标识、疫源疫病监测；拟定及调整全县重点保护的野生动物、植物名录，报县人民政府批准后发布；监督管理全县陆生野生动植物猎捕或采集、驯养繁殖或培植、经营利用；监督管理野生动植物进出口；负责国家级和自治区级保护的野生动物、珍稀树种、珍稀野生植物及其产品进出县的申报工作。</w:t>
      </w:r>
    </w:p>
    <w:p>
      <w:pPr>
        <w:spacing w:line="560" w:lineRule="exact"/>
        <w:ind w:firstLine="64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规划测绘工作。组织编制和实施阿克陶县国土规划、土地利用总体规划、土地利用年度计划、矿产资源规划、测绘规划和其他专项规划，参与阿克陶县人民政府审批的城市总体规划的审核；编制矿产资源保护与合理利用规划、地质已知保护规划。</w:t>
      </w:r>
    </w:p>
    <w:p>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第五条  阿克陶县自然资源局核定行政编制7名，其中：科级领导职数3名。</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机关工勤事业编制2名。</w:t>
      </w:r>
    </w:p>
    <w:p>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第六条  将阿克陶县城乡规划局</w:t>
      </w:r>
      <w:r>
        <w:rPr>
          <w:rFonts w:hint="eastAsia" w:ascii="仿宋_GB2312" w:hAnsi="仿宋_GB2312" w:eastAsia="仿宋_GB2312" w:cs="仿宋_GB2312"/>
          <w:bCs/>
          <w:sz w:val="32"/>
          <w:szCs w:val="32"/>
          <w:lang w:val="zh-CN"/>
        </w:rPr>
        <w:t>承担的行政职能划入阿克陶县自然资源局</w:t>
      </w:r>
      <w:r>
        <w:rPr>
          <w:rFonts w:hint="eastAsia" w:ascii="仿宋_GB2312" w:hAnsi="仿宋_GB2312" w:eastAsia="仿宋_GB2312" w:cs="仿宋_GB2312"/>
          <w:bCs/>
          <w:sz w:val="32"/>
          <w:szCs w:val="32"/>
        </w:rPr>
        <w:t>。</w:t>
      </w:r>
    </w:p>
    <w:p>
      <w:pPr>
        <w:pStyle w:val="9"/>
        <w:spacing w:before="0" w:beforeAutospacing="0" w:after="0" w:afterAutospacing="0" w:line="560" w:lineRule="exact"/>
        <w:ind w:firstLine="640" w:firstLineChars="200"/>
        <w:jc w:val="both"/>
        <w:rPr>
          <w:rFonts w:ascii="仿宋_GB2312" w:hAnsi="仿宋_GB2312" w:eastAsia="仿宋_GB2312" w:cs="仿宋_GB2312"/>
          <w:bCs/>
          <w:kern w:val="2"/>
          <w:sz w:val="32"/>
          <w:szCs w:val="32"/>
          <w:lang w:val="zh-CN"/>
        </w:rPr>
      </w:pPr>
      <w:r>
        <w:rPr>
          <w:rFonts w:hint="eastAsia" w:ascii="仿宋_GB2312" w:hAnsi="仿宋_GB2312" w:eastAsia="仿宋_GB2312" w:cs="仿宋_GB2312"/>
          <w:bCs/>
          <w:sz w:val="32"/>
          <w:szCs w:val="32"/>
        </w:rPr>
        <w:t xml:space="preserve">第七条  </w:t>
      </w:r>
      <w:r>
        <w:rPr>
          <w:rFonts w:hint="eastAsia" w:ascii="仿宋_GB2312" w:hAnsi="仿宋_GB2312" w:eastAsia="仿宋_GB2312" w:cs="仿宋_GB2312"/>
          <w:bCs/>
          <w:kern w:val="2"/>
          <w:sz w:val="32"/>
          <w:szCs w:val="32"/>
        </w:rPr>
        <w:t>本规定由中共阿克陶县委员会</w:t>
      </w:r>
      <w:r>
        <w:rPr>
          <w:rFonts w:hint="eastAsia" w:ascii="仿宋_GB2312" w:hAnsi="仿宋_GB2312" w:eastAsia="仿宋_GB2312" w:cs="仿宋_GB2312"/>
          <w:bCs/>
          <w:kern w:val="2"/>
          <w:sz w:val="32"/>
          <w:szCs w:val="32"/>
          <w:lang w:val="zh-CN"/>
        </w:rPr>
        <w:t>机构编制委员会办公室</w:t>
      </w:r>
      <w:r>
        <w:rPr>
          <w:rFonts w:hint="eastAsia" w:ascii="仿宋_GB2312" w:hAnsi="仿宋_GB2312" w:eastAsia="仿宋_GB2312" w:cs="仿宋_GB2312"/>
          <w:bCs/>
          <w:kern w:val="2"/>
          <w:sz w:val="32"/>
          <w:szCs w:val="32"/>
        </w:rPr>
        <w:t>负责解释，其调整由中共阿克陶县委员会</w:t>
      </w:r>
      <w:r>
        <w:rPr>
          <w:rFonts w:hint="eastAsia" w:ascii="仿宋_GB2312" w:hAnsi="仿宋_GB2312" w:eastAsia="仿宋_GB2312" w:cs="仿宋_GB2312"/>
          <w:bCs/>
          <w:kern w:val="2"/>
          <w:sz w:val="32"/>
          <w:szCs w:val="32"/>
          <w:lang w:val="zh-CN"/>
        </w:rPr>
        <w:t>机构编制委员会办公室</w:t>
      </w:r>
      <w:r>
        <w:rPr>
          <w:rFonts w:hint="eastAsia" w:ascii="仿宋_GB2312" w:hAnsi="仿宋_GB2312" w:eastAsia="仿宋_GB2312" w:cs="仿宋_GB2312"/>
          <w:bCs/>
          <w:kern w:val="2"/>
          <w:sz w:val="32"/>
          <w:szCs w:val="32"/>
        </w:rPr>
        <w:t>按规定程序办理</w:t>
      </w:r>
      <w:r>
        <w:rPr>
          <w:rFonts w:hint="eastAsia" w:ascii="仿宋_GB2312" w:hAnsi="仿宋_GB2312" w:eastAsia="仿宋_GB2312" w:cs="仿宋_GB2312"/>
          <w:bCs/>
          <w:kern w:val="2"/>
          <w:sz w:val="32"/>
          <w:szCs w:val="32"/>
          <w:lang w:val="zh-CN"/>
        </w:rPr>
        <w:t>。</w:t>
      </w:r>
    </w:p>
    <w:p>
      <w:pPr>
        <w:widowControl/>
        <w:spacing w:line="560" w:lineRule="exact"/>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第八条  本规定自印发之日起施行。</w:t>
      </w:r>
    </w:p>
    <w:p>
      <w:pPr>
        <w:widowControl/>
        <w:spacing w:line="560" w:lineRule="exact"/>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详细介绍本部门单位工作职能。</w:t>
      </w:r>
      <w:r>
        <w:rPr>
          <w:rFonts w:hint="eastAsia" w:ascii="仿宋_GB2312" w:hAnsi="宋体" w:eastAsia="仿宋_GB2312" w:cs="宋体"/>
          <w:bCs/>
          <w:kern w:val="0"/>
          <w:sz w:val="32"/>
          <w:szCs w:val="32"/>
        </w:rPr>
        <w:t xml:space="preserve"> </w:t>
      </w:r>
    </w:p>
    <w:p>
      <w:pPr>
        <w:pStyle w:val="15"/>
        <w:snapToGrid w:val="0"/>
        <w:spacing w:line="540" w:lineRule="exact"/>
        <w:ind w:firstLine="321" w:firstLineChars="10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2.部门机构设置及人员构成</w:t>
      </w:r>
    </w:p>
    <w:p>
      <w:pPr>
        <w:widowControl/>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黑体" w:eastAsia="仿宋_GB2312" w:cs="宋体"/>
          <w:bCs/>
          <w:kern w:val="0"/>
          <w:sz w:val="32"/>
          <w:szCs w:val="32"/>
        </w:rPr>
        <w:t>阿克陶县自然资源局无下属预算单位，下设 2个科室室，分别是：</w:t>
      </w:r>
      <w:r>
        <w:rPr>
          <w:rFonts w:hint="eastAsia" w:ascii="仿宋_GB2312" w:hAnsi="宋体" w:eastAsia="仿宋_GB2312" w:cs="宋体"/>
          <w:kern w:val="0"/>
          <w:sz w:val="32"/>
          <w:szCs w:val="32"/>
        </w:rPr>
        <w:t>办公室和综合管理室。</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阿克陶县自然资源局</w:t>
      </w:r>
      <w:r>
        <w:rPr>
          <w:rFonts w:hint="eastAsia" w:ascii="仿宋_GB2312" w:hAnsi="宋体" w:eastAsia="仿宋_GB2312" w:cs="宋体"/>
          <w:kern w:val="0"/>
          <w:sz w:val="32"/>
          <w:szCs w:val="32"/>
        </w:rPr>
        <w:t>编制数36，实有人数76人，其中：在职  43 人，增加 0人； 退休 33人，增加 0 人；离休  0 人，增加0 人。</w:t>
      </w:r>
    </w:p>
    <w:p>
      <w:pPr>
        <w:pStyle w:val="15"/>
        <w:snapToGrid w:val="0"/>
        <w:spacing w:line="540" w:lineRule="exact"/>
        <w:ind w:firstLine="640"/>
        <w:outlineLvl w:val="2"/>
        <w:rPr>
          <w:rStyle w:val="11"/>
          <w:rFonts w:ascii="仿宋_GB2312" w:hAnsi="仿宋_GB2312" w:eastAsia="仿宋_GB2312" w:cs="仿宋_GB2312"/>
          <w:bCs w:val="0"/>
          <w:sz w:val="32"/>
          <w:szCs w:val="32"/>
          <w:lang w:bidi="ar"/>
        </w:rPr>
      </w:pPr>
      <w:r>
        <w:rPr>
          <w:rStyle w:val="11"/>
          <w:rFonts w:hint="eastAsia" w:ascii="仿宋_GB2312" w:hAnsi="仿宋_GB2312" w:eastAsia="仿宋_GB2312" w:cs="仿宋_GB2312"/>
          <w:bCs w:val="0"/>
          <w:sz w:val="32"/>
          <w:szCs w:val="32"/>
          <w:lang w:bidi="ar"/>
        </w:rPr>
        <w:t>3.年度重点工作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2021年是十四五规划开局之年，也是全面实现小康社会的新征程，阿克陶县自然资源局在州自然资源局和县委、县政府的坚强领导下，我局坚持以习近平新时代中国特色社会主义思想和党的十九大精神为指导，深入学习贯彻习近平总书记关于自然资源工作的重要思想，认真落实自治区自然资源工作会议精神，紧紧围绕县委、县政府确定的重大事项和</w:t>
      </w:r>
      <w:bookmarkStart w:id="7" w:name="_GoBack"/>
      <w:bookmarkEnd w:id="7"/>
      <w:r>
        <w:rPr>
          <w:rFonts w:hint="eastAsia" w:ascii="仿宋_GB2312" w:hAnsi="仿宋_GB2312" w:eastAsia="仿宋_GB2312" w:cs="仿宋_GB2312"/>
          <w:sz w:val="32"/>
          <w:szCs w:val="32"/>
        </w:rPr>
        <w:t>重点工作，持续巩固脱贫攻坚成果，推动乡村振兴战略实施在脱贫攻坚成效基础上，接续推动有效衔接，坚持创新发展理念，严格规范资源管理，确保各项工作顺利推进。现将阿克陶县自然资源局2021年工作总结暨2022年工作计划</w:t>
      </w:r>
      <w:r>
        <w:fldChar w:fldCharType="begin"/>
      </w:r>
      <w:r>
        <w:instrText xml:space="preserve"> HYPERLINK "http://www.haoword.com/syfanwen/huibao/" \t "http://cache.baiducontent.com/_blank" </w:instrText>
      </w:r>
      <w:r>
        <w:fldChar w:fldCharType="separate"/>
      </w:r>
      <w:r>
        <w:rPr>
          <w:rFonts w:hint="eastAsia" w:ascii="仿宋_GB2312" w:hAnsi="仿宋_GB2312" w:eastAsia="仿宋_GB2312" w:cs="仿宋_GB2312"/>
          <w:sz w:val="32"/>
          <w:szCs w:val="32"/>
        </w:rPr>
        <w:t>汇报</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如下：</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rPr>
        <w:t>一、</w:t>
      </w:r>
      <w:r>
        <w:rPr>
          <w:rFonts w:hint="eastAsia" w:ascii="黑体" w:hAnsi="黑体" w:eastAsia="黑体" w:cs="黑体"/>
          <w:sz w:val="32"/>
          <w:szCs w:val="32"/>
          <w:shd w:val="clear" w:color="auto" w:fill="FFFFFF"/>
        </w:rPr>
        <w:t>党的建设工作情况</w:t>
      </w:r>
    </w:p>
    <w:p>
      <w:pPr>
        <w:spacing w:line="560" w:lineRule="exact"/>
        <w:ind w:firstLine="643" w:firstLineChars="200"/>
        <w:rPr>
          <w:rFonts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（一）加强思想政治建设</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1.强化政治思想教育。</w:t>
      </w:r>
      <w:r>
        <w:rPr>
          <w:rFonts w:hint="eastAsia" w:ascii="仿宋_GB2312" w:hAnsi="仿宋_GB2312" w:eastAsia="仿宋_GB2312" w:cs="仿宋_GB2312"/>
          <w:sz w:val="32"/>
          <w:szCs w:val="32"/>
          <w:shd w:val="clear" w:color="auto" w:fill="FFFFFF"/>
        </w:rPr>
        <w:t>坚持把学习贯彻习近平新时代中国特色社会主义思想和党的十九届五中全会、第三次中央新疆工作座谈会精神以及习近平总书记相关重要讲话精神，及时传达学习中央、自治区、自治州、阿克陶县委重要会议、文件、讲话精神作为党员干部教育的必修课，完善党组中心组、党支部和个人自学“三级联动”学习机制。</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2.坚持中心组理论学习制度。</w:t>
      </w:r>
      <w:r>
        <w:rPr>
          <w:rFonts w:hint="eastAsia" w:ascii="仿宋_GB2312" w:hAnsi="仿宋_GB2312" w:eastAsia="仿宋_GB2312" w:cs="仿宋_GB2312"/>
          <w:sz w:val="32"/>
          <w:szCs w:val="32"/>
          <w:shd w:val="clear" w:color="auto" w:fill="FFFFFF"/>
        </w:rPr>
        <w:t>制定党组中心组学习计划、实施方案，今年开展中心组学习24次，局领导班子成员每月带头参加支部组织生活，带头上党课。</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3.推进主题党日学习。</w:t>
      </w:r>
      <w:r>
        <w:rPr>
          <w:rFonts w:hint="eastAsia" w:ascii="仿宋_GB2312" w:hAnsi="仿宋_GB2312" w:eastAsia="仿宋_GB2312" w:cs="仿宋_GB2312"/>
          <w:sz w:val="32"/>
          <w:szCs w:val="32"/>
          <w:shd w:val="clear" w:color="auto" w:fill="FFFFFF"/>
        </w:rPr>
        <w:t>每月固定为支部主题党日学习活动，年初制定学习计划，分月调整完善《支部主题党日学习活动方案》，促进党员学习教育融入日常、抓在经常、形成常态。</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4.强化意识形态教育。</w:t>
      </w:r>
      <w:r>
        <w:rPr>
          <w:rFonts w:hint="eastAsia" w:ascii="仿宋_GB2312" w:hAnsi="仿宋_GB2312" w:eastAsia="仿宋_GB2312" w:cs="仿宋_GB2312"/>
          <w:sz w:val="32"/>
          <w:szCs w:val="32"/>
          <w:shd w:val="clear" w:color="auto" w:fill="FFFFFF"/>
        </w:rPr>
        <w:t>加强阵地管理，积极做好宣传思想工作。召开党组中心组学习会专题学习自治区意识形态领域专题会议精神。积极做好党建宣传，不断传播正能量。持续加强机制落实。及时向上级报告意识形态工作情况并开展好意识形态检查工作。</w:t>
      </w:r>
    </w:p>
    <w:p>
      <w:pPr>
        <w:pStyle w:val="2"/>
        <w:spacing w:before="0" w:after="0" w:line="560" w:lineRule="exact"/>
        <w:ind w:firstLine="643" w:firstLineChars="200"/>
        <w:rPr>
          <w:rFonts w:ascii="仿宋_GB2312" w:hAnsi="仿宋_GB2312" w:eastAsia="仿宋_GB2312" w:cs="仿宋_GB2312"/>
          <w:shd w:val="clear" w:color="auto" w:fill="FFFFFF"/>
        </w:rPr>
      </w:pPr>
      <w:r>
        <w:rPr>
          <w:rFonts w:hint="eastAsia" w:ascii="仿宋_GB2312" w:hAnsi="仿宋_GB2312" w:eastAsia="仿宋_GB2312" w:cs="仿宋_GB2312"/>
          <w:shd w:val="clear" w:color="auto" w:fill="FFFFFF"/>
        </w:rPr>
        <w:t>（二）全方位、多形式，深入开展学习教育</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1.开展党员慰问。</w:t>
      </w:r>
      <w:r>
        <w:rPr>
          <w:rFonts w:hint="eastAsia" w:ascii="仿宋_GB2312" w:hAnsi="仿宋_GB2312" w:eastAsia="仿宋_GB2312" w:cs="仿宋_GB2312"/>
          <w:sz w:val="32"/>
          <w:szCs w:val="32"/>
        </w:rPr>
        <w:t>局机关党组利用春节、“五一”劳动节、“七一”等节日组织慰问访惠聚干部、老党员以及困难户，并送去慰问金和生活物资达5000余元。</w:t>
      </w:r>
    </w:p>
    <w:p>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2.积极推动兵团融合交流。</w:t>
      </w:r>
      <w:r>
        <w:rPr>
          <w:rFonts w:hint="eastAsia" w:ascii="仿宋_GB2312" w:hAnsi="仿宋_GB2312" w:eastAsia="仿宋_GB2312" w:cs="仿宋_GB2312"/>
          <w:sz w:val="32"/>
          <w:szCs w:val="32"/>
        </w:rPr>
        <w:t>自然资源局副局长阿布都沙地尔·吐尔洪和局党组成员、党支部书记王世平带领组织单位部分党员干部，到四十一团草湖镇八连军垦展览馆结合中央第六巡查组关于兵地融合方面开展主题党日活动。学习先进典型模范、参观红色教育基地、组织开展座谈会等一系列活动。</w:t>
      </w:r>
    </w:p>
    <w:p>
      <w:pPr>
        <w:spacing w:line="560" w:lineRule="exact"/>
        <w:ind w:firstLine="643" w:firstLineChars="200"/>
      </w:pPr>
      <w:r>
        <w:rPr>
          <w:rFonts w:hint="eastAsia" w:ascii="仿宋_GB2312" w:hAnsi="仿宋_GB2312" w:eastAsia="仿宋_GB2312" w:cs="仿宋_GB2312"/>
          <w:b/>
          <w:bCs/>
          <w:sz w:val="32"/>
          <w:szCs w:val="32"/>
        </w:rPr>
        <w:t>3.开展党员志愿服务活动。</w:t>
      </w:r>
      <w:r>
        <w:rPr>
          <w:rFonts w:hint="eastAsia" w:ascii="仿宋_GB2312" w:hAnsi="仿宋_GB2312" w:eastAsia="仿宋_GB2312" w:cs="仿宋_GB2312"/>
          <w:sz w:val="32"/>
          <w:szCs w:val="32"/>
        </w:rPr>
        <w:t>以党员自愿服务带动工会、青年、妇女自愿服务，开展社区志愿服务、义务植树活动、疫情防控、环境卫生政治等活动，截止目前开展5次。</w:t>
      </w:r>
    </w:p>
    <w:p>
      <w:pPr>
        <w:spacing w:line="560" w:lineRule="exact"/>
        <w:ind w:firstLine="643" w:firstLineChars="200"/>
        <w:rPr>
          <w:rFonts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（三）党风廉政建设</w:t>
      </w:r>
    </w:p>
    <w:p>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局党组严格按照党风廉政建设工作要求，全面规范党风廉政建设工作，坚持把党风廉政建设工作作为重要政治任务，与全县自然资源中心工作同部署、同落实、同检查，同考核。</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1.扎实落实“一岗双责”制度。</w:t>
      </w:r>
      <w:r>
        <w:rPr>
          <w:rFonts w:hint="eastAsia" w:ascii="仿宋_GB2312" w:hAnsi="仿宋_GB2312" w:eastAsia="仿宋_GB2312" w:cs="仿宋_GB2312"/>
          <w:sz w:val="32"/>
          <w:szCs w:val="32"/>
          <w:shd w:val="clear" w:color="auto" w:fill="FFFFFF"/>
        </w:rPr>
        <w:t>召开自然资源系统党风廉政建设会议，签订《党风廉政建设责任书》和承诺书40余份，增强推进全面从严治党的责任感使命感。将党风廉政建设和防腐败工作目标任务进行细化分解，明确具体责任，切实推动责任和压力传导到位。</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2.扎实开展第二十三个党风廉政教育月活动。</w:t>
      </w:r>
      <w:r>
        <w:rPr>
          <w:rFonts w:hint="eastAsia" w:ascii="仿宋_GB2312" w:hAnsi="仿宋_GB2312" w:eastAsia="仿宋_GB2312" w:cs="仿宋_GB2312"/>
          <w:sz w:val="32"/>
          <w:szCs w:val="32"/>
          <w:shd w:val="clear" w:color="auto" w:fill="FFFFFF"/>
        </w:rPr>
        <w:t>按照文件要求深入学习纪律处分条例等相关讲话精神，开展党风廉政建设知识测试，发放阿克陶县自然资源局家庭助廉倡议书45份。</w:t>
      </w:r>
    </w:p>
    <w:p>
      <w:pPr>
        <w:spacing w:line="560" w:lineRule="exact"/>
        <w:ind w:firstLine="643" w:firstLineChars="200"/>
      </w:pPr>
      <w:r>
        <w:rPr>
          <w:rFonts w:hint="eastAsia" w:ascii="仿宋_GB2312" w:hAnsi="仿宋_GB2312" w:eastAsia="仿宋_GB2312" w:cs="仿宋_GB2312"/>
          <w:b/>
          <w:bCs/>
          <w:sz w:val="32"/>
          <w:szCs w:val="32"/>
          <w:shd w:val="clear" w:color="auto" w:fill="FFFFFF"/>
        </w:rPr>
        <w:t>3.加强涉权事项公开工作，管住管好“小微”权力。</w:t>
      </w:r>
      <w:r>
        <w:rPr>
          <w:rFonts w:hint="eastAsia" w:ascii="仿宋_GB2312" w:hAnsi="仿宋_GB2312" w:eastAsia="仿宋_GB2312" w:cs="仿宋_GB2312"/>
          <w:sz w:val="32"/>
          <w:szCs w:val="32"/>
          <w:shd w:val="clear" w:color="auto" w:fill="FFFFFF"/>
        </w:rPr>
        <w:t>全面开展廉政谈话，对重点岗位、有问题苗头反映的重点人员进行提示约谈，对岗位职务变动、重大任务交办等实施事先专项预警约谈，让干部职工时刻注意言行，保持清醒。并利用每月开展主题党日活动，通报全县以及本区域发生的案例，观看警示教育片5余场，警示教育广大党员干部，让他们随时都绷紧廉洁自律这根弦，今年来开展第一种形态约谈3人。</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二、疫情防控情况</w:t>
      </w:r>
    </w:p>
    <w:p>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自然资源局在日常工作中及时传达学习自治区、自治州、县关于新冠肺炎疫情防控工作重要精神，安排部署疫情防控工作，要求全体干部要进一步提高政治站位，强化责任担当，压实工作职责，为坚决打赢疫情防控战役贡献自然资源系统人员力量。</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1.在思想认识上下功夫。</w:t>
      </w:r>
      <w:r>
        <w:rPr>
          <w:rFonts w:hint="eastAsia" w:ascii="仿宋_GB2312" w:hAnsi="仿宋_GB2312" w:eastAsia="仿宋_GB2312" w:cs="仿宋_GB2312"/>
          <w:sz w:val="32"/>
          <w:szCs w:val="32"/>
          <w:shd w:val="clear" w:color="auto" w:fill="FFFFFF"/>
        </w:rPr>
        <w:t>我单位高度重视疫情防控工作，清醒认识当前疫情防控的复杂</w:t>
      </w:r>
      <w:r>
        <w:rPr>
          <w:rFonts w:hint="eastAsia" w:ascii="仿宋_GB2312" w:hAnsi="仿宋_GB2312" w:eastAsia="仿宋_GB2312" w:cs="仿宋_GB2312"/>
          <w:sz w:val="32"/>
          <w:szCs w:val="32"/>
          <w:shd w:val="clear" w:color="auto" w:fill="FFFFFF"/>
          <w:lang w:eastAsia="zh-CN"/>
        </w:rPr>
        <w:t>严峻形势</w:t>
      </w:r>
      <w:r>
        <w:rPr>
          <w:rFonts w:hint="eastAsia" w:ascii="仿宋_GB2312" w:hAnsi="仿宋_GB2312" w:eastAsia="仿宋_GB2312" w:cs="仿宋_GB2312"/>
          <w:sz w:val="32"/>
          <w:szCs w:val="32"/>
          <w:shd w:val="clear" w:color="auto" w:fill="FFFFFF"/>
        </w:rPr>
        <w:t>，时刻紧绷疫情防控这根弦，坚决克服麻痹思想、松懈状态、侥幸心理，全体干部职工要牢固树立常态化防控意识，进一步压实责任、严肃纪律、细化要求、守牢底线，时刻保持疫情防控的紧迫感、责任感，抓实抓好各项防控措施，全面筑牢疫情防线。</w:t>
      </w:r>
    </w:p>
    <w:p>
      <w:pPr>
        <w:spacing w:line="560" w:lineRule="exact"/>
        <w:ind w:firstLine="643" w:firstLineChars="200"/>
        <w:rPr>
          <w:rFonts w:ascii="黑体" w:hAnsi="黑体" w:eastAsia="黑体" w:cs="黑体"/>
          <w:sz w:val="32"/>
          <w:szCs w:val="32"/>
          <w:shd w:val="clear" w:color="auto" w:fill="FFFFFF"/>
        </w:rPr>
      </w:pPr>
      <w:r>
        <w:rPr>
          <w:rFonts w:hint="eastAsia" w:ascii="仿宋_GB2312" w:hAnsi="仿宋_GB2312" w:eastAsia="仿宋_GB2312" w:cs="仿宋_GB2312"/>
          <w:b/>
          <w:bCs/>
          <w:sz w:val="32"/>
          <w:szCs w:val="32"/>
          <w:shd w:val="clear" w:color="auto" w:fill="FFFFFF"/>
        </w:rPr>
        <w:t>2.在疫情防控上下功夫。</w:t>
      </w:r>
      <w:r>
        <w:rPr>
          <w:rFonts w:hint="eastAsia" w:ascii="仿宋_GB2312" w:hAnsi="仿宋_GB2312" w:eastAsia="仿宋_GB2312" w:cs="仿宋_GB2312"/>
          <w:sz w:val="32"/>
          <w:szCs w:val="32"/>
          <w:shd w:val="clear" w:color="auto" w:fill="FFFFFF"/>
        </w:rPr>
        <w:t>坚持常态化防控与重点防控相结合。积极做好局属办公区域的常态化防控，督促全体干部职工和来访人员戴口罩、测体温、扫“场所码”并验证健康码、来访人员登记等，对重大事项及时报告。加强个人防护工作，建立疫情防控台账。推进全局干部职工疫苗接种、核酸检测，引导干部职工增强防护意识，掌握防护知识，保持戴口罩、勤洗手、少聚集等良好习惯，全面加强预防。</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三、国土资源工作</w:t>
      </w:r>
    </w:p>
    <w:p>
      <w:pPr>
        <w:spacing w:line="560" w:lineRule="exact"/>
        <w:ind w:firstLine="643" w:firstLineChars="200"/>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rPr>
        <w:t>（一）地政工作</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1.加强耕地保护。</w:t>
      </w:r>
      <w:r>
        <w:rPr>
          <w:rFonts w:hint="eastAsia" w:ascii="仿宋_GB2312" w:hAnsi="仿宋_GB2312" w:eastAsia="仿宋_GB2312" w:cs="仿宋_GB2312"/>
          <w:sz w:val="32"/>
          <w:szCs w:val="32"/>
          <w:shd w:val="clear" w:color="auto" w:fill="FFFFFF"/>
        </w:rPr>
        <w:t>认真贯彻基本农田“五个不准”和非农建设用地“六个不报批”的工作要求，认真贯彻落实耕地保护目标责任制，县、乡（镇）、村、农户层层签订了《耕地保护目标责任书》，明确了工作职责,落实了保护责任。截至2021年10月，全县耕地总面积3.78万公顷（56.71万亩）。</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2.落实耕地“占补平衡 ”情况。</w:t>
      </w:r>
      <w:r>
        <w:rPr>
          <w:rFonts w:hint="eastAsia" w:ascii="仿宋_GB2312" w:hAnsi="仿宋_GB2312" w:eastAsia="仿宋_GB2312" w:cs="仿宋_GB2312"/>
          <w:sz w:val="32"/>
          <w:szCs w:val="32"/>
          <w:shd w:val="clear" w:color="auto" w:fill="FFFFFF"/>
        </w:rPr>
        <w:t>2021年各类建设项目实际占用耕地6.59公顷，均严格按照审批程序进行了报批，未突破上级下达的计划指标。切实加强耕地占补平衡工作，各项目都按照“占一补一、先补后占”的原则，严格按规定补充了同等数量和质量的耕地。所占耕地缴纳耕地开垦费均由财政安排到保护耕地和基本农田工作中。</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3.下发各类图斑工作。</w:t>
      </w:r>
      <w:r>
        <w:rPr>
          <w:rFonts w:hint="eastAsia" w:ascii="仿宋_GB2312" w:hAnsi="仿宋_GB2312" w:eastAsia="仿宋_GB2312" w:cs="仿宋_GB2312"/>
          <w:sz w:val="32"/>
          <w:szCs w:val="32"/>
          <w:shd w:val="clear" w:color="auto" w:fill="FFFFFF"/>
        </w:rPr>
        <w:t>阿克陶县2021年度第一季度下发4宗图斑、4宗图斑均不占耕地。第二季度共下发28宗图斑，其中土地卫片中共发现违法占用耕地及基本农田情况2个，其中违法立案0宗，违法非立案项目7宗已加速补办相关用地手续中。第三季度共下发61宗图斑，涉及耕地8宗，均不属于新增问题，不涉及乱占耕地建房。以上违法图斑均已移交至相关执法部门进行处置。</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4.设施农用地备案情况。</w:t>
      </w:r>
      <w:r>
        <w:rPr>
          <w:rFonts w:hint="eastAsia" w:ascii="仿宋_GB2312" w:hAnsi="仿宋_GB2312" w:eastAsia="仿宋_GB2312" w:cs="仿宋_GB2312"/>
          <w:sz w:val="32"/>
          <w:szCs w:val="32"/>
          <w:shd w:val="clear" w:color="auto" w:fill="FFFFFF"/>
        </w:rPr>
        <w:t>今年以来设施农用地备案78个，涉及12个乡镇，均严格按相关规定办理了备案手续并对设施农用的使用情况进行监督，保证了土地使用合法性。</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5.乱占耕地清查工作。</w:t>
      </w:r>
      <w:r>
        <w:rPr>
          <w:rFonts w:hint="eastAsia" w:ascii="仿宋_GB2312" w:hAnsi="仿宋_GB2312" w:eastAsia="仿宋_GB2312" w:cs="仿宋_GB2312"/>
          <w:sz w:val="32"/>
          <w:szCs w:val="32"/>
          <w:shd w:val="clear" w:color="auto" w:fill="FFFFFF"/>
        </w:rPr>
        <w:t>阿克陶县针对纳入认定的2156个图斑，其中涉及农村宅基地的已移交至农业农村部门进行核实查处，已查处15个图斑，公共管理服务类及产业类图斑已移交至阿克陶县执法监察大队，现正在查处中。截至目前1418个图斑已完成组报件并报送县人民政府审批，已查处15个图斑均为住宅类，全部处置到位并已在系统做销号处理，但受疫情管控影响，实地照片无法拍摄。补充纳入931个图斑已填报。</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6.增减挂钩项目推进有力。</w:t>
      </w:r>
      <w:r>
        <w:rPr>
          <w:rFonts w:hint="eastAsia" w:ascii="仿宋_GB2312" w:hAnsi="仿宋_GB2312" w:eastAsia="仿宋_GB2312" w:cs="仿宋_GB2312"/>
          <w:sz w:val="32"/>
          <w:szCs w:val="32"/>
          <w:shd w:val="clear" w:color="auto" w:fill="FFFFFF"/>
        </w:rPr>
        <w:t>2020年共申报11个增减挂钩项目，涉及阿克陶县阿克陶镇、玉麦乡、巴仁乡、皮拉勒乡和喀热克其克乡5个乡镇，25个行政村拆旧地块380个，拆旧地块面积745.4898亩，拆旧户数392户，1472人。项目已全面开工，通过实施2020年度增减挂钩项目，预计可取得增减挂交易指标资金22364.694万元，交易指标资金总额的70%已拨付至县财政，全部用于用于2021年阿克陶县稳固脱贫攻坚及乡村振兴。</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7.阿克陶县耕地“非农化”工作进展。</w:t>
      </w:r>
      <w:r>
        <w:rPr>
          <w:rFonts w:hint="eastAsia" w:ascii="仿宋_GB2312" w:hAnsi="仿宋_GB2312" w:eastAsia="仿宋_GB2312" w:cs="仿宋_GB2312"/>
          <w:sz w:val="32"/>
          <w:szCs w:val="32"/>
          <w:shd w:val="clear" w:color="auto" w:fill="FFFFFF"/>
        </w:rPr>
        <w:t>2021年3月份，自治区第二次下发我县疑似耕地“非农化”图斑12794个，涉及面积27040.95亩。目前阿克陶县耕地“非农化”专项摸排清查工作已完成图斑系统填报工作，初步完成图斑信息填报12794个，现在正在搜集整理图斑证明材料。</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8.土地供应情况。</w:t>
      </w:r>
      <w:r>
        <w:rPr>
          <w:rFonts w:hint="eastAsia" w:ascii="仿宋_GB2312" w:hAnsi="仿宋_GB2312" w:eastAsia="仿宋_GB2312" w:cs="仿宋_GB2312"/>
          <w:sz w:val="32"/>
          <w:szCs w:val="32"/>
          <w:shd w:val="clear" w:color="auto" w:fill="FFFFFF"/>
        </w:rPr>
        <w:t>加强建设用地批后监管，确保监测信息的及时更新，进一步提高土地利用率和供地率。同时，加强供地的动态巡查，及时将巡查情况上报巡查系统，推进批而未供土地消化利用。截至目前，共供地39宗，面积137.41706公顷，其中划拨30宗，面积122.90217公顷，出让9宗，面积14.51489公顷，出让价款8894.006万元；办理临时用地16宗,临时用地管理费69.4343万元；处置批而未供土地23宗，面积124.6652公顷。</w:t>
      </w:r>
    </w:p>
    <w:p>
      <w:pPr>
        <w:spacing w:line="560" w:lineRule="exact"/>
        <w:ind w:firstLine="643" w:firstLineChars="200"/>
        <w:rPr>
          <w:rFonts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（二）空间规划编制管理工作</w:t>
      </w:r>
    </w:p>
    <w:p>
      <w:pPr>
        <w:tabs>
          <w:tab w:val="left" w:pos="720"/>
        </w:tabs>
        <w:spacing w:line="560" w:lineRule="exact"/>
        <w:ind w:firstLine="640" w:firstLineChars="200"/>
        <w:jc w:val="left"/>
        <w:rPr>
          <w:rFonts w:ascii="仿宋_GB2312" w:hAnsi="仿宋_GB2312" w:eastAsia="仿宋_GB2312" w:cs="仿宋_GB2312"/>
          <w:sz w:val="32"/>
          <w:szCs w:val="32"/>
          <w:shd w:val="clear" w:color="auto" w:fill="FFFFFF"/>
        </w:rPr>
      </w:pPr>
      <w:r>
        <w:rPr>
          <w:rFonts w:hint="eastAsia" w:ascii="仿宋_GB2312" w:eastAsia="仿宋_GB2312"/>
          <w:sz w:val="32"/>
          <w:szCs w:val="32"/>
        </w:rPr>
        <w:t>我局高度重视编制国土空间规划并监督实施工作。截止目前，共核发建设项目用地预审与选址意见书38份、建设用地规划许可证22份、建设工程规划许可证45份，乡村建设规划许可证44份，出具规划设计条件39份，用地红线图43份 ，建筑红线图99份，与此同时完成了预留用地的规划选址和报建审批，参与了阿克陶县国土空间规划委员会2021年截至目前共召开专题会议，参与了阿克陶县各类建设项目的规划选址、勘测定界、地形测量等工作。组织了库克蓝住宅小区修建性详细规划评审会、民富小区三期修建性详细规划评审会、民悦府小区修建性详细规划评审会，编写了阿克陶县城区2021年国有土地拟出让方案，编写了阿克陶县中心城区控制性详细规划地块修编及调整方案，并</w:t>
      </w:r>
      <w:r>
        <w:rPr>
          <w:rFonts w:hint="eastAsia" w:ascii="仿宋_GB2312" w:hAnsi="仿宋_GB2312" w:eastAsia="仿宋_GB2312" w:cs="仿宋_GB2312"/>
          <w:sz w:val="32"/>
          <w:szCs w:val="32"/>
        </w:rPr>
        <w:t>于2021年5月20日上报阿克陶县国土空间规划委员会2021年第三次专题会议审查，完成了</w:t>
      </w:r>
      <w:r>
        <w:rPr>
          <w:rFonts w:hint="eastAsia" w:ascii="仿宋_GB2312" w:eastAsia="仿宋_GB2312"/>
          <w:sz w:val="32"/>
          <w:szCs w:val="32"/>
          <w:lang w:val="zh-CN"/>
        </w:rPr>
        <w:t>阿克陶县</w:t>
      </w:r>
      <w:r>
        <w:rPr>
          <w:rFonts w:ascii="仿宋_GB2312" w:eastAsia="仿宋_GB2312"/>
          <w:sz w:val="32"/>
          <w:szCs w:val="32"/>
          <w:lang w:val="zh-CN"/>
        </w:rPr>
        <w:t>“</w:t>
      </w:r>
      <w:r>
        <w:rPr>
          <w:rFonts w:hint="eastAsia" w:ascii="仿宋_GB2312" w:eastAsia="仿宋_GB2312"/>
          <w:sz w:val="32"/>
          <w:szCs w:val="32"/>
          <w:lang w:val="zh-CN"/>
        </w:rPr>
        <w:t>多规合一</w:t>
      </w:r>
      <w:r>
        <w:rPr>
          <w:rFonts w:ascii="仿宋_GB2312" w:eastAsia="仿宋_GB2312"/>
          <w:sz w:val="32"/>
          <w:szCs w:val="32"/>
          <w:lang w:val="zh-CN"/>
        </w:rPr>
        <w:t>”</w:t>
      </w:r>
      <w:r>
        <w:rPr>
          <w:rFonts w:hint="eastAsia" w:ascii="仿宋_GB2312" w:eastAsia="仿宋_GB2312"/>
          <w:sz w:val="32"/>
          <w:szCs w:val="32"/>
          <w:lang w:val="zh-CN"/>
        </w:rPr>
        <w:t>实用性村庄规划编制项目招投标工作</w:t>
      </w:r>
      <w:r>
        <w:rPr>
          <w:rFonts w:hint="eastAsia" w:ascii="仿宋_GB2312" w:eastAsia="仿宋_GB2312"/>
          <w:sz w:val="32"/>
          <w:szCs w:val="32"/>
        </w:rPr>
        <w:t>。</w:t>
      </w:r>
    </w:p>
    <w:p>
      <w:pPr>
        <w:spacing w:line="560" w:lineRule="exact"/>
        <w:ind w:firstLine="643" w:firstLineChars="200"/>
        <w:rPr>
          <w:rFonts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（三）矿政工作</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1.探矿权工作开展情况。</w:t>
      </w:r>
      <w:r>
        <w:rPr>
          <w:rFonts w:hint="eastAsia" w:ascii="仿宋_GB2312" w:hAnsi="仿宋_GB2312" w:eastAsia="仿宋_GB2312" w:cs="仿宋_GB2312"/>
          <w:sz w:val="32"/>
          <w:szCs w:val="32"/>
          <w:shd w:val="clear" w:color="auto" w:fill="FFFFFF"/>
        </w:rPr>
        <w:t>办理探矿权延续16个，收缴临时用地管理费27万元，全部足额上缴县国库，办理探矿权准入5个。</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2.采矿权工作开展情况。</w:t>
      </w:r>
      <w:r>
        <w:rPr>
          <w:rFonts w:hint="eastAsia" w:ascii="仿宋_GB2312" w:hAnsi="仿宋_GB2312" w:eastAsia="仿宋_GB2312" w:cs="仿宋_GB2312"/>
          <w:sz w:val="32"/>
          <w:szCs w:val="32"/>
          <w:shd w:val="clear" w:color="auto" w:fill="FFFFFF"/>
        </w:rPr>
        <w:t>办理采矿权延续5个，出让砂石料矿山1个，收缴矿业权出让金210.45万元，全部足额上缴县国库。正在办理新立采矿权出让程序3个，办理采矿权准入22个。阿克陶县地质灾害防治规划、十四五矿产规划正在编制中。</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3.地灾防治能力持续加强。</w:t>
      </w:r>
      <w:r>
        <w:rPr>
          <w:rFonts w:hint="eastAsia" w:ascii="仿宋_GB2312" w:hAnsi="仿宋_GB2312" w:eastAsia="仿宋_GB2312" w:cs="仿宋_GB2312"/>
          <w:sz w:val="32"/>
          <w:szCs w:val="32"/>
          <w:shd w:val="clear" w:color="auto" w:fill="FFFFFF"/>
        </w:rPr>
        <w:t>编制了2021年度地质灾害防治方案，分别在克孜勒陶乡和布伦口乡成功演练了地质灾害应急演练，开展地质灾害隐患点实地巡查6次。在5个乡镇成功申请自治区地质灾害预警监测仪6个，现已安装完毕，待自治区实地验收。克孜勒陶乡喀尔乌勒北泥石流沟治理项目和314国道奥依塔克至布伦口乡路段地质灾害精细调查工作正在开展中。阿克陶县地质灾害防治规划正在重新编制中。截至目前，阿克陶县无地质灾害发生。</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4.安全生产工作开展情况。</w:t>
      </w:r>
      <w:r>
        <w:rPr>
          <w:rFonts w:hint="eastAsia" w:ascii="仿宋_GB2312" w:hAnsi="仿宋_GB2312" w:eastAsia="仿宋_GB2312" w:cs="仿宋_GB2312"/>
          <w:sz w:val="32"/>
          <w:szCs w:val="32"/>
          <w:shd w:val="clear" w:color="auto" w:fill="FFFFFF"/>
        </w:rPr>
        <w:t>2021年度开展巡查检查6次，被检查矿山21家，共发现安全隐患81条问题，已全部整改完毕，建立了相关档案，并接受自治区安全生产检查组检查。</w:t>
      </w:r>
    </w:p>
    <w:p>
      <w:pPr>
        <w:spacing w:line="560" w:lineRule="exact"/>
        <w:ind w:firstLine="643"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
          <w:bCs/>
          <w:sz w:val="32"/>
          <w:szCs w:val="32"/>
          <w:shd w:val="clear" w:color="auto" w:fill="FFFFFF"/>
        </w:rPr>
        <w:t>5.矿产压覆查询工作开展情况。</w:t>
      </w:r>
      <w:r>
        <w:rPr>
          <w:rFonts w:hint="eastAsia" w:ascii="仿宋_GB2312" w:hAnsi="仿宋_GB2312" w:eastAsia="仿宋_GB2312" w:cs="仿宋_GB2312"/>
          <w:sz w:val="32"/>
          <w:szCs w:val="32"/>
          <w:shd w:val="clear" w:color="auto" w:fill="FFFFFF"/>
        </w:rPr>
        <w:t>出据矿产压覆文件28个，查询压覆宗地252个。</w:t>
      </w:r>
    </w:p>
    <w:p>
      <w:pPr>
        <w:spacing w:line="560" w:lineRule="exact"/>
        <w:ind w:firstLine="643" w:firstLineChars="200"/>
      </w:pPr>
      <w:r>
        <w:rPr>
          <w:rFonts w:hint="eastAsia" w:ascii="仿宋_GB2312" w:hAnsi="仿宋_GB2312" w:eastAsia="仿宋_GB2312" w:cs="仿宋_GB2312"/>
          <w:b/>
          <w:bCs/>
          <w:sz w:val="32"/>
          <w:szCs w:val="32"/>
          <w:shd w:val="clear" w:color="auto" w:fill="FFFFFF"/>
        </w:rPr>
        <w:t>6.历史遗留矿山核查工作。</w:t>
      </w:r>
      <w:r>
        <w:rPr>
          <w:rFonts w:hint="eastAsia" w:ascii="仿宋_GB2312" w:hAnsi="仿宋_GB2312" w:eastAsia="仿宋_GB2312" w:cs="仿宋_GB2312"/>
          <w:sz w:val="32"/>
          <w:szCs w:val="32"/>
          <w:shd w:val="clear" w:color="auto" w:fill="FFFFFF"/>
        </w:rPr>
        <w:t>历史遗留矿山核查图斑下发254个图斑，目前已全部提交自然资源厅审核。</w:t>
      </w:r>
    </w:p>
    <w:p>
      <w:pPr>
        <w:spacing w:line="560" w:lineRule="exact"/>
        <w:ind w:firstLine="643" w:firstLineChars="200"/>
        <w:rPr>
          <w:rFonts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（四）不动产登记工作</w:t>
      </w:r>
    </w:p>
    <w:p>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继续深化“群众为先、服务至上”的为民服务宗旨，认真做好不动登记工作。为贯彻落实《国务院办公厅关于压缩不动产登记办理时间的通知》（国办发〔2019〕8号），我中心全面提高办事效率，简化审批流程，各类不动产登记办结时限缩短到5个工作日，注销、查封登记当场办结。自年初以来，截至目前，我中心累计办理各类不动产登记1470件。其中发放不动产登记证明503本，核发不动产权证书 907本；办理不动产抵押权注销登记105件；解封登记6件；查封登记1件；协助纪检、公检法查询不动产信息46件。</w:t>
      </w:r>
    </w:p>
    <w:p>
      <w:pPr>
        <w:spacing w:line="56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四、林草工作开展情况</w:t>
      </w:r>
    </w:p>
    <w:p>
      <w:pPr>
        <w:spacing w:line="560" w:lineRule="exact"/>
        <w:ind w:firstLine="643" w:firstLineChars="200"/>
        <w:rPr>
          <w:rFonts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（一）林业工作</w:t>
      </w:r>
    </w:p>
    <w:p>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1.营造林工作开展情况。</w:t>
      </w:r>
    </w:p>
    <w:p>
      <w:pPr>
        <w:spacing w:line="56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2.特色林果产业发展情况。</w:t>
      </w:r>
    </w:p>
    <w:p>
      <w:pPr>
        <w:pStyle w:val="2"/>
        <w:spacing w:before="0" w:after="0" w:line="560" w:lineRule="exact"/>
        <w:ind w:firstLine="643" w:firstLineChars="200"/>
        <w:rPr>
          <w:rFonts w:ascii="楷体_GB2312" w:hAnsi="楷体_GB2312" w:eastAsia="楷体_GB2312" w:cs="楷体_GB2312"/>
        </w:rPr>
      </w:pPr>
      <w:r>
        <w:rPr>
          <w:rFonts w:hint="eastAsia" w:ascii="楷体_GB2312" w:hAnsi="楷体_GB2312" w:eastAsia="楷体_GB2312" w:cs="楷体_GB2312"/>
          <w:shd w:val="clear" w:color="auto" w:fill="FFFFFF"/>
        </w:rPr>
        <w:t>（二）草原管理工作</w:t>
      </w:r>
    </w:p>
    <w:p>
      <w:pPr>
        <w:spacing w:line="560" w:lineRule="exact"/>
        <w:ind w:firstLine="643" w:firstLineChars="200"/>
        <w:rPr>
          <w:rFonts w:ascii="楷体_GB2312" w:hAnsi="楷体_GB2312" w:eastAsia="楷体_GB2312" w:cs="楷体_GB2312"/>
          <w:b/>
          <w:bCs/>
          <w:sz w:val="32"/>
          <w:szCs w:val="32"/>
          <w:shd w:val="clear" w:color="auto" w:fill="FFFFFF"/>
        </w:rPr>
      </w:pPr>
      <w:r>
        <w:rPr>
          <w:rFonts w:hint="eastAsia" w:ascii="楷体_GB2312" w:hAnsi="楷体_GB2312" w:eastAsia="楷体_GB2312" w:cs="楷体_GB2312"/>
          <w:b/>
          <w:bCs/>
          <w:sz w:val="32"/>
          <w:szCs w:val="32"/>
          <w:shd w:val="clear" w:color="auto" w:fill="FFFFFF"/>
        </w:rPr>
        <w:t>（三）全面推行林长制工作</w:t>
      </w:r>
    </w:p>
    <w:p>
      <w:pPr>
        <w:pStyle w:val="2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深入贯彻落实习近平生态文明思想，深化林长制改革，压实各级林长责任，全力推进林长制工作，确保全县林业资源得到有效保护和发展。主要围绕这几方面开展工作：</w:t>
      </w:r>
    </w:p>
    <w:p>
      <w:pPr>
        <w:pStyle w:val="2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1.完善制度建设。</w:t>
      </w:r>
      <w:r>
        <w:rPr>
          <w:rFonts w:hint="eastAsia" w:ascii="仿宋_GB2312" w:hAnsi="仿宋_GB2312" w:eastAsia="仿宋_GB2312" w:cs="仿宋_GB2312"/>
          <w:sz w:val="32"/>
          <w:szCs w:val="32"/>
        </w:rPr>
        <w:t>阿克陶县委、县人民政府高度重视林长制工作，贯彻落实《自治区全面推行林长制的实施意见》并结合我县实际，出台《阿克陶县全面推行林长制的实施方案》，紧紧围绕森林草原资源生态保护、森林草原资源生态修复、国土绿化、林果业提质增效、森林草原灾害防控、执法司法监督管理、监测体系建立、森林草原领域改革、基层基础建设等9项工作任务，明确了我县林长制的指导思想、基本原则、组织体系和保障措施。</w:t>
      </w:r>
    </w:p>
    <w:p>
      <w:pPr>
        <w:pStyle w:val="2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2.加强林长制队伍建设。</w:t>
      </w:r>
      <w:r>
        <w:rPr>
          <w:rFonts w:hint="eastAsia" w:ascii="仿宋_GB2312" w:hAnsi="仿宋_GB2312" w:eastAsia="仿宋_GB2312" w:cs="仿宋_GB2312"/>
          <w:sz w:val="32"/>
          <w:szCs w:val="32"/>
        </w:rPr>
        <w:t>根据我县实际设置县级林长2名、县级副林长2名、乡镇级片区林长14名全部由县级领导担任，设置乡级林长28名、副林长18名、片区林长123名，设置村级林长201名、副林长56名，护林员1730名，护草员750名，监管员117名、负责督促指导本责任区内森林资源保护发展工作，协调解决森林资源保护发展重大问题。</w:t>
      </w:r>
    </w:p>
    <w:p>
      <w:pPr>
        <w:pStyle w:val="2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3.林长制公示牌设立。</w:t>
      </w:r>
      <w:r>
        <w:rPr>
          <w:rFonts w:hint="eastAsia" w:ascii="仿宋_GB2312" w:hAnsi="仿宋_GB2312" w:eastAsia="仿宋_GB2312" w:cs="仿宋_GB2312"/>
          <w:sz w:val="32"/>
          <w:szCs w:val="32"/>
        </w:rPr>
        <w:t>树立林长制公示牌141块（其中县级林长公示牌2块，乡镇级林长公示牌14块、村级林长公示牌117块），公示牌明确林长责任区域、责任区域面积、区域代码、资源情况、林长职责、监督电话等17项信息，确保“一树一林”都有专员专管、责任到人，接受社会监督。</w:t>
      </w:r>
    </w:p>
    <w:p>
      <w:pPr>
        <w:pStyle w:val="20"/>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4.完善林长制体系建设。</w:t>
      </w:r>
      <w:r>
        <w:rPr>
          <w:rFonts w:hint="eastAsia" w:ascii="仿宋_GB2312" w:hAnsi="仿宋_GB2312" w:eastAsia="仿宋_GB2312" w:cs="仿宋_GB2312"/>
          <w:sz w:val="32"/>
          <w:szCs w:val="32"/>
        </w:rPr>
        <w:t>按照自治区、自治州党委政府统一部署，结合阿克陶县实际，成立领导小组，明确各成员单位职责，确定了林长设置方案，研究制定了林长制办公室工作规则、工作细则、任务清单制度、印发了《阿克陶县林长巡查制度》、《阿克陶县全面推行林长制会议制度》、《阿克陶县全面推行林长制督查制度》、《阿克陶县全面推行林长制信息报送制度》全县林长制制度体系基本健全。</w:t>
      </w:r>
    </w:p>
    <w:p>
      <w:pPr>
        <w:pStyle w:val="20"/>
        <w:spacing w:line="560" w:lineRule="exact"/>
        <w:ind w:firstLine="643" w:firstLineChars="200"/>
      </w:pPr>
      <w:r>
        <w:rPr>
          <w:rFonts w:hint="eastAsia" w:ascii="仿宋_GB2312" w:hAnsi="仿宋_GB2312" w:eastAsia="仿宋_GB2312" w:cs="仿宋_GB2312"/>
          <w:b/>
          <w:bCs/>
          <w:sz w:val="32"/>
          <w:szCs w:val="32"/>
        </w:rPr>
        <w:t>5、有序开展巡林巡查。</w:t>
      </w:r>
      <w:r>
        <w:rPr>
          <w:rFonts w:hint="eastAsia" w:ascii="仿宋_GB2312" w:hAnsi="仿宋_GB2312" w:eastAsia="仿宋_GB2312" w:cs="仿宋_GB2312"/>
          <w:sz w:val="32"/>
          <w:szCs w:val="32"/>
        </w:rPr>
        <w:t>全面推行责任区域“巡林”活动，“县-乡-村”三级林长根据责任区域。切实履行林长职责，县、乡、村林长巡林巡查1378人/次,协调解决责任区域内森林资源保护发展的问题，及时发现排除风险隐患，开展爱林护林宣传，推进责任区域内森林资源保护和林草工作高质量发展。</w:t>
      </w:r>
    </w:p>
    <w:p>
      <w:pPr>
        <w:pStyle w:val="21"/>
        <w:snapToGrid w:val="0"/>
        <w:spacing w:line="540" w:lineRule="exact"/>
        <w:ind w:firstLine="640"/>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（二）决策过程</w:t>
      </w:r>
    </w:p>
    <w:p>
      <w:pPr>
        <w:pStyle w:val="15"/>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我单位决策机制根据行政事业单位内部控制体系建设项目的要求逐步完善《阿克陶县自然资源局财经领导小组会议》《阿克陶县自然资源局内部控制领导小组工作》等会议；《阿克陶县财务管理制度》、《三重一大会议制度》、《阿克陶县自然资源局预算编制制度》等规章制度，根据以上制度规定进行单位事项决策。</w:t>
      </w:r>
    </w:p>
    <w:p>
      <w:pPr>
        <w:pStyle w:val="15"/>
        <w:snapToGrid w:val="0"/>
        <w:spacing w:line="540" w:lineRule="exact"/>
        <w:ind w:firstLine="640"/>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（三）项目资金分配</w:t>
      </w:r>
    </w:p>
    <w:p>
      <w:pPr>
        <w:pStyle w:val="21"/>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1.部门（单位）预算编制及分配依据</w:t>
      </w:r>
    </w:p>
    <w:p>
      <w:pPr>
        <w:ind w:firstLine="56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20201年版））》规定及本单位内控制度，组织人员制定并申报采购计划，按批复采购方式进行；属于非政府采购的项目，按照“三重一大”制度规定重大项目支出上党组会研究决定。</w:t>
      </w:r>
    </w:p>
    <w:p>
      <w:pPr>
        <w:pStyle w:val="21"/>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2.分配结果</w:t>
      </w:r>
    </w:p>
    <w:p>
      <w:pPr>
        <w:ind w:firstLine="56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w:t>
      </w:r>
    </w:p>
    <w:p>
      <w:pPr>
        <w:pStyle w:val="21"/>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3.重点支出保障率</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无重点项目</w:t>
      </w:r>
    </w:p>
    <w:p>
      <w:pPr>
        <w:pStyle w:val="15"/>
        <w:snapToGrid w:val="0"/>
        <w:spacing w:line="540" w:lineRule="exact"/>
        <w:ind w:firstLine="640"/>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（四）部门单位整体支出规模</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1.预算执行情况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（1）年初预算执行情况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我单位年初预算数为</w:t>
      </w:r>
      <w:r>
        <w:rPr>
          <w:rStyle w:val="11"/>
          <w:rFonts w:ascii="仿宋_GB2312" w:hAnsi="仿宋_GB2312" w:eastAsia="仿宋_GB2312" w:cs="仿宋_GB2312"/>
          <w:b w:val="0"/>
          <w:sz w:val="32"/>
          <w:szCs w:val="32"/>
          <w:lang w:bidi="ar"/>
        </w:rPr>
        <w:t>780.55</w:t>
      </w:r>
      <w:r>
        <w:rPr>
          <w:rStyle w:val="11"/>
          <w:rFonts w:hint="eastAsia" w:ascii="仿宋_GB2312" w:hAnsi="仿宋_GB2312" w:eastAsia="仿宋_GB2312" w:cs="仿宋_GB2312"/>
          <w:b w:val="0"/>
          <w:sz w:val="32"/>
          <w:szCs w:val="32"/>
          <w:lang w:bidi="ar"/>
        </w:rPr>
        <w:t>万元，实际预算执行数</w:t>
      </w:r>
      <w:r>
        <w:rPr>
          <w:rStyle w:val="11"/>
          <w:rFonts w:ascii="仿宋_GB2312" w:hAnsi="仿宋_GB2312" w:eastAsia="仿宋_GB2312" w:cs="仿宋_GB2312"/>
          <w:b w:val="0"/>
          <w:sz w:val="32"/>
          <w:szCs w:val="32"/>
          <w:lang w:bidi="ar"/>
        </w:rPr>
        <w:t>780.55</w:t>
      </w:r>
      <w:r>
        <w:rPr>
          <w:rStyle w:val="11"/>
          <w:rFonts w:hint="eastAsia" w:ascii="仿宋_GB2312" w:hAnsi="仿宋_GB2312" w:eastAsia="仿宋_GB2312" w:cs="仿宋_GB2312"/>
          <w:b w:val="0"/>
          <w:sz w:val="32"/>
          <w:szCs w:val="32"/>
          <w:lang w:bidi="ar"/>
        </w:rPr>
        <w:t>万元，预算执行率为</w:t>
      </w:r>
      <w:r>
        <w:rPr>
          <w:rStyle w:val="11"/>
          <w:rFonts w:ascii="仿宋_GB2312" w:hAnsi="仿宋_GB2312" w:eastAsia="仿宋_GB2312" w:cs="仿宋_GB2312"/>
          <w:b w:val="0"/>
          <w:sz w:val="32"/>
          <w:szCs w:val="32"/>
          <w:lang w:bidi="ar"/>
        </w:rPr>
        <w:t>100</w:t>
      </w:r>
      <w:r>
        <w:rPr>
          <w:rStyle w:val="11"/>
          <w:rFonts w:hint="eastAsia" w:ascii="仿宋_GB2312" w:hAnsi="仿宋_GB2312" w:eastAsia="仿宋_GB2312" w:cs="仿宋_GB2312"/>
          <w:b w:val="0"/>
          <w:sz w:val="32"/>
          <w:szCs w:val="32"/>
          <w:lang w:bidi="ar"/>
        </w:rPr>
        <w:t>%。</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（2）全年预算执行情况</w:t>
      </w:r>
    </w:p>
    <w:p>
      <w:pPr>
        <w:pStyle w:val="15"/>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全年预算数为</w:t>
      </w:r>
      <w:r>
        <w:rPr>
          <w:rStyle w:val="11"/>
          <w:rFonts w:ascii="仿宋_GB2312" w:hAnsi="仿宋_GB2312" w:eastAsia="仿宋_GB2312" w:cs="仿宋_GB2312"/>
          <w:b w:val="0"/>
          <w:sz w:val="32"/>
          <w:szCs w:val="32"/>
          <w:lang w:bidi="ar"/>
        </w:rPr>
        <w:t>8261.58</w:t>
      </w:r>
      <w:r>
        <w:rPr>
          <w:rStyle w:val="11"/>
          <w:rFonts w:hint="eastAsia" w:ascii="仿宋_GB2312" w:hAnsi="仿宋_GB2312" w:eastAsia="仿宋_GB2312" w:cs="仿宋_GB2312"/>
          <w:b w:val="0"/>
          <w:sz w:val="32"/>
          <w:szCs w:val="32"/>
          <w:lang w:bidi="ar"/>
        </w:rPr>
        <w:t>万元，全年实际支出资金</w:t>
      </w:r>
      <w:r>
        <w:rPr>
          <w:rStyle w:val="11"/>
          <w:rFonts w:ascii="仿宋_GB2312" w:hAnsi="仿宋_GB2312" w:eastAsia="仿宋_GB2312" w:cs="仿宋_GB2312"/>
          <w:b w:val="0"/>
          <w:sz w:val="32"/>
          <w:szCs w:val="32"/>
          <w:lang w:bidi="ar"/>
        </w:rPr>
        <w:t>6699.24</w:t>
      </w:r>
      <w:r>
        <w:rPr>
          <w:rStyle w:val="11"/>
          <w:rFonts w:hint="eastAsia" w:ascii="仿宋_GB2312" w:hAnsi="仿宋_GB2312" w:eastAsia="仿宋_GB2312" w:cs="仿宋_GB2312"/>
          <w:b w:val="0"/>
          <w:sz w:val="32"/>
          <w:szCs w:val="32"/>
          <w:lang w:bidi="ar"/>
        </w:rPr>
        <w:t>万元，预算执行率为</w:t>
      </w:r>
      <w:r>
        <w:rPr>
          <w:rStyle w:val="11"/>
          <w:rFonts w:ascii="仿宋_GB2312" w:hAnsi="仿宋_GB2312" w:eastAsia="仿宋_GB2312" w:cs="仿宋_GB2312"/>
          <w:b w:val="0"/>
          <w:sz w:val="32"/>
          <w:szCs w:val="32"/>
          <w:lang w:bidi="ar"/>
        </w:rPr>
        <w:t>81.08</w:t>
      </w:r>
      <w:r>
        <w:rPr>
          <w:rStyle w:val="11"/>
          <w:rFonts w:hint="eastAsia" w:ascii="仿宋_GB2312" w:hAnsi="仿宋_GB2312" w:eastAsia="仿宋_GB2312" w:cs="仿宋_GB2312"/>
          <w:b w:val="0"/>
          <w:sz w:val="32"/>
          <w:szCs w:val="32"/>
          <w:lang w:bidi="ar"/>
        </w:rPr>
        <w:t>%。</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2.预算调整情况</w:t>
      </w:r>
    </w:p>
    <w:p>
      <w:pPr>
        <w:pStyle w:val="15"/>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我单位年初批复预算数</w:t>
      </w:r>
      <w:r>
        <w:rPr>
          <w:rStyle w:val="11"/>
          <w:rFonts w:ascii="仿宋_GB2312" w:hAnsi="仿宋_GB2312" w:eastAsia="仿宋_GB2312" w:cs="仿宋_GB2312"/>
          <w:b w:val="0"/>
          <w:sz w:val="32"/>
          <w:szCs w:val="32"/>
          <w:lang w:bidi="ar"/>
        </w:rPr>
        <w:t>780.55</w:t>
      </w:r>
      <w:r>
        <w:rPr>
          <w:rStyle w:val="11"/>
          <w:rFonts w:hint="eastAsia" w:ascii="仿宋_GB2312" w:hAnsi="仿宋_GB2312" w:eastAsia="仿宋_GB2312" w:cs="仿宋_GB2312"/>
          <w:b w:val="0"/>
          <w:sz w:val="32"/>
          <w:szCs w:val="32"/>
          <w:lang w:bidi="ar"/>
        </w:rPr>
        <w:t>万元，年中调整数</w:t>
      </w:r>
      <w:r>
        <w:rPr>
          <w:rStyle w:val="11"/>
          <w:rFonts w:ascii="仿宋_GB2312" w:hAnsi="仿宋_GB2312" w:eastAsia="仿宋_GB2312" w:cs="仿宋_GB2312"/>
          <w:b w:val="0"/>
          <w:sz w:val="32"/>
          <w:szCs w:val="32"/>
          <w:lang w:bidi="ar"/>
        </w:rPr>
        <w:t>7481.03</w:t>
      </w:r>
      <w:r>
        <w:rPr>
          <w:rStyle w:val="11"/>
          <w:rFonts w:hint="eastAsia" w:ascii="仿宋_GB2312" w:hAnsi="仿宋_GB2312" w:eastAsia="仿宋_GB2312" w:cs="仿宋_GB2312"/>
          <w:b w:val="0"/>
          <w:sz w:val="32"/>
          <w:szCs w:val="32"/>
          <w:lang w:bidi="ar"/>
        </w:rPr>
        <w:t>万元，调整后全年预算数5913.63万元，预算调整率</w:t>
      </w:r>
      <w:r>
        <w:rPr>
          <w:rStyle w:val="11"/>
          <w:rFonts w:ascii="仿宋_GB2312" w:hAnsi="仿宋_GB2312" w:eastAsia="仿宋_GB2312" w:cs="仿宋_GB2312"/>
          <w:b w:val="0"/>
          <w:sz w:val="32"/>
          <w:szCs w:val="32"/>
          <w:lang w:bidi="ar"/>
        </w:rPr>
        <w:t>958.43</w:t>
      </w:r>
      <w:r>
        <w:rPr>
          <w:rStyle w:val="11"/>
          <w:rFonts w:hint="eastAsia" w:ascii="仿宋_GB2312" w:hAnsi="仿宋_GB2312" w:eastAsia="仿宋_GB2312" w:cs="仿宋_GB2312"/>
          <w:b w:val="0"/>
          <w:sz w:val="32"/>
          <w:szCs w:val="32"/>
          <w:lang w:bidi="ar"/>
        </w:rPr>
        <w:t>%。</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 xml:space="preserve">3.政府采购执行情况 </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年初政府采购预算数为20万元，实际政府采购数为0万元，政府采购执行率为0%。</w:t>
      </w:r>
    </w:p>
    <w:p>
      <w:pPr>
        <w:pStyle w:val="15"/>
        <w:snapToGrid w:val="0"/>
        <w:spacing w:line="540" w:lineRule="exact"/>
        <w:ind w:firstLine="640"/>
        <w:outlineLvl w:val="1"/>
        <w:rPr>
          <w:rStyle w:val="11"/>
          <w:rFonts w:ascii="仿宋_GB2312" w:hAnsi="仿宋_GB2312" w:eastAsia="仿宋_GB2312" w:cs="仿宋_GB2312"/>
          <w:bCs w:val="0"/>
          <w:sz w:val="32"/>
          <w:szCs w:val="32"/>
          <w:lang w:bidi="ar"/>
        </w:rPr>
      </w:pPr>
      <w:r>
        <w:rPr>
          <w:rStyle w:val="11"/>
          <w:rFonts w:hint="eastAsia" w:ascii="仿宋_GB2312" w:hAnsi="仿宋_GB2312" w:eastAsia="仿宋_GB2312" w:cs="仿宋_GB2312"/>
          <w:bCs w:val="0"/>
          <w:sz w:val="32"/>
          <w:szCs w:val="32"/>
          <w:lang w:bidi="ar"/>
        </w:rPr>
        <w:t>（五）评价使用方法和主要内容、涉及范围</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1.评价使用方法</w:t>
      </w:r>
    </w:p>
    <w:p>
      <w:pPr>
        <w:spacing w:line="600" w:lineRule="exact"/>
        <w:ind w:firstLine="560"/>
        <w:rPr>
          <w:rStyle w:val="11"/>
          <w:rFonts w:ascii="仿宋_GB2312" w:hAnsi="仿宋_GB2312" w:eastAsia="仿宋_GB2312" w:cs="仿宋_GB2312"/>
          <w:b w:val="0"/>
          <w:color w:val="333333"/>
          <w:sz w:val="32"/>
          <w:szCs w:val="32"/>
          <w:lang w:bidi="ar"/>
        </w:rPr>
      </w:pPr>
      <w:bookmarkStart w:id="1" w:name="_Hlk49856735"/>
      <w:r>
        <w:rPr>
          <w:rStyle w:val="11"/>
          <w:rFonts w:hint="eastAsia" w:ascii="仿宋_GB2312" w:hAnsi="仿宋_GB2312" w:eastAsia="仿宋_GB2312" w:cs="仿宋_GB2312"/>
          <w:b w:val="0"/>
          <w:color w:val="333333"/>
          <w:sz w:val="32"/>
          <w:szCs w:val="32"/>
          <w:lang w:bidi="ar"/>
        </w:rPr>
        <w:t>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2.评价对象及主要内容</w:t>
      </w:r>
    </w:p>
    <w:p>
      <w:pPr>
        <w:pStyle w:val="21"/>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color w:val="333333"/>
          <w:sz w:val="32"/>
          <w:szCs w:val="32"/>
          <w:lang w:bidi="ar"/>
        </w:rPr>
        <w:t>评价的对象及主要内容为:</w:t>
      </w:r>
      <w:r>
        <w:rPr>
          <w:rStyle w:val="11"/>
          <w:rFonts w:hint="eastAsia" w:ascii="仿宋_GB2312" w:hAnsi="仿宋_GB2312" w:eastAsia="仿宋_GB2312" w:cs="仿宋_GB2312"/>
          <w:bCs w:val="0"/>
          <w:color w:val="333333"/>
          <w:sz w:val="32"/>
          <w:szCs w:val="32"/>
          <w:lang w:bidi="ar"/>
        </w:rPr>
        <w:t>一是</w:t>
      </w:r>
      <w:r>
        <w:rPr>
          <w:rStyle w:val="11"/>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1"/>
          <w:rFonts w:hint="eastAsia" w:ascii="仿宋_GB2312" w:hAnsi="仿宋_GB2312" w:eastAsia="仿宋_GB2312" w:cs="仿宋_GB2312"/>
          <w:bCs w:val="0"/>
          <w:color w:val="333333"/>
          <w:sz w:val="32"/>
          <w:szCs w:val="32"/>
          <w:lang w:bidi="ar"/>
        </w:rPr>
        <w:t>二是</w:t>
      </w:r>
      <w:r>
        <w:rPr>
          <w:rStyle w:val="11"/>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1"/>
          <w:rFonts w:hint="eastAsia" w:ascii="仿宋_GB2312" w:hAnsi="仿宋_GB2312" w:eastAsia="仿宋_GB2312" w:cs="仿宋_GB2312"/>
          <w:bCs w:val="0"/>
          <w:color w:val="333333"/>
          <w:sz w:val="32"/>
          <w:szCs w:val="32"/>
          <w:lang w:bidi="ar"/>
        </w:rPr>
        <w:t>三是</w:t>
      </w:r>
      <w:r>
        <w:rPr>
          <w:rStyle w:val="11"/>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1"/>
          <w:rFonts w:hint="eastAsia" w:ascii="仿宋_GB2312" w:hAnsi="仿宋_GB2312" w:eastAsia="仿宋_GB2312" w:cs="仿宋_GB2312"/>
          <w:bCs w:val="0"/>
          <w:color w:val="333333"/>
          <w:sz w:val="32"/>
          <w:szCs w:val="32"/>
          <w:lang w:bidi="ar"/>
        </w:rPr>
        <w:t>四是</w:t>
      </w:r>
      <w:r>
        <w:rPr>
          <w:rStyle w:val="11"/>
          <w:rFonts w:hint="eastAsia" w:ascii="仿宋_GB2312" w:hAnsi="仿宋_GB2312" w:eastAsia="仿宋_GB2312" w:cs="仿宋_GB2312"/>
          <w:b w:val="0"/>
          <w:color w:val="333333"/>
          <w:sz w:val="32"/>
          <w:szCs w:val="32"/>
          <w:lang w:bidi="ar"/>
        </w:rPr>
        <w:t>资产管理情况，具体涉及资产管理规范性和资产变动情况。</w:t>
      </w:r>
    </w:p>
    <w:p>
      <w:pPr>
        <w:pStyle w:val="21"/>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3.涉及的范围</w:t>
      </w:r>
    </w:p>
    <w:p>
      <w:pPr>
        <w:pStyle w:val="21"/>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bookmarkEnd w:id="1"/>
    <w:p>
      <w:pPr>
        <w:pStyle w:val="15"/>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5"/>
        <w:snapToGrid w:val="0"/>
        <w:spacing w:line="540" w:lineRule="exact"/>
        <w:ind w:firstLine="640"/>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（一）预算管理情况</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1.管理制度健全性</w:t>
      </w:r>
    </w:p>
    <w:p>
      <w:pPr>
        <w:pStyle w:val="15"/>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本单位为加强预算管理，规范财务行为，已制定《阿克陶县自然资源局部门单位预算绩效管理工作实施办法》，《阿克陶县自然资源局单位财务管理制度》等健全完整的各项管理制度，有效保障了我单位高效的履行工作职能，较好的促进事业发展。</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2.资金使用合规性和安全性</w:t>
      </w:r>
    </w:p>
    <w:p>
      <w:pPr>
        <w:pStyle w:val="15"/>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3.预决算信息公开性</w:t>
      </w:r>
    </w:p>
    <w:p>
      <w:pPr>
        <w:pStyle w:val="15"/>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5"/>
        <w:snapToGrid w:val="0"/>
        <w:spacing w:line="540" w:lineRule="exact"/>
        <w:ind w:firstLine="640"/>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（二）基本支出和使用情况</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1.基本支出和使用情况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2021年本单位基本支出全年预算总额</w:t>
      </w:r>
      <w:r>
        <w:rPr>
          <w:rStyle w:val="11"/>
          <w:rFonts w:ascii="仿宋_GB2312" w:hAnsi="仿宋_GB2312" w:eastAsia="仿宋_GB2312" w:cs="仿宋_GB2312"/>
          <w:b w:val="0"/>
          <w:sz w:val="32"/>
          <w:szCs w:val="32"/>
          <w:lang w:bidi="ar"/>
        </w:rPr>
        <w:t>802.43</w:t>
      </w:r>
      <w:r>
        <w:rPr>
          <w:rStyle w:val="11"/>
          <w:rFonts w:hint="eastAsia" w:ascii="仿宋_GB2312" w:hAnsi="仿宋_GB2312" w:eastAsia="仿宋_GB2312" w:cs="仿宋_GB2312"/>
          <w:b w:val="0"/>
          <w:sz w:val="32"/>
          <w:szCs w:val="32"/>
          <w:lang w:bidi="ar"/>
        </w:rPr>
        <w:t>万元，其中：人员经费</w:t>
      </w:r>
      <w:r>
        <w:rPr>
          <w:rStyle w:val="11"/>
          <w:rFonts w:ascii="仿宋_GB2312" w:hAnsi="仿宋_GB2312" w:eastAsia="仿宋_GB2312" w:cs="仿宋_GB2312"/>
          <w:b w:val="0"/>
          <w:sz w:val="32"/>
          <w:szCs w:val="32"/>
          <w:lang w:bidi="ar"/>
        </w:rPr>
        <w:t>775.96</w:t>
      </w:r>
      <w:r>
        <w:rPr>
          <w:rStyle w:val="11"/>
          <w:rFonts w:hint="eastAsia" w:ascii="仿宋_GB2312" w:hAnsi="仿宋_GB2312" w:eastAsia="仿宋_GB2312" w:cs="仿宋_GB2312"/>
          <w:b w:val="0"/>
          <w:sz w:val="32"/>
          <w:szCs w:val="32"/>
          <w:lang w:bidi="ar"/>
        </w:rPr>
        <w:t>万元，公用经费</w:t>
      </w:r>
      <w:r>
        <w:rPr>
          <w:rStyle w:val="11"/>
          <w:rFonts w:ascii="仿宋_GB2312" w:hAnsi="仿宋_GB2312" w:eastAsia="仿宋_GB2312" w:cs="仿宋_GB2312"/>
          <w:b w:val="0"/>
          <w:sz w:val="32"/>
          <w:szCs w:val="32"/>
          <w:lang w:bidi="ar"/>
        </w:rPr>
        <w:t>26.43</w:t>
      </w:r>
      <w:r>
        <w:rPr>
          <w:rStyle w:val="11"/>
          <w:rFonts w:hint="eastAsia" w:ascii="仿宋_GB2312" w:hAnsi="仿宋_GB2312" w:eastAsia="仿宋_GB2312" w:cs="仿宋_GB2312"/>
          <w:b w:val="0"/>
          <w:sz w:val="32"/>
          <w:szCs w:val="32"/>
          <w:lang w:bidi="ar"/>
        </w:rPr>
        <w:t>万元。实际支出785.6万元，基本支出预算执行率</w:t>
      </w:r>
      <w:r>
        <w:rPr>
          <w:rStyle w:val="11"/>
          <w:rFonts w:ascii="仿宋_GB2312" w:hAnsi="仿宋_GB2312" w:eastAsia="仿宋_GB2312" w:cs="仿宋_GB2312"/>
          <w:b w:val="0"/>
          <w:sz w:val="32"/>
          <w:szCs w:val="32"/>
          <w:lang w:bidi="ar"/>
        </w:rPr>
        <w:t>97.9</w:t>
      </w:r>
      <w:r>
        <w:rPr>
          <w:rStyle w:val="11"/>
          <w:rFonts w:hint="eastAsia" w:ascii="仿宋_GB2312" w:hAnsi="仿宋_GB2312" w:eastAsia="仿宋_GB2312" w:cs="仿宋_GB2312"/>
          <w:b w:val="0"/>
          <w:sz w:val="32"/>
          <w:szCs w:val="32"/>
          <w:lang w:bidi="ar"/>
        </w:rPr>
        <w:t>%。</w:t>
      </w:r>
    </w:p>
    <w:p>
      <w:pPr>
        <w:pStyle w:val="21"/>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5"/>
        <w:snapToGrid w:val="0"/>
        <w:spacing w:line="540" w:lineRule="exact"/>
        <w:ind w:firstLine="640"/>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2.三公经费控制情况</w:t>
      </w:r>
    </w:p>
    <w:p>
      <w:pPr>
        <w:pStyle w:val="21"/>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坚决贯彻落实中央、自治区、阿克陶县厉行勤俭办公的工作要求，提倡本单位全体干部职工，勤俭节约，切实降低行政运行成本，确保每年“三公经费”只减不增。2021年“三公经费”预算为4.75万元，实际支出4.75万元，“三公经费”控制率为100%，其中：因公出国（境）费预算为0万元，实际支出0万元；公务接待费预算为0万元，实际支出0万元；公务用车购置费预算为0万元，实际支出0万元；公务用车运行维护费预算为4.75万元，实际支出4.75万元，公务用车运行维护费控制率100%，符合财政部门本年预算要求和相关管理制度要求。</w:t>
      </w:r>
    </w:p>
    <w:p>
      <w:pPr>
        <w:pStyle w:val="15"/>
        <w:snapToGrid w:val="0"/>
        <w:spacing w:line="540" w:lineRule="exact"/>
        <w:ind w:firstLine="640"/>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 w:val="0"/>
          <w:sz w:val="32"/>
          <w:szCs w:val="32"/>
          <w:lang w:bidi="ar"/>
        </w:rPr>
        <w:t>（三）专项支出管理和</w:t>
      </w:r>
      <w:r>
        <w:rPr>
          <w:rStyle w:val="11"/>
          <w:rFonts w:hint="eastAsia" w:ascii="仿宋_GB2312" w:hAnsi="仿宋_GB2312" w:eastAsia="仿宋_GB2312" w:cs="仿宋_GB2312"/>
          <w:bCs w:val="0"/>
          <w:color w:val="333333"/>
          <w:sz w:val="32"/>
          <w:szCs w:val="32"/>
          <w:lang w:bidi="ar"/>
        </w:rPr>
        <w:t>使用情况</w:t>
      </w:r>
    </w:p>
    <w:p>
      <w:pPr>
        <w:pStyle w:val="21"/>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21"/>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2021年本单位安排专项支出预算总额</w:t>
      </w:r>
      <w:r>
        <w:rPr>
          <w:rStyle w:val="11"/>
          <w:rFonts w:ascii="仿宋_GB2312" w:hAnsi="仿宋_GB2312" w:eastAsia="仿宋_GB2312" w:cs="仿宋_GB2312"/>
          <w:b w:val="0"/>
          <w:sz w:val="32"/>
          <w:szCs w:val="32"/>
          <w:lang w:bidi="ar"/>
        </w:rPr>
        <w:t>4484.14</w:t>
      </w:r>
      <w:r>
        <w:rPr>
          <w:rStyle w:val="11"/>
          <w:rFonts w:hint="eastAsia" w:ascii="仿宋_GB2312" w:hAnsi="仿宋_GB2312" w:eastAsia="仿宋_GB2312" w:cs="仿宋_GB2312"/>
          <w:b w:val="0"/>
          <w:sz w:val="32"/>
          <w:szCs w:val="32"/>
          <w:lang w:bidi="ar"/>
        </w:rPr>
        <w:t>万元，实际支出4214.95万元，专项支出预算执行率100%。</w:t>
      </w:r>
    </w:p>
    <w:p>
      <w:pPr>
        <w:pStyle w:val="21"/>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2021年本单位共有15个资金项目，其中13个属经常性项目、2个属当年度新增项目，已完成项目15个、未完成项目0个。</w:t>
      </w:r>
    </w:p>
    <w:p>
      <w:pPr>
        <w:snapToGrid w:val="0"/>
        <w:spacing w:line="540" w:lineRule="exact"/>
        <w:ind w:firstLine="643" w:firstLineChars="200"/>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本年我单位共实施15个项目，金额5913.63万元，分别为中央资金项目，5913.63万元。</w:t>
      </w:r>
    </w:p>
    <w:p>
      <w:pPr>
        <w:pStyle w:val="15"/>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bCs w:val="0"/>
          <w:spacing w:val="-4"/>
          <w:sz w:val="32"/>
          <w:szCs w:val="32"/>
        </w:rPr>
        <w:t>（一）自然资源局项目专项组织情况分析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1.前期准备</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我单位成立专项支出绩效评价小组，成员如下：</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杨秀山任评价组组长，绩效评价工作职责为负责全盘工作。</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阿不都沙迪尔·吐尔洪任评价组副组长，绩效评价工作职责为为对项目实施情况进行实地调查。</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孙涛、王世平、吾布力卡斯木·吐地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2.组织实施</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21"/>
        <w:snapToGrid w:val="0"/>
        <w:spacing w:line="540" w:lineRule="exact"/>
        <w:ind w:firstLine="640"/>
        <w:rPr>
          <w:rStyle w:val="11"/>
          <w:rFonts w:ascii="仿宋_GB2312" w:hAnsi="仿宋_GB2312" w:eastAsia="仿宋_GB2312" w:cs="仿宋_GB2312"/>
          <w:bCs w:val="0"/>
          <w:sz w:val="32"/>
          <w:szCs w:val="32"/>
          <w:lang w:bidi="ar"/>
        </w:rPr>
      </w:pPr>
      <w:r>
        <w:rPr>
          <w:rStyle w:val="11"/>
          <w:rFonts w:hint="eastAsia" w:ascii="仿宋_GB2312" w:hAnsi="仿宋_GB2312" w:eastAsia="仿宋_GB2312" w:cs="仿宋_GB2312"/>
          <w:bCs w:val="0"/>
          <w:sz w:val="32"/>
          <w:szCs w:val="32"/>
          <w:lang w:bidi="ar"/>
        </w:rPr>
        <w:t>3</w:t>
      </w:r>
      <w:r>
        <w:rPr>
          <w:rStyle w:val="11"/>
          <w:rFonts w:ascii="仿宋_GB2312" w:hAnsi="仿宋_GB2312" w:eastAsia="仿宋_GB2312" w:cs="仿宋_GB2312"/>
          <w:bCs w:val="0"/>
          <w:sz w:val="32"/>
          <w:szCs w:val="32"/>
          <w:lang w:bidi="ar"/>
        </w:rPr>
        <w:t>.</w:t>
      </w:r>
      <w:r>
        <w:rPr>
          <w:rStyle w:val="11"/>
          <w:rFonts w:hint="eastAsia" w:ascii="仿宋_GB2312" w:hAnsi="仿宋_GB2312" w:eastAsia="仿宋_GB2312" w:cs="仿宋_GB2312"/>
          <w:bCs w:val="0"/>
          <w:sz w:val="32"/>
          <w:szCs w:val="32"/>
          <w:lang w:bidi="ar"/>
        </w:rPr>
        <w:t>项目情况</w:t>
      </w:r>
    </w:p>
    <w:p>
      <w:pPr>
        <w:pStyle w:val="21"/>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w:t>
      </w:r>
      <w:r>
        <w:rPr>
          <w:rStyle w:val="11"/>
          <w:rFonts w:ascii="仿宋_GB2312" w:hAnsi="仿宋_GB2312" w:eastAsia="仿宋_GB2312" w:cs="仿宋_GB2312"/>
          <w:b w:val="0"/>
          <w:sz w:val="32"/>
          <w:szCs w:val="32"/>
          <w:lang w:bidi="ar"/>
        </w:rPr>
        <w:t>021</w:t>
      </w:r>
      <w:r>
        <w:rPr>
          <w:rStyle w:val="11"/>
          <w:rFonts w:hint="eastAsia" w:ascii="仿宋_GB2312" w:hAnsi="仿宋_GB2312" w:eastAsia="仿宋_GB2312" w:cs="仿宋_GB2312"/>
          <w:b w:val="0"/>
          <w:sz w:val="32"/>
          <w:szCs w:val="32"/>
          <w:lang w:bidi="ar"/>
        </w:rPr>
        <w:t>年单位共实施项目15个，分别为布伦口铜矿选矿厂尾矿渣异地填埋项目一期、2019年退牧还草工程、214省道（火车站-托塔依加气站）两侧绿化带及旧房拆除、土地税金、2018年重点防护林工程、林果低质低效改造项目、国家管护人员补助、村庄绿化、森林植被恢复、特色林果业繁育、风景名胜总体规划设计、增减挂项目、异地扶贫搬迁、十四五国土空间规划、土地利用与保护、土地资源调查、你农村地基调查、耕地后备资源调查评估、泥石流地质灾害防治、访惠聚工作经费。</w:t>
      </w:r>
    </w:p>
    <w:p>
      <w:pPr>
        <w:pStyle w:val="15"/>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（二）专项管理情况分析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1.项目资金情况</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该项目预算资金</w:t>
      </w:r>
      <w:r>
        <w:rPr>
          <w:rStyle w:val="11"/>
          <w:rFonts w:ascii="仿宋_GB2312" w:hAnsi="仿宋_GB2312" w:eastAsia="仿宋_GB2312" w:cs="仿宋_GB2312"/>
          <w:b w:val="0"/>
          <w:bCs w:val="0"/>
          <w:spacing w:val="-4"/>
          <w:sz w:val="32"/>
          <w:szCs w:val="32"/>
        </w:rPr>
        <w:t>7459.15</w:t>
      </w:r>
      <w:r>
        <w:rPr>
          <w:rStyle w:val="11"/>
          <w:rFonts w:hint="eastAsia" w:ascii="仿宋_GB2312" w:hAnsi="仿宋_GB2312" w:eastAsia="仿宋_GB2312" w:cs="仿宋_GB2312"/>
          <w:b w:val="0"/>
          <w:bCs w:val="0"/>
          <w:spacing w:val="-4"/>
          <w:sz w:val="32"/>
          <w:szCs w:val="32"/>
        </w:rPr>
        <w:t>万元，实际到位</w:t>
      </w:r>
      <w:r>
        <w:rPr>
          <w:rStyle w:val="11"/>
          <w:rFonts w:ascii="仿宋_GB2312" w:hAnsi="仿宋_GB2312" w:eastAsia="仿宋_GB2312" w:cs="仿宋_GB2312"/>
          <w:b w:val="0"/>
          <w:bCs w:val="0"/>
          <w:spacing w:val="-4"/>
          <w:sz w:val="32"/>
          <w:szCs w:val="32"/>
        </w:rPr>
        <w:t>7459.63</w:t>
      </w:r>
      <w:r>
        <w:rPr>
          <w:rStyle w:val="11"/>
          <w:rFonts w:hint="eastAsia" w:ascii="仿宋_GB2312" w:hAnsi="仿宋_GB2312" w:eastAsia="仿宋_GB2312" w:cs="仿宋_GB2312"/>
          <w:b w:val="0"/>
          <w:bCs w:val="0"/>
          <w:spacing w:val="-4"/>
          <w:sz w:val="32"/>
          <w:szCs w:val="32"/>
        </w:rPr>
        <w:t>万元，实际支出</w:t>
      </w:r>
      <w:r>
        <w:rPr>
          <w:rStyle w:val="11"/>
          <w:rFonts w:ascii="仿宋_GB2312" w:hAnsi="仿宋_GB2312" w:eastAsia="仿宋_GB2312" w:cs="仿宋_GB2312"/>
          <w:b w:val="0"/>
          <w:bCs w:val="0"/>
          <w:spacing w:val="-4"/>
          <w:sz w:val="32"/>
          <w:szCs w:val="32"/>
        </w:rPr>
        <w:t>5913.63</w:t>
      </w:r>
      <w:r>
        <w:rPr>
          <w:rStyle w:val="11"/>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自然资源局单位财务管理制度》执行项目资金，实行专账核算、逐级审批。认真落实项目资金的使用各项管理制度，确保专款专用，及时拨付到位。</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2.项目实施情况</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项目组织情况：</w:t>
      </w:r>
      <w:r>
        <w:rPr>
          <w:rStyle w:val="11"/>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项目管理情况：</w:t>
      </w:r>
      <w:r>
        <w:rPr>
          <w:rStyle w:val="11"/>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项目监管情况：</w:t>
      </w:r>
      <w:r>
        <w:rPr>
          <w:rStyle w:val="11"/>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3.项目绩效情况</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成本控制情况：</w:t>
      </w:r>
      <w:r>
        <w:rPr>
          <w:rStyle w:val="11"/>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成本节约情况：</w:t>
      </w:r>
      <w:r>
        <w:rPr>
          <w:rStyle w:val="11"/>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4.项目效率性</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项目实施进度：</w:t>
      </w:r>
      <w:r>
        <w:rPr>
          <w:rStyle w:val="11"/>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项目完成质量：</w:t>
      </w:r>
      <w:r>
        <w:rPr>
          <w:rStyle w:val="11"/>
          <w:rFonts w:hint="eastAsia" w:ascii="仿宋_GB2312" w:hAnsi="仿宋_GB2312" w:eastAsia="仿宋_GB2312" w:cs="仿宋_GB2312"/>
          <w:b w:val="0"/>
          <w:bCs w:val="0"/>
          <w:spacing w:val="-4"/>
          <w:sz w:val="32"/>
          <w:szCs w:val="32"/>
        </w:rPr>
        <w:t>项目严格按照年度预期目标执行，项目完成质量达标。</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5.项目效益性</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预期目标完成程度：</w:t>
      </w:r>
      <w:r>
        <w:rPr>
          <w:rStyle w:val="11"/>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5"/>
        <w:snapToGrid w:val="0"/>
        <w:spacing w:line="540" w:lineRule="exact"/>
        <w:ind w:left="319" w:leftChars="152" w:firstLine="313" w:firstLineChars="100"/>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项目实施对效益的影响：</w:t>
      </w:r>
      <w:r>
        <w:rPr>
          <w:rStyle w:val="11"/>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5"/>
        <w:numPr>
          <w:ilvl w:val="0"/>
          <w:numId w:val="2"/>
        </w:numPr>
        <w:snapToGrid w:val="0"/>
        <w:spacing w:line="540" w:lineRule="exact"/>
        <w:ind w:firstLineChars="0"/>
        <w:outlineLvl w:val="0"/>
        <w:rPr>
          <w:rStyle w:val="11"/>
          <w:rFonts w:ascii="仿宋_GB2312" w:hAnsi="仿宋_GB2312" w:eastAsia="仿宋_GB2312" w:cs="仿宋_GB2312"/>
          <w:spacing w:val="-4"/>
          <w:sz w:val="32"/>
          <w:szCs w:val="32"/>
        </w:rPr>
      </w:pPr>
      <w:bookmarkStart w:id="4" w:name="_Toc27846_WPSOffice_Level1"/>
      <w:r>
        <w:rPr>
          <w:rStyle w:val="11"/>
          <w:rFonts w:hint="eastAsia" w:ascii="仿宋_GB2312" w:hAnsi="仿宋_GB2312" w:eastAsia="仿宋_GB2312" w:cs="仿宋_GB2312"/>
          <w:spacing w:val="-4"/>
          <w:sz w:val="32"/>
          <w:szCs w:val="32"/>
        </w:rPr>
        <w:t>资产管理情况</w:t>
      </w:r>
      <w:bookmarkEnd w:id="4"/>
    </w:p>
    <w:p>
      <w:pPr>
        <w:pStyle w:val="15"/>
        <w:tabs>
          <w:tab w:val="left" w:pos="0"/>
        </w:tabs>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（一）资产管理规范性</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我单位2021年资产合计数为1454.31万元，比上年减少0万元，主要原因是国土局和林业局合并，资产合并.其中：货币资金2332.74万元，比上年减少581.16万元；财政应返还额度0万元，比上年相比无变化；房屋5049.13平方米727.91万元，比上年减少0万元；车辆7辆132.59万元，与上年相比无变化；在建工程17426万元，与上年持平；办公设备及家具593.81万元，与上年相比无变化。我单位本年无资产处置情况（根据单位实际情况修改），资产配置合理，使用规范，安全完整。</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1.资产管理情况。</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2.固定资产利用情况。</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我单位固定资产1454.31万元,其中:1套房屋727.91万元，7辆车132.59万元，72个专用设备284.39万元，265个办公设备309.42万元。目前正在使用的固定资产总额1454.91万元，固定资产利用率为100%。</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3.流动资产管理情况。</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5"/>
        <w:tabs>
          <w:tab w:val="left" w:pos="0"/>
        </w:tabs>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（二）固定资产利用率</w:t>
      </w:r>
    </w:p>
    <w:p>
      <w:pPr>
        <w:pStyle w:val="15"/>
        <w:tabs>
          <w:tab w:val="left" w:pos="0"/>
        </w:tabs>
        <w:snapToGrid w:val="0"/>
        <w:spacing w:line="540" w:lineRule="exact"/>
        <w:ind w:firstLine="624"/>
        <w:rPr>
          <w:rStyle w:val="11"/>
          <w:rFonts w:ascii="仿宋_GB2312" w:hAnsi="仿宋_GB2312" w:eastAsia="仿宋_GB2312" w:cs="仿宋_GB2312"/>
          <w:b w:val="0"/>
          <w:bCs w:val="0"/>
          <w:color w:val="FF0000"/>
          <w:spacing w:val="-4"/>
          <w:sz w:val="32"/>
          <w:szCs w:val="32"/>
        </w:rPr>
      </w:pPr>
      <w:r>
        <w:rPr>
          <w:rStyle w:val="11"/>
          <w:rFonts w:hint="eastAsia" w:ascii="仿宋_GB2312" w:hAnsi="仿宋_GB2312" w:eastAsia="仿宋_GB2312" w:cs="仿宋_GB2312"/>
          <w:b w:val="0"/>
          <w:bCs w:val="0"/>
          <w:spacing w:val="-4"/>
          <w:sz w:val="32"/>
          <w:szCs w:val="32"/>
        </w:rPr>
        <w:t>截止本年度固定资产账面净值1454.31万元，年末实际在用固定资产1454.31万元，固定资产利用率为100%。</w:t>
      </w:r>
    </w:p>
    <w:p>
      <w:pPr>
        <w:pStyle w:val="15"/>
        <w:numPr>
          <w:ilvl w:val="0"/>
          <w:numId w:val="2"/>
        </w:numPr>
        <w:snapToGrid w:val="0"/>
        <w:spacing w:line="540" w:lineRule="exact"/>
        <w:ind w:firstLineChars="0"/>
        <w:outlineLvl w:val="0"/>
        <w:rPr>
          <w:rStyle w:val="11"/>
          <w:rFonts w:ascii="仿宋_GB2312" w:hAnsi="仿宋_GB2312" w:eastAsia="仿宋_GB2312" w:cs="仿宋_GB2312"/>
          <w:spacing w:val="-4"/>
          <w:sz w:val="32"/>
          <w:szCs w:val="32"/>
        </w:rPr>
      </w:pPr>
      <w:bookmarkStart w:id="5" w:name="_Toc13582_WPSOffice_Level1"/>
      <w:r>
        <w:rPr>
          <w:rStyle w:val="11"/>
          <w:rFonts w:hint="eastAsia" w:ascii="仿宋_GB2312" w:hAnsi="仿宋_GB2312" w:eastAsia="仿宋_GB2312" w:cs="仿宋_GB2312"/>
          <w:spacing w:val="-4"/>
          <w:sz w:val="32"/>
          <w:szCs w:val="32"/>
        </w:rPr>
        <w:t>部门单位整体支出绩效情况</w:t>
      </w:r>
      <w:bookmarkEnd w:id="5"/>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部门单位整体支出自评表，共设置一级指标3个，二级指标8个，三级指标26个。</w:t>
      </w:r>
    </w:p>
    <w:p>
      <w:pPr>
        <w:pStyle w:val="15"/>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（一）产出指标完成情况分析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1.产出数量</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“保障人员人数（人）”指标：预期指标值为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45</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45</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“检查全县林业管护面积次数（次）”指标：预期指标值为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6</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6</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“检查全县土地面积次数（次）”指标：预期指标值为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8</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8</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%，达成预期目标.</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 xml:space="preserve"> </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“检查全县矿山次数（次）”指标：预期指标值为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8</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8</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，指标完成率为91.67%，达成预期目标，</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 xml:space="preserve"> </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“保障供暖覆盖面积（平方米）”指标：预期指标值为5049.13，实际完成指标值为5049.13，指标完成率为100%，达到预期目标。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“检查全县森林防护灾害次数（次）”指标：预期指标值为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4</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4</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%，基本达到预期目标。</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数量指标共计</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5</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5</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个，达到预期目标，数量指标完成。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2.产出质量</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“工资足额发放率（%）”指标：预期指标值为1</w:t>
      </w:r>
      <w:r>
        <w:rPr>
          <w:rStyle w:val="11"/>
          <w:rFonts w:ascii="仿宋_GB2312" w:hAnsi="仿宋_GB2312" w:eastAsia="仿宋_GB2312" w:cs="仿宋_GB2312"/>
          <w:b w:val="0"/>
          <w:bCs w:val="0"/>
          <w:spacing w:val="-4"/>
          <w:sz w:val="32"/>
          <w:szCs w:val="32"/>
        </w:rPr>
        <w:t>00%</w:t>
      </w:r>
      <w:r>
        <w:rPr>
          <w:rStyle w:val="11"/>
          <w:rFonts w:hint="eastAsia" w:ascii="仿宋_GB2312" w:hAnsi="仿宋_GB2312" w:eastAsia="仿宋_GB2312" w:cs="仿宋_GB2312"/>
          <w:b w:val="0"/>
          <w:bCs w:val="0"/>
          <w:spacing w:val="-4"/>
          <w:sz w:val="32"/>
          <w:szCs w:val="32"/>
        </w:rPr>
        <w:t>，实际完成指标值为1</w:t>
      </w:r>
      <w:r>
        <w:rPr>
          <w:rStyle w:val="11"/>
          <w:rFonts w:ascii="仿宋_GB2312" w:hAnsi="仿宋_GB2312" w:eastAsia="仿宋_GB2312" w:cs="仿宋_GB2312"/>
          <w:b w:val="0"/>
          <w:bCs w:val="0"/>
          <w:spacing w:val="-4"/>
          <w:sz w:val="32"/>
          <w:szCs w:val="32"/>
        </w:rPr>
        <w:t>00%</w:t>
      </w:r>
      <w:r>
        <w:rPr>
          <w:rStyle w:val="11"/>
          <w:rFonts w:hint="eastAsia" w:ascii="仿宋_GB2312" w:hAnsi="仿宋_GB2312" w:eastAsia="仿宋_GB2312" w:cs="仿宋_GB2312"/>
          <w:b w:val="0"/>
          <w:bCs w:val="0"/>
          <w:spacing w:val="-4"/>
          <w:sz w:val="32"/>
          <w:szCs w:val="32"/>
        </w:rPr>
        <w:t>，指标完成率为100%，达到质量提升及标准。</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质量指标共计</w:t>
      </w:r>
      <w:r>
        <w:rPr>
          <w:rStyle w:val="11"/>
          <w:rFonts w:ascii="仿宋_GB2312" w:hAnsi="仿宋_GB2312" w:eastAsia="仿宋_GB2312" w:cs="仿宋_GB2312"/>
          <w:b w:val="0"/>
          <w:bCs w:val="0"/>
          <w:spacing w:val="-4"/>
          <w:sz w:val="32"/>
          <w:szCs w:val="32"/>
        </w:rPr>
        <w:t>1</w:t>
      </w:r>
      <w:r>
        <w:rPr>
          <w:rStyle w:val="11"/>
          <w:rFonts w:hint="eastAsia" w:ascii="仿宋_GB2312" w:hAnsi="仿宋_GB2312" w:eastAsia="仿宋_GB2312" w:cs="仿宋_GB2312"/>
          <w:b w:val="0"/>
          <w:bCs w:val="0"/>
          <w:spacing w:val="-4"/>
          <w:sz w:val="32"/>
          <w:szCs w:val="32"/>
        </w:rPr>
        <w:t>个，完成</w:t>
      </w:r>
      <w:r>
        <w:rPr>
          <w:rStyle w:val="11"/>
          <w:rFonts w:ascii="仿宋_GB2312" w:hAnsi="仿宋_GB2312" w:eastAsia="仿宋_GB2312" w:cs="仿宋_GB2312"/>
          <w:b w:val="0"/>
          <w:bCs w:val="0"/>
          <w:spacing w:val="-4"/>
          <w:sz w:val="32"/>
          <w:szCs w:val="32"/>
        </w:rPr>
        <w:t>1</w:t>
      </w:r>
      <w:r>
        <w:rPr>
          <w:rStyle w:val="11"/>
          <w:rFonts w:hint="eastAsia" w:ascii="仿宋_GB2312" w:hAnsi="仿宋_GB2312" w:eastAsia="仿宋_GB2312" w:cs="仿宋_GB2312"/>
          <w:b w:val="0"/>
          <w:bCs w:val="0"/>
          <w:spacing w:val="-4"/>
          <w:sz w:val="32"/>
          <w:szCs w:val="32"/>
        </w:rPr>
        <w:t>个，达到质量提升及标准。质量指标完成。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3.产出进度</w:t>
      </w:r>
    </w:p>
    <w:p>
      <w:pPr>
        <w:pStyle w:val="21"/>
        <w:snapToGrid w:val="0"/>
        <w:spacing w:line="540" w:lineRule="exact"/>
        <w:ind w:firstLine="624"/>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“工资发放及时率（%）”指标：预期指标值为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，实际完成指标值为</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100%</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，指标完成率为100%，达到预期目标。</w:t>
      </w:r>
    </w:p>
    <w:p>
      <w:pPr>
        <w:pStyle w:val="21"/>
        <w:snapToGrid w:val="0"/>
        <w:spacing w:line="540" w:lineRule="exact"/>
        <w:ind w:firstLine="624"/>
        <w:rPr>
          <w:rStyle w:val="11"/>
          <w:rFonts w:ascii="仿宋_GB2312" w:hAnsi="仿宋_GB2312" w:eastAsia="仿宋_GB2312" w:cs="仿宋_GB2312"/>
          <w:b w:val="0"/>
          <w:bCs w:val="0"/>
          <w:color w:val="FF0000"/>
          <w:spacing w:val="-4"/>
          <w:sz w:val="32"/>
          <w:szCs w:val="32"/>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时效指标共计</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1</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1</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个，达达到预期目标，数量指标完成。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4.产出成本</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“人员经费（万元）”指标：预期指标值为761.07，实际完成指标值为761.07，指标完成率为100%，达到成本控制及改善目标。</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“公用经费（万元）”指标：预期指标值为</w:t>
      </w:r>
      <w:r>
        <w:rPr>
          <w:rStyle w:val="11"/>
          <w:rFonts w:ascii="仿宋_GB2312" w:hAnsi="仿宋_GB2312" w:eastAsia="仿宋_GB2312" w:cs="仿宋_GB2312"/>
          <w:b w:val="0"/>
          <w:bCs w:val="0"/>
          <w:spacing w:val="-4"/>
          <w:sz w:val="32"/>
          <w:szCs w:val="32"/>
        </w:rPr>
        <w:t>18.94</w:t>
      </w:r>
      <w:r>
        <w:rPr>
          <w:rStyle w:val="11"/>
          <w:rFonts w:hint="eastAsia" w:ascii="仿宋_GB2312" w:hAnsi="仿宋_GB2312" w:eastAsia="仿宋_GB2312" w:cs="仿宋_GB2312"/>
          <w:b w:val="0"/>
          <w:bCs w:val="0"/>
          <w:spacing w:val="-4"/>
          <w:sz w:val="32"/>
          <w:szCs w:val="32"/>
        </w:rPr>
        <w:t>，实际完成指标值为</w:t>
      </w:r>
      <w:r>
        <w:rPr>
          <w:rStyle w:val="11"/>
          <w:rFonts w:ascii="仿宋_GB2312" w:hAnsi="仿宋_GB2312" w:eastAsia="仿宋_GB2312" w:cs="仿宋_GB2312"/>
          <w:b w:val="0"/>
          <w:bCs w:val="0"/>
          <w:spacing w:val="-4"/>
          <w:sz w:val="32"/>
          <w:szCs w:val="32"/>
        </w:rPr>
        <w:t>18.84</w:t>
      </w:r>
      <w:r>
        <w:rPr>
          <w:rStyle w:val="11"/>
          <w:rFonts w:hint="eastAsia" w:ascii="仿宋_GB2312" w:hAnsi="仿宋_GB2312" w:eastAsia="仿宋_GB2312" w:cs="仿宋_GB2312"/>
          <w:b w:val="0"/>
          <w:bCs w:val="0"/>
          <w:spacing w:val="-4"/>
          <w:sz w:val="32"/>
          <w:szCs w:val="32"/>
        </w:rPr>
        <w:t>，指标完成率为100%，达到成本控制及改善目标。</w:t>
      </w:r>
    </w:p>
    <w:p>
      <w:pPr>
        <w:pStyle w:val="21"/>
        <w:snapToGrid w:val="0"/>
        <w:spacing w:line="540" w:lineRule="exact"/>
        <w:ind w:firstLine="624"/>
        <w:rPr>
          <w:rStyle w:val="11"/>
          <w:rFonts w:ascii="仿宋_GB2312" w:hAnsi="仿宋_GB2312" w:eastAsia="仿宋_GB2312" w:cs="仿宋_GB2312"/>
          <w:b w:val="0"/>
          <w:bCs w:val="0"/>
          <w:color w:val="FF0000"/>
          <w:spacing w:val="-4"/>
          <w:sz w:val="32"/>
          <w:szCs w:val="32"/>
        </w:rPr>
      </w:pP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成本指标共计</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2</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个，完成</w:t>
      </w:r>
      <w:r>
        <w:rPr>
          <w:rStyle w:val="11"/>
          <w:rFonts w:ascii="仿宋_GB2312" w:hAnsi="仿宋_GB2312" w:eastAsia="仿宋_GB2312" w:cs="仿宋_GB2312"/>
          <w:b w:val="0"/>
          <w:bCs w:val="0"/>
          <w:color w:val="000000" w:themeColor="text1"/>
          <w:spacing w:val="-4"/>
          <w:sz w:val="32"/>
          <w:szCs w:val="32"/>
          <w14:textFill>
            <w14:solidFill>
              <w14:schemeClr w14:val="tx1"/>
            </w14:solidFill>
          </w14:textFill>
        </w:rPr>
        <w:t>2</w:t>
      </w:r>
      <w:r>
        <w:rPr>
          <w:rStyle w:val="11"/>
          <w:rFonts w:hint="eastAsia" w:ascii="仿宋_GB2312" w:hAnsi="仿宋_GB2312" w:eastAsia="仿宋_GB2312" w:cs="仿宋_GB2312"/>
          <w:b w:val="0"/>
          <w:bCs w:val="0"/>
          <w:color w:val="000000" w:themeColor="text1"/>
          <w:spacing w:val="-4"/>
          <w:sz w:val="32"/>
          <w:szCs w:val="32"/>
          <w14:textFill>
            <w14:solidFill>
              <w14:schemeClr w14:val="tx1"/>
            </w14:solidFill>
          </w14:textFill>
        </w:rPr>
        <w:t>个，达到预期目标，成本指标完成。</w:t>
      </w:r>
    </w:p>
    <w:p>
      <w:pPr>
        <w:pStyle w:val="15"/>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（二）效益指标完成情况分析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1.项目实施的经济效益分析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无</w:t>
      </w:r>
    </w:p>
    <w:p>
      <w:pPr>
        <w:pStyle w:val="15"/>
        <w:numPr>
          <w:ilvl w:val="0"/>
          <w:numId w:val="3"/>
        </w:numPr>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项目实施的社会效益分析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“业务保障能力提升情况”指标：预期指标值为有效提高，实际完成指标值为有效提高，指标完成率为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%，达到单位履职能力对社会带来的影响预期目标。</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社会效益指标共计</w:t>
      </w:r>
      <w:r>
        <w:rPr>
          <w:rStyle w:val="11"/>
          <w:rFonts w:ascii="仿宋_GB2312" w:hAnsi="仿宋_GB2312" w:eastAsia="仿宋_GB2312" w:cs="仿宋_GB2312"/>
          <w:b w:val="0"/>
          <w:bCs w:val="0"/>
          <w:spacing w:val="-4"/>
          <w:sz w:val="32"/>
          <w:szCs w:val="32"/>
        </w:rPr>
        <w:t>1</w:t>
      </w:r>
      <w:r>
        <w:rPr>
          <w:rStyle w:val="11"/>
          <w:rFonts w:hint="eastAsia" w:ascii="仿宋_GB2312" w:hAnsi="仿宋_GB2312" w:eastAsia="仿宋_GB2312" w:cs="仿宋_GB2312"/>
          <w:b w:val="0"/>
          <w:bCs w:val="0"/>
          <w:spacing w:val="-4"/>
          <w:sz w:val="32"/>
          <w:szCs w:val="32"/>
        </w:rPr>
        <w:t>个，完成</w:t>
      </w:r>
      <w:r>
        <w:rPr>
          <w:rStyle w:val="11"/>
          <w:rFonts w:ascii="仿宋_GB2312" w:hAnsi="仿宋_GB2312" w:eastAsia="仿宋_GB2312" w:cs="仿宋_GB2312"/>
          <w:b w:val="0"/>
          <w:bCs w:val="0"/>
          <w:spacing w:val="-4"/>
          <w:sz w:val="32"/>
          <w:szCs w:val="32"/>
        </w:rPr>
        <w:t>1</w:t>
      </w:r>
      <w:r>
        <w:rPr>
          <w:rStyle w:val="11"/>
          <w:rFonts w:hint="eastAsia" w:ascii="仿宋_GB2312" w:hAnsi="仿宋_GB2312" w:eastAsia="仿宋_GB2312" w:cs="仿宋_GB2312"/>
          <w:b w:val="0"/>
          <w:bCs w:val="0"/>
          <w:spacing w:val="-4"/>
          <w:sz w:val="32"/>
          <w:szCs w:val="32"/>
        </w:rPr>
        <w:t>个，达到单位履职能力对社会带来的影响预期目标，社会效益指标完成。</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3.项目实施的生态效益分析</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无。</w:t>
      </w:r>
    </w:p>
    <w:p>
      <w:pPr>
        <w:pStyle w:val="15"/>
        <w:snapToGrid w:val="0"/>
        <w:spacing w:line="540" w:lineRule="exact"/>
        <w:ind w:firstLine="624"/>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4.项目实施的可持续影响分析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“提升职工工作积极性”指标：预期指标值为有效提升，实际完成指标值为有效提升，指标完成率为</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%，实现部门绩效长效机制建设，提高了工作积极性。</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5"/>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（三）满意度指标完成情况分析</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bookmarkStart w:id="6" w:name="_Toc22800_WPSOffice_Level1"/>
      <w:r>
        <w:rPr>
          <w:rStyle w:val="11"/>
          <w:rFonts w:hint="eastAsia" w:ascii="仿宋_GB2312" w:hAnsi="仿宋_GB2312" w:eastAsia="仿宋_GB2312" w:cs="仿宋_GB2312"/>
          <w:b w:val="0"/>
          <w:bCs w:val="0"/>
          <w:spacing w:val="-4"/>
          <w:sz w:val="32"/>
          <w:szCs w:val="32"/>
        </w:rPr>
        <w:t>按计划完成项目实施，已做满意度调查抽样问卷，具体如下：</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受益职工满意度(%)指标，预期指标是大于等于95%，实际完成值是95%，指标完成率是100%，达到部门（单位）服务对象对部门履职效果的满意度。</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5"/>
        <w:numPr>
          <w:ilvl w:val="0"/>
          <w:numId w:val="2"/>
        </w:numPr>
        <w:snapToGrid w:val="0"/>
        <w:spacing w:line="540" w:lineRule="exact"/>
        <w:ind w:firstLineChars="0"/>
        <w:outlineLvl w:val="0"/>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存在的主要问题</w:t>
      </w:r>
      <w:bookmarkEnd w:id="6"/>
    </w:p>
    <w:p>
      <w:pPr>
        <w:ind w:firstLine="560"/>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我单位一直在努力做好财政预算收入、支出以及各项项目的管理工作，对预算的资金进行全方位的监督和管理，但依然存在些问题:</w:t>
      </w:r>
    </w:p>
    <w:p>
      <w:p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21"/>
        <w:numPr>
          <w:ilvl w:val="0"/>
          <w:numId w:val="2"/>
        </w:numPr>
        <w:snapToGrid w:val="0"/>
        <w:spacing w:line="540" w:lineRule="exact"/>
        <w:ind w:firstLineChars="0"/>
        <w:outlineLvl w:val="0"/>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改进措施和建议</w:t>
      </w:r>
    </w:p>
    <w:p>
      <w:pPr>
        <w:pStyle w:val="21"/>
        <w:snapToGrid w:val="0"/>
        <w:spacing w:line="540" w:lineRule="exact"/>
        <w:ind w:firstLine="624"/>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（一）改进措施</w:t>
      </w:r>
    </w:p>
    <w:p>
      <w:pPr>
        <w:numPr>
          <w:ilvl w:val="0"/>
          <w:numId w:val="4"/>
        </w:num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在绩效工作进一步得到单位主要领导的重视，逐年完善预算安排工作，合理预算项目、经费、工资等资金；</w:t>
      </w:r>
    </w:p>
    <w:p>
      <w:pPr>
        <w:numPr>
          <w:ilvl w:val="0"/>
          <w:numId w:val="4"/>
        </w:num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对于欠账逐年增多的问题：目前财政资金紧急，在工作和生活方面尽量节约，比如：办公室内尽量节约用办公耗材，打印材料时选择双面打印，使用固定式笔，免得丢失或者无意识办公用笔带回家，节约用电，白天关灯，电脑等用电设备不使用时及时关机；从而节约一部分费用的产生，欠账一年比一年增多现象一定程度上可以缓解，减少地方财政压力；</w:t>
      </w:r>
    </w:p>
    <w:p>
      <w:pPr>
        <w:numPr>
          <w:ilvl w:val="0"/>
          <w:numId w:val="4"/>
        </w:num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对于重要必要支出支付率低的问题：保证今后的工作中项目实施和资金拨付同时进行，节约的同时完成定期拨付相关资金从而提高资金使用率和效益，避免产生欠账，提高干部和广大群众的获得感、幸福感。</w:t>
      </w:r>
    </w:p>
    <w:p>
      <w:pPr>
        <w:numPr>
          <w:ilvl w:val="0"/>
          <w:numId w:val="4"/>
        </w:numPr>
        <w:ind w:firstLine="624" w:firstLineChars="200"/>
        <w:jc w:val="left"/>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大绩效工作宣传力度，强化绩效理念。完善绩效指标，提高整体绩效目标质量。提升预算精细化管理水平。继续完善预算绩效管理相关工作制度，建立全过程预算绩效管理链条，有效贯彻落实全面实施绩效管理的精神。</w:t>
      </w:r>
    </w:p>
    <w:p>
      <w:pPr>
        <w:pStyle w:val="21"/>
        <w:snapToGrid w:val="0"/>
        <w:spacing w:line="540" w:lineRule="exact"/>
        <w:ind w:firstLine="624"/>
        <w:outlineLvl w:val="1"/>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仿宋_GB2312" w:hAnsi="仿宋_GB2312" w:eastAsia="仿宋_GB2312" w:cs="仿宋_GB2312"/>
          <w:spacing w:val="-4"/>
          <w:sz w:val="32"/>
          <w:szCs w:val="32"/>
        </w:rPr>
        <w:t>二）建议</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21"/>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snapToGrid w:val="0"/>
        <w:spacing w:line="540" w:lineRule="exact"/>
        <w:ind w:firstLine="624" w:firstLineChars="200"/>
        <w:rPr>
          <w:rStyle w:val="11"/>
          <w:rFonts w:ascii="仿宋_GB2312" w:hAnsi="仿宋_GB2312" w:eastAsia="仿宋_GB2312" w:cs="仿宋_GB2312"/>
          <w:b w:val="0"/>
          <w:bCs w:val="0"/>
          <w:color w:val="FF0000"/>
          <w:spacing w:val="-4"/>
          <w:sz w:val="32"/>
          <w:szCs w:val="32"/>
        </w:rPr>
      </w:pPr>
      <w:r>
        <w:rPr>
          <w:rStyle w:val="11"/>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1"/>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5352BF"/>
    <w:multiLevelType w:val="singleLevel"/>
    <w:tmpl w:val="8B5352BF"/>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4241768F"/>
    <w:multiLevelType w:val="singleLevel"/>
    <w:tmpl w:val="4241768F"/>
    <w:lvl w:ilvl="0" w:tentative="0">
      <w:start w:val="1"/>
      <w:numFmt w:val="decimal"/>
      <w:suff w:val="nothing"/>
      <w:lvlText w:val="%1．"/>
      <w:lvlJc w:val="left"/>
      <w:pPr>
        <w:ind w:left="0" w:firstLine="400"/>
      </w:pPr>
      <w:rPr>
        <w:rFonts w:hint="default"/>
      </w:rPr>
    </w:lvl>
  </w:abstractNum>
  <w:abstractNum w:abstractNumId="3">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55F0"/>
    <w:rsid w:val="001E750D"/>
    <w:rsid w:val="0022744B"/>
    <w:rsid w:val="00234372"/>
    <w:rsid w:val="00292A50"/>
    <w:rsid w:val="002939FF"/>
    <w:rsid w:val="002F7CCD"/>
    <w:rsid w:val="0030593F"/>
    <w:rsid w:val="003F0DB2"/>
    <w:rsid w:val="00423585"/>
    <w:rsid w:val="00424A01"/>
    <w:rsid w:val="00435CD8"/>
    <w:rsid w:val="00491D09"/>
    <w:rsid w:val="004C5222"/>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071C9"/>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54A98"/>
    <w:rsid w:val="00E613CC"/>
    <w:rsid w:val="00EB1FFE"/>
    <w:rsid w:val="00F326C7"/>
    <w:rsid w:val="00F84215"/>
    <w:rsid w:val="00FF2ACD"/>
    <w:rsid w:val="012008EE"/>
    <w:rsid w:val="01CC583F"/>
    <w:rsid w:val="04FF0482"/>
    <w:rsid w:val="05062887"/>
    <w:rsid w:val="05F70F85"/>
    <w:rsid w:val="06F90B2D"/>
    <w:rsid w:val="084208C4"/>
    <w:rsid w:val="098A3C0A"/>
    <w:rsid w:val="0A9A7091"/>
    <w:rsid w:val="10FE60D7"/>
    <w:rsid w:val="13FF139A"/>
    <w:rsid w:val="175D58E3"/>
    <w:rsid w:val="178F0D26"/>
    <w:rsid w:val="18061B60"/>
    <w:rsid w:val="190C3DF8"/>
    <w:rsid w:val="19F83E30"/>
    <w:rsid w:val="1A660CFD"/>
    <w:rsid w:val="1B403139"/>
    <w:rsid w:val="1C6D319F"/>
    <w:rsid w:val="1D4D74D6"/>
    <w:rsid w:val="1DE32CFD"/>
    <w:rsid w:val="1F1A602A"/>
    <w:rsid w:val="1F2854B6"/>
    <w:rsid w:val="1F8261CF"/>
    <w:rsid w:val="1FAE68D0"/>
    <w:rsid w:val="21C768CD"/>
    <w:rsid w:val="22E14253"/>
    <w:rsid w:val="23F209A3"/>
    <w:rsid w:val="2403516E"/>
    <w:rsid w:val="256A2A9E"/>
    <w:rsid w:val="2805537E"/>
    <w:rsid w:val="289437EE"/>
    <w:rsid w:val="290F3758"/>
    <w:rsid w:val="2EA1678C"/>
    <w:rsid w:val="2EB11949"/>
    <w:rsid w:val="2EBF757D"/>
    <w:rsid w:val="31B83F5F"/>
    <w:rsid w:val="328E2AB6"/>
    <w:rsid w:val="329B12EA"/>
    <w:rsid w:val="33A83F87"/>
    <w:rsid w:val="355C2B3F"/>
    <w:rsid w:val="35F12468"/>
    <w:rsid w:val="36851B5C"/>
    <w:rsid w:val="37D360CA"/>
    <w:rsid w:val="38CB5066"/>
    <w:rsid w:val="3E742992"/>
    <w:rsid w:val="3F301058"/>
    <w:rsid w:val="417A34F9"/>
    <w:rsid w:val="418810F4"/>
    <w:rsid w:val="41A37673"/>
    <w:rsid w:val="42C30950"/>
    <w:rsid w:val="45A65C7F"/>
    <w:rsid w:val="468C2A4A"/>
    <w:rsid w:val="46AD2493"/>
    <w:rsid w:val="46EC7F14"/>
    <w:rsid w:val="484D691E"/>
    <w:rsid w:val="48AF4C7F"/>
    <w:rsid w:val="4A81677A"/>
    <w:rsid w:val="4DA177B2"/>
    <w:rsid w:val="4DF36D4F"/>
    <w:rsid w:val="4E13411F"/>
    <w:rsid w:val="500C43B7"/>
    <w:rsid w:val="501B7C76"/>
    <w:rsid w:val="504D5CCF"/>
    <w:rsid w:val="533A7469"/>
    <w:rsid w:val="53526129"/>
    <w:rsid w:val="53E008F2"/>
    <w:rsid w:val="543902D0"/>
    <w:rsid w:val="54D15658"/>
    <w:rsid w:val="565F61A9"/>
    <w:rsid w:val="57232FC4"/>
    <w:rsid w:val="572D2326"/>
    <w:rsid w:val="57365691"/>
    <w:rsid w:val="58800393"/>
    <w:rsid w:val="59EE1E48"/>
    <w:rsid w:val="5A490F5C"/>
    <w:rsid w:val="5BD21464"/>
    <w:rsid w:val="5BDE2B83"/>
    <w:rsid w:val="61635F72"/>
    <w:rsid w:val="618606C5"/>
    <w:rsid w:val="638208CB"/>
    <w:rsid w:val="63E114D3"/>
    <w:rsid w:val="67B41609"/>
    <w:rsid w:val="67B56FBD"/>
    <w:rsid w:val="69897FE6"/>
    <w:rsid w:val="6AD46D46"/>
    <w:rsid w:val="6DE07909"/>
    <w:rsid w:val="6E58438A"/>
    <w:rsid w:val="6E9D5508"/>
    <w:rsid w:val="71EB22B3"/>
    <w:rsid w:val="72010FA6"/>
    <w:rsid w:val="748A4F72"/>
    <w:rsid w:val="75664078"/>
    <w:rsid w:val="761E4132"/>
    <w:rsid w:val="78061A79"/>
    <w:rsid w:val="7966311C"/>
    <w:rsid w:val="7BC003CA"/>
    <w:rsid w:val="7CBF4BB4"/>
    <w:rsid w:val="7E5D346D"/>
    <w:rsid w:val="7FDB1E88"/>
    <w:rsid w:val="7FDB1FBB"/>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Body Text Indent"/>
    <w:basedOn w:val="1"/>
    <w:unhideWhenUsed/>
    <w:qFormat/>
    <w:uiPriority w:val="99"/>
    <w:pPr>
      <w:spacing w:after="120"/>
      <w:ind w:left="420" w:leftChars="200"/>
    </w:p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Body Text First Indent 2"/>
    <w:basedOn w:val="5"/>
    <w:unhideWhenUsed/>
    <w:qFormat/>
    <w:uiPriority w:val="99"/>
    <w:pPr>
      <w:spacing w:before="100" w:beforeAutospacing="1"/>
      <w:ind w:firstLine="420" w:firstLineChars="200"/>
    </w:p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11">
    <w:name w:val="Strong"/>
    <w:basedOn w:val="10"/>
    <w:qFormat/>
    <w:uiPriority w:val="0"/>
    <w:rPr>
      <w:b/>
      <w:bCs/>
    </w:rPr>
  </w:style>
  <w:style w:type="character" w:styleId="12">
    <w:name w:val="annotation reference"/>
    <w:basedOn w:val="10"/>
    <w:semiHidden/>
    <w:unhideWhenUsed/>
    <w:uiPriority w:val="99"/>
    <w:rPr>
      <w:sz w:val="21"/>
      <w:szCs w:val="21"/>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列表段落1"/>
    <w:basedOn w:val="1"/>
    <w:unhideWhenUsed/>
    <w:qFormat/>
    <w:uiPriority w:val="99"/>
    <w:pPr>
      <w:ind w:firstLine="420" w:firstLineChars="200"/>
    </w:pPr>
  </w:style>
  <w:style w:type="character" w:customStyle="1" w:styleId="16">
    <w:name w:val="页脚 字符"/>
    <w:basedOn w:val="10"/>
    <w:link w:val="6"/>
    <w:qFormat/>
    <w:uiPriority w:val="99"/>
    <w:rPr>
      <w:sz w:val="18"/>
      <w:szCs w:val="18"/>
    </w:rPr>
  </w:style>
  <w:style w:type="character" w:customStyle="1" w:styleId="17">
    <w:name w:val="页眉 字符"/>
    <w:basedOn w:val="10"/>
    <w:link w:val="8"/>
    <w:qFormat/>
    <w:uiPriority w:val="99"/>
    <w:rPr>
      <w:sz w:val="18"/>
      <w:szCs w:val="18"/>
    </w:rPr>
  </w:style>
  <w:style w:type="paragraph" w:customStyle="1" w:styleId="18">
    <w:name w:val="WPSOffice手动目录 1"/>
    <w:qFormat/>
    <w:uiPriority w:val="0"/>
    <w:rPr>
      <w:rFonts w:asciiTheme="minorHAnsi" w:hAnsiTheme="minorHAnsi" w:eastAsiaTheme="minorEastAsia" w:cstheme="minorBidi"/>
      <w:lang w:val="en-US" w:eastAsia="zh-CN" w:bidi="ar-SA"/>
    </w:rPr>
  </w:style>
  <w:style w:type="paragraph" w:customStyle="1" w:styleId="19">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20">
    <w:name w:val="4正文"/>
    <w:basedOn w:val="1"/>
    <w:qFormat/>
    <w:uiPriority w:val="0"/>
    <w:pPr>
      <w:spacing w:line="460" w:lineRule="exact"/>
      <w:ind w:firstLine="3584"/>
    </w:pPr>
  </w:style>
  <w:style w:type="paragraph" w:customStyle="1" w:styleId="21">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35</Pages>
  <Words>2738</Words>
  <Characters>15609</Characters>
  <Lines>130</Lines>
  <Paragraphs>36</Paragraphs>
  <TotalTime>27</TotalTime>
  <ScaleCrop>false</ScaleCrop>
  <LinksUpToDate>false</LinksUpToDate>
  <CharactersWithSpaces>18311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2024-09-05T10:47:36Z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