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000000" w:themeColor="text1"/>
          <w:sz w:val="32"/>
          <w:szCs w:val="32"/>
          <w:lang w:bidi="ar"/>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阿克陶</w:t>
      </w:r>
      <w:r>
        <w:rPr>
          <w:rFonts w:hint="eastAsia" w:ascii="方正小标宋简体" w:hAnsi="方正小标宋简体" w:eastAsia="方正小标宋简体" w:cs="方正小标宋简体"/>
          <w:b/>
          <w:color w:val="000000" w:themeColor="text1"/>
          <w:kern w:val="0"/>
          <w:sz w:val="44"/>
          <w:szCs w:val="44"/>
          <w:lang w:eastAsia="zh-Hans"/>
          <w14:textFill>
            <w14:solidFill>
              <w14:schemeClr w14:val="tx1"/>
            </w14:solidFill>
          </w14:textFill>
        </w:rPr>
        <w:t>县</w:t>
      </w: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部门单位整体支出绩效</w:t>
      </w: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自评报告</w:t>
      </w: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2021  年度）</w:t>
      </w: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color w:val="000000" w:themeColor="text1"/>
          <w:kern w:val="0"/>
          <w:sz w:val="32"/>
          <w:szCs w:val="32"/>
          <w14:textFill>
            <w14:solidFill>
              <w14:schemeClr w14:val="tx1"/>
            </w14:solidFill>
          </w14:textFill>
        </w:rPr>
      </w:pP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部门单位名称（公章）：阿克陶县苗圃</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填报时间：2022年3月19日</w:t>
      </w: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p>
    <w:p>
      <w:pPr>
        <w:pStyle w:val="2"/>
      </w:pP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0" w:name="_Toc2394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基本概况</w:t>
      </w:r>
      <w:bookmarkEnd w:id="0"/>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（一）单位基本情况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1.部门主要职能</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根据陶政办发(2012111号关于印发《阿克陶县苗圃主</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要职责内设机构和人员编制规定》的通知，苗圃的主要职责下：</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(一)贯彻执行国家和自治区的林业发展战略、方针政策和法律法规。拟定林业发展方针政策并监督实施；拟定业中期发展规划和年度计划并组织实施。</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（二）组织指导植树造林工作；组织指导以植树等生物措施为主的防治水土流失和防沙治沙工作指导国有林场(苗）</w:t>
      </w:r>
    </w:p>
    <w:p>
      <w:pPr>
        <w:widowControl/>
        <w:spacing w:line="560" w:lineRule="exact"/>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及与此有关的保护区的建设与管理。</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三）组织指导森林资源(含经济林、薪炭林及特种用途林）管理组织森林资源调查、动态监测和统计组织编制年度森林资源采伐限额和林采伐计划，经批准后，监督执行监督的凭证采伐、运输和经营；负责林地、林权管理，并对依法应由上级部门批准的林地征用、占用进行初审查处林业行政案件。</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（四）组织指导森林和陆生野生动植物资源的保护、管理和合理开发利用；组织、协调、管理湿地保护工作，组织全县野生动植物调查、监测；负责野生动植物及其产品进出口的初审报批工作。</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（五）组织协调、指导监督森林防火工作；检查指导、综合协调森林资源保卫工作指导森林公安队伍及装备建设，监督、协调、查处案件。</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（六）组织指导和监督森林病虫鼠害防治、检疫工作；签发自治区内森林植物检疫证书。</w:t>
      </w:r>
    </w:p>
    <w:p>
      <w:pPr>
        <w:widowControl/>
        <w:spacing w:line="560" w:lineRule="exact"/>
        <w:ind w:left="638" w:leftChars="304"/>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（七）指导监督林木种苗工作，监督管理种苗运输工作。（八）负责编制森林经营方案；指导监督封沙育新造</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林工作制定林业产业发展规划，指导工作。</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（九）监督管理林业专项资金管理国有资产监督管</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林业重点建设项目。</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（十）指导各类商品林（用材林、薪炭林、经济林、特种用途林、防护林和风景林的培育、管护。</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（十一）组织实施林业行业的有关规程、标准；组织指导业科技及教育工作。</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（十二）承担绿化委员会日常工作。</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（十三）承担县森林防火指挥部日常工作。</w:t>
      </w:r>
    </w:p>
    <w:p>
      <w:pPr>
        <w:widowControl/>
        <w:spacing w:line="560" w:lineRule="exact"/>
        <w:ind w:firstLine="640" w:firstLineChars="200"/>
        <w:jc w:val="left"/>
        <w:rPr>
          <w:rFonts w:ascii="仿宋_GB2312" w:hAnsi="宋体" w:eastAsia="仿宋_GB2312" w:cs="Times New Roman"/>
          <w:kern w:val="0"/>
          <w:sz w:val="32"/>
          <w:szCs w:val="32"/>
        </w:rPr>
      </w:pPr>
      <w:r>
        <w:rPr>
          <w:rFonts w:ascii="仿宋_GB2312" w:hAnsi="宋体" w:eastAsia="仿宋_GB2312" w:cs="Times New Roman"/>
          <w:kern w:val="0"/>
          <w:sz w:val="32"/>
          <w:szCs w:val="32"/>
        </w:rPr>
        <w:t>（十四）承办县政府交办的其它工作。</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2.部门机构设置及人员构成</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阿克陶县苗圃是阿克陶县林业局的下属单位，为副科级，二级预算单位。</w:t>
      </w:r>
    </w:p>
    <w:p>
      <w:pPr>
        <w:snapToGrid w:val="0"/>
        <w:spacing w:line="520" w:lineRule="exact"/>
        <w:ind w:firstLine="640"/>
        <w:rPr>
          <w:rFonts w:ascii="仿宋_GB2312" w:hAnsi="仿宋_GB2312" w:eastAsia="仿宋_GB2312" w:cs="仿宋_GB2312"/>
          <w:color w:val="000000"/>
          <w:spacing w:val="-2"/>
          <w:sz w:val="30"/>
          <w:szCs w:val="30"/>
        </w:rPr>
      </w:pPr>
      <w:r>
        <w:rPr>
          <w:rFonts w:hint="eastAsia" w:ascii="仿宋_GB2312" w:eastAsia="仿宋_GB2312"/>
          <w:sz w:val="32"/>
          <w:szCs w:val="32"/>
        </w:rPr>
        <w:t>机构设置情况：阿克陶县苗圃只有1个机构组成的，</w:t>
      </w:r>
      <w:r>
        <w:rPr>
          <w:rFonts w:hint="eastAsia" w:ascii="仿宋_GB2312" w:hAnsi="黑体" w:eastAsia="仿宋_GB2312" w:cs="宋体"/>
          <w:bCs/>
          <w:kern w:val="0"/>
          <w:sz w:val="32"/>
          <w:szCs w:val="32"/>
        </w:rPr>
        <w:t>无下属预算单位，下设 0 个处室，分别是：不内设职能科室。</w:t>
      </w:r>
    </w:p>
    <w:p>
      <w:pPr>
        <w:numPr>
          <w:ilvl w:val="0"/>
          <w:numId w:val="2"/>
        </w:num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人员情况，包括当年变动情况及原因。</w:t>
      </w:r>
    </w:p>
    <w:p>
      <w:pPr>
        <w:ind w:firstLine="640" w:firstLineChars="200"/>
        <w:rPr>
          <w:rFonts w:ascii="黑体" w:hAnsi="黑体" w:eastAsia="黑体"/>
          <w:kern w:val="0"/>
          <w:sz w:val="32"/>
          <w:szCs w:val="32"/>
        </w:rPr>
      </w:pPr>
      <w:r>
        <w:rPr>
          <w:rFonts w:hint="eastAsia" w:ascii="仿宋_GB2312" w:eastAsia="仿宋_GB2312"/>
          <w:sz w:val="32"/>
          <w:szCs w:val="32"/>
        </w:rPr>
        <w:t>人员情况：阿克陶县苗圃本年度编制人数0，无变动；</w:t>
      </w:r>
      <w:r>
        <w:rPr>
          <w:rFonts w:hint="eastAsia" w:ascii="仿宋_GB2312" w:hAnsi="Times New Roman" w:eastAsia="仿宋_GB2312" w:cs="Times New Roman"/>
          <w:sz w:val="32"/>
          <w:szCs w:val="32"/>
        </w:rPr>
        <w:t>实有在职人数37人，其中：在编人员0人；退休37人，减少1人（死亡）。</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3.年度重点工作</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一是强化干部学习教育，持续聚焦总目标。</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二是持续开展群众工作、做好群众的困难帮扶。</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三是完善平台建设，努力提升服务水平。</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四是持续抓好作风建设，遵守各项党规党纪。</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（二）决策过程</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决策机制根据行政事业单位内部控制体系建设相关要求，逐步完善《阿克陶县苗圃党支部会议》、《三重一大会议制度》，根据制度规定；凡涉及到单位改革、发展和稳定关系工作人员切身利益的重大问题，均属于重大事项决策的范围；重要人事任免：后备干部推荐、</w:t>
      </w:r>
      <w:r>
        <w:rPr>
          <w:rStyle w:val="9"/>
          <w:rFonts w:hint="eastAsia" w:ascii="仿宋_GB2312" w:hAnsi="仿宋_GB2312" w:eastAsia="仿宋_GB2312" w:cs="仿宋_GB2312"/>
          <w:b w:val="0"/>
          <w:color w:val="000000" w:themeColor="text1"/>
          <w:sz w:val="32"/>
          <w:szCs w:val="32"/>
          <w:lang w:eastAsia="zh-CN" w:bidi="ar"/>
          <w14:textFill>
            <w14:solidFill>
              <w14:schemeClr w14:val="tx1"/>
            </w14:solidFill>
          </w14:textFill>
        </w:rPr>
        <w:t>选拔</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；领导班子工作分工。重要项目安排：大宗办公物资及设备采购等；上级批准的重大或集体考察学习活动项目经费支出。都需进行单位事项决策。</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（三）项目资金分配</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1.部门（单位）预算编制及分配依据</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基本支出根据财政部门预算编制的相关文件、通知，实行“二上二下”的基本流程进行预算编制，并根据财政部门预算批复、预期绩效目标进行相应分配；由财政部门按照进度每月分期拨付，人</w:t>
      </w:r>
      <w:bookmarkStart w:id="8" w:name="_GoBack"/>
      <w:bookmarkEnd w:id="8"/>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员支出按照工资计划发放工资；资金支出时按照我单位内控体系中设定的流程进行申报审批。</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2.分配结果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eastAsia="zh-Hans"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我单位资金分配与绩效目标一致，符合绩效目标合理性。</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3.重点支出保障率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本年度没有项目。</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（四）部门单位整体支出规模</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（1）年初预算执行情况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我单位年初预算数为</w:t>
      </w:r>
      <w:r>
        <w:rPr>
          <w:rFonts w:hint="eastAsia" w:ascii="仿宋_GB2312" w:hAnsi="宋体" w:eastAsia="仿宋_GB2312" w:cs="宋体"/>
          <w:kern w:val="0"/>
          <w:sz w:val="32"/>
          <w:szCs w:val="32"/>
        </w:rPr>
        <w:t>38.8</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万元，实际预算执行数38.8万元，预算执行率为100%。</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（2）全年预算执行情况</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全年预算数为51.68万元，全年实际支出资金51.68万元，预算执行率为100%。</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2.预算调整情况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我单位年初批复预算数</w:t>
      </w:r>
      <w:r>
        <w:rPr>
          <w:rFonts w:hint="eastAsia" w:ascii="仿宋_GB2312" w:hAnsi="宋体" w:eastAsia="仿宋_GB2312" w:cs="宋体"/>
          <w:kern w:val="0"/>
          <w:sz w:val="32"/>
          <w:szCs w:val="32"/>
        </w:rPr>
        <w:t>38.8</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万元，年中调整数12.88万元，调整后全年预算数51.68万元，预算调整率24.92%。</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 xml:space="preserve">3.政府采购执行情况 </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我单位本年度需政府采购的预算数为0万元。</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（五）评价使用方法和主要内容、涉及范围</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1.评价使用方法</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bookmarkStart w:id="1" w:name="_Hlk49856735"/>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本次评价主要采取比较法和调查法。一是比较法。对项目支出情况及建设后的产出及效果与项目实施计划目标进行比较，分析预计目标的完成程度。二是</w:t>
      </w:r>
      <w:r>
        <w:rPr>
          <w:rStyle w:val="9"/>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公众评判法</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2.评价对象及主要内容</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评价的对象及主要内容为:</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部门单位整体管理及使用情况，具体涉及预算管理、基本支出和专项支出的管理及使用情况；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部门单位整体支出绩效情况，具体涉及部门单位整体支出绩效目标的实现程度，包括是否达到预定产出、效果和效益效率等；</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部门单位专项组织实施情况，具体涉及专项组织情况分析和相关管理情况；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资产管理情况，具体涉及资产管理规范性和资产变动情况。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3.涉及的范围</w:t>
      </w:r>
      <w:bookmarkEnd w:id="1"/>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2" w:name="_Toc3253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部门单位整体支出管理及使用情况</w:t>
      </w:r>
      <w:bookmarkEnd w:id="2"/>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（一）预算管理情况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1.管理制度健全性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单位为加强预算管理，规范财务行为，已制定《阿克陶县苗圃部门单位预算绩效管理工作实施办法》，《阿克陶县苗圃财务管理制度》等健全完整的各项管理制度，有效保障了我单位高效的履行工作职能，较好的促进事业发展。</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2.资金使用合规性和安全性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3.预决算信息公开性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（二）基本支出和使用情况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1.基本支出和使用情况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2021年本单位基本支出全年预算总额51.68万元，其中：人员经费</w:t>
      </w:r>
      <w:r>
        <w:rPr>
          <w:rFonts w:hint="eastAsia" w:ascii="仿宋_GB2312" w:hAnsi="宋体" w:eastAsia="仿宋_GB2312" w:cs="宋体"/>
          <w:color w:val="000000" w:themeColor="text1"/>
          <w:kern w:val="0"/>
          <w:sz w:val="32"/>
          <w:szCs w:val="32"/>
          <w14:textFill>
            <w14:solidFill>
              <w14:schemeClr w14:val="tx1"/>
            </w14:solidFill>
          </w14:textFill>
        </w:rPr>
        <w:t>51.68</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万元，公用经费</w:t>
      </w:r>
      <w:r>
        <w:rPr>
          <w:rFonts w:hint="eastAsia" w:ascii="仿宋_GB2312" w:hAnsi="宋体" w:eastAsia="仿宋_GB2312" w:cs="宋体"/>
          <w:color w:val="000000" w:themeColor="text1"/>
          <w:kern w:val="0"/>
          <w:sz w:val="32"/>
          <w:szCs w:val="32"/>
          <w14:textFill>
            <w14:solidFill>
              <w14:schemeClr w14:val="tx1"/>
            </w14:solidFill>
          </w14:textFill>
        </w:rPr>
        <w:t>0</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万元。实际支出51.68万元，基本支出预算执行率100%。</w:t>
      </w:r>
    </w:p>
    <w:p>
      <w:pPr>
        <w:pStyle w:val="12"/>
        <w:snapToGrid w:val="0"/>
        <w:spacing w:line="540" w:lineRule="exact"/>
        <w:ind w:firstLine="640"/>
        <w:rPr>
          <w:rStyle w:val="9"/>
          <w:rFonts w:ascii="仿宋_GB2312" w:hAnsi="仿宋_GB2312" w:eastAsia="仿宋_GB2312" w:cs="仿宋_GB2312"/>
          <w:b w:val="0"/>
          <w:color w:val="000000" w:themeColor="text1"/>
          <w:sz w:val="32"/>
          <w:szCs w:val="32"/>
          <w:highlight w:val="yellow"/>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2.三公经费控制情况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我单位坚决贯彻落实中央、自治区、阿克陶</w:t>
      </w:r>
      <w:r>
        <w:rPr>
          <w:rFonts w:hint="eastAsia" w:ascii="仿宋" w:hAnsi="仿宋" w:eastAsia="仿宋" w:cs="宋体"/>
          <w:bCs/>
          <w:color w:val="000000" w:themeColor="text1"/>
          <w:sz w:val="32"/>
          <w:szCs w:val="32"/>
          <w:lang w:eastAsia="zh-Hans" w:bidi="ar"/>
          <w14:textFill>
            <w14:solidFill>
              <w14:schemeClr w14:val="tx1"/>
            </w14:solidFill>
          </w14:textFill>
        </w:rPr>
        <w:t>县</w:t>
      </w:r>
      <w:r>
        <w:rPr>
          <w:rFonts w:hint="eastAsia" w:ascii="仿宋" w:hAnsi="仿宋" w:eastAsia="仿宋" w:cs="宋体"/>
          <w:bCs/>
          <w:color w:val="000000" w:themeColor="text1"/>
          <w:sz w:val="32"/>
          <w:szCs w:val="32"/>
          <w:lang w:bidi="ar"/>
          <w14:textFill>
            <w14:solidFill>
              <w14:schemeClr w14:val="tx1"/>
            </w14:solidFill>
          </w14:textFill>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（三）专项支出管理和使用情况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snapToGrid w:val="0"/>
        <w:spacing w:line="540" w:lineRule="exact"/>
        <w:ind w:left="648"/>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3" w:name="_Toc1734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三、部门单位专项组织实施情况</w:t>
      </w:r>
      <w:bookmarkEnd w:id="3"/>
    </w:p>
    <w:p>
      <w:pPr>
        <w:pStyle w:val="12"/>
        <w:snapToGrid w:val="0"/>
        <w:spacing w:line="540" w:lineRule="exact"/>
        <w:ind w:firstLine="640"/>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pPr>
      <w:r>
        <w:rPr>
          <w:rStyle w:val="9"/>
          <w:rFonts w:ascii="仿宋_GB2312" w:hAnsi="仿宋_GB2312" w:eastAsia="仿宋_GB2312" w:cs="仿宋_GB2312"/>
          <w:b w:val="0"/>
          <w:color w:val="000000" w:themeColor="text1"/>
          <w:sz w:val="32"/>
          <w:szCs w:val="32"/>
          <w:lang w:bidi="ar"/>
          <w14:textFill>
            <w14:solidFill>
              <w14:schemeClr w14:val="tx1"/>
            </w14:solidFill>
          </w14:textFill>
        </w:rPr>
        <w:t>2021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年单位无项目</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（二）项目专项组织情况分析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艾则孜江·居麦任评价组组长，绩效评价工作职责为负责全盘工作。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王建平任评价组副组长，绩效评价工作职责为为对项目实施情况进行实地调查。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刘春艳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（二）专项管理情况分析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1.项目资金情况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该项目预算资金0万元，实际到位0万元，实际支出0万元。到位足额及时，预算编制依据充分，预算编制准确，资金不存在截留、挪用，支付审批合规、不存在用途改变、范围超支和虚列项目支出等情况；本项目严格按照《阿克陶县苗圃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项目组织情况：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项目管理情况：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项目监管情况：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3.项目绩效情况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成本控制情况：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严格按照相关的专项资金管理办法，实行多重审批控制专项经费的支出。</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成本节约情况：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4.项目效率性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项目实施进度：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项目完成质量：</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项目严格按照年度预期目标执行，项目完成质量达标。</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5.项目效益性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预期目标完成程度：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项目实施对效益的影响：</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项目的实施有效提升了培训人员的爱国主义意识，持续保障了培训工作的顺利开展。</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4" w:name="_Toc278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资产管理情况</w:t>
      </w:r>
      <w:bookmarkEnd w:id="4"/>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（一）资产管理规范性</w:t>
      </w:r>
    </w:p>
    <w:p>
      <w:pPr>
        <w:pStyle w:val="12"/>
        <w:snapToGrid w:val="0"/>
        <w:spacing w:line="540" w:lineRule="exact"/>
        <w:ind w:firstLine="624"/>
        <w:rPr>
          <w:rFonts w:ascii="仿宋" w:hAnsi="仿宋" w:eastAsia="仿宋" w:cs="宋体"/>
          <w:bCs/>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我单位2021年资产合计数为9.24万元，比上年减少30.61万元，主要原因是账上的医保费，工资代扣等资金已上交；货币资金减少，其中：货币资金9.24万元，比上年减少30.61</w:t>
      </w:r>
      <w:r>
        <w:rPr>
          <w:rFonts w:hint="eastAsia" w:ascii="仿宋" w:hAnsi="仿宋" w:eastAsia="仿宋" w:cs="宋体"/>
          <w:bCs/>
          <w:color w:val="000000" w:themeColor="text1"/>
          <w:sz w:val="32"/>
          <w:szCs w:val="32"/>
          <w:lang w:bidi="ar"/>
          <w14:textFill>
            <w14:solidFill>
              <w14:schemeClr w14:val="tx1"/>
            </w14:solidFill>
          </w14:textFill>
        </w:rPr>
        <w:t>万元；财政应返还额度0万元，比上年相比无变化；房屋0平方米0万元，比上年减少0万元；在建工程0万元，与上年持平；办公设备及家具0.2万元，与上年相比增加。我单位本年无资产处置情况，资产配置合理，使用规范，安全完整。</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1.资产管理情况。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2.固定资产利用情况。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我单位固定资产9.24万元,其中:建筑物0.05万元，通用设备类1.3万元，家具0.2万元。目前正在使用的固定资产总额9.24万元，固定资产利用率为100%。</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3.流动资产管理情况。</w:t>
      </w:r>
    </w:p>
    <w:p>
      <w:pPr>
        <w:pStyle w:val="12"/>
        <w:snapToGrid w:val="0"/>
        <w:spacing w:line="540" w:lineRule="exact"/>
        <w:ind w:firstLine="624"/>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（二）固定资产利用率</w:t>
      </w:r>
    </w:p>
    <w:p>
      <w:pPr>
        <w:pStyle w:val="12"/>
        <w:tabs>
          <w:tab w:val="left" w:pos="0"/>
        </w:tabs>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截止本年度固定资产账面净值1.74万元，年末实际在用固定资产1.74万元，固定资产利用率为100%。</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5" w:name="_Toc13582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部门单位整体支出绩效情况</w:t>
      </w:r>
      <w:bookmarkEnd w:id="5"/>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部门单位整体支出自评表，共设置一级指标3个，二级指标7个，三级指标</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7</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（一）产出指标完成情况分析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1.产出数量</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保障人员人数指标，预期指标是等于37人，实际完成值是37人，指标完成率是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数量指标共计1个，完成1个，达到预期目标，数量指标完成。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2.产出质量</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资金使用合格率（%），预期指标是等于</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%，实际完成值是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%。指标完成率是100%，达到质量提升及标准。</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质量指标共计1个，完成1个，达到质量提升及标准。质量指标完成。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3.产出进度</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资金拨付及时率指标，预期指标是等于100%，实际完成值是100%，指标完成率是100%，达到预期目标。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时效指标共计</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4.产出成本</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人员经费（万元）指标，预期指标是等于38.8万元，实际完成值是38.8万元，指标完成率是100%，达到成本控制及改善目标。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成本指标共计1个，完成1个，达到成本控制及改善目标，成本指标完成。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（二）效益指标完成情况分析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1.项目实施的经济效益分析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2.项目实施的社会效益分析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提高职工生活水平指标，预期指标是有效提高，实际完成值是有效提高，指标完成率是100%，达到单位履职能力对社会带来的影响预期目标。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社会效益指标共计1个，完成1个，达到单位履职能力对社会带来的影响预期目标，社会效益指标完成。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3.项目实施的生态效益分析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4.项目实施的可持续影响分析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提升职工工作效率指标，预期指标是有效提升，实际完成值是有效提升，指标完成率是100%，实现部门绩效长效机制建设，提高工作效率目标。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可持续影响指标共计1个，完成1个，达到预期目标，可持续影响指标完成。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（三）满意度指标完成情况分析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职工满意度指标，预期指标是大于等于95%，实际完成值是98%，指标完成率是100%，达到部门（单位）服务对象对部门履职效果的满意度。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满意度指标共计1个，完成1个，达到部门（单位）服务对象对部门履职效果的满意度，服务对象满意度指标完成。</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6" w:name="_Toc22800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存在的主要问题</w:t>
      </w:r>
      <w:bookmarkEnd w:id="6"/>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绩效指标的明确性、可衡量性、相关性还需进一步提升。预算精细化管理还需完善，预算编制管理水平仍有进一步提升的空间。</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7" w:name="_Toc295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改进措施和建议</w:t>
      </w:r>
      <w:bookmarkEnd w:id="7"/>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（一）改进措施</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加大绩效工作宣传力度，强化绩效理念。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完善绩效指标，提高整体绩效目标质量。提升预算精细化管理水平。</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继续完善预算绩效管理相关工作制度，建立全过程预算绩效管理链条，有效贯彻落实全面实施绩效管理的精神。</w:t>
      </w:r>
    </w:p>
    <w:p>
      <w:pPr>
        <w:pStyle w:val="12"/>
        <w:snapToGrid w:val="0"/>
        <w:spacing w:line="540" w:lineRule="exact"/>
        <w:ind w:firstLine="624"/>
        <w:outlineLvl w:val="1"/>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二）建议</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9"/>
          <w:rFonts w:ascii="仿宋_GB2312" w:hAnsi="仿宋_GB2312" w:eastAsia="仿宋_GB2312" w:cs="仿宋_GB2312"/>
          <w:b w:val="0"/>
          <w:color w:val="000000" w:themeColor="text1"/>
          <w:spacing w:val="-4"/>
          <w:sz w:val="32"/>
          <w:szCs w:val="32"/>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E0793"/>
    <w:multiLevelType w:val="singleLevel"/>
    <w:tmpl w:val="8F6E0793"/>
    <w:lvl w:ilvl="0" w:tentative="0">
      <w:start w:val="2"/>
      <w:numFmt w:val="decimal"/>
      <w:suff w:val="nothing"/>
      <w:lvlText w:val="%1．"/>
      <w:lvlJc w:val="left"/>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942B8"/>
    <w:rsid w:val="000C4E29"/>
    <w:rsid w:val="000D3AFA"/>
    <w:rsid w:val="000E1B81"/>
    <w:rsid w:val="000F5EE6"/>
    <w:rsid w:val="0012092B"/>
    <w:rsid w:val="00141421"/>
    <w:rsid w:val="00155351"/>
    <w:rsid w:val="00191BA3"/>
    <w:rsid w:val="001C1E1D"/>
    <w:rsid w:val="001D7F79"/>
    <w:rsid w:val="001E750D"/>
    <w:rsid w:val="0022744B"/>
    <w:rsid w:val="00234372"/>
    <w:rsid w:val="00292A50"/>
    <w:rsid w:val="002939FF"/>
    <w:rsid w:val="002F7CCD"/>
    <w:rsid w:val="003F0DB2"/>
    <w:rsid w:val="00424A01"/>
    <w:rsid w:val="00491D09"/>
    <w:rsid w:val="004E1483"/>
    <w:rsid w:val="0054132C"/>
    <w:rsid w:val="005519D7"/>
    <w:rsid w:val="00580BAA"/>
    <w:rsid w:val="00590FAD"/>
    <w:rsid w:val="005B1250"/>
    <w:rsid w:val="006258B7"/>
    <w:rsid w:val="00633862"/>
    <w:rsid w:val="006B4CDA"/>
    <w:rsid w:val="006C5BED"/>
    <w:rsid w:val="006C5D3A"/>
    <w:rsid w:val="006D4FCD"/>
    <w:rsid w:val="006E5B50"/>
    <w:rsid w:val="006F7865"/>
    <w:rsid w:val="00702D4A"/>
    <w:rsid w:val="007115C8"/>
    <w:rsid w:val="00722C79"/>
    <w:rsid w:val="00724F4D"/>
    <w:rsid w:val="007925C0"/>
    <w:rsid w:val="007D6A0D"/>
    <w:rsid w:val="007E7E99"/>
    <w:rsid w:val="00802CD4"/>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273C8"/>
    <w:rsid w:val="00C532B7"/>
    <w:rsid w:val="00C77007"/>
    <w:rsid w:val="00CD2F35"/>
    <w:rsid w:val="00CD5A03"/>
    <w:rsid w:val="00D82401"/>
    <w:rsid w:val="00D9126A"/>
    <w:rsid w:val="00D93262"/>
    <w:rsid w:val="00DB1085"/>
    <w:rsid w:val="00E71EE9"/>
    <w:rsid w:val="00EB1FFE"/>
    <w:rsid w:val="00F326C7"/>
    <w:rsid w:val="00F84215"/>
    <w:rsid w:val="00FF2ACD"/>
    <w:rsid w:val="012008EE"/>
    <w:rsid w:val="01CC583F"/>
    <w:rsid w:val="02697E2F"/>
    <w:rsid w:val="03123DCA"/>
    <w:rsid w:val="04FF0482"/>
    <w:rsid w:val="05062887"/>
    <w:rsid w:val="059C5BCD"/>
    <w:rsid w:val="05F70F85"/>
    <w:rsid w:val="08053EFD"/>
    <w:rsid w:val="084208C4"/>
    <w:rsid w:val="08FC0E5C"/>
    <w:rsid w:val="098A3C0A"/>
    <w:rsid w:val="0A9A7091"/>
    <w:rsid w:val="0C57234E"/>
    <w:rsid w:val="0D9773A6"/>
    <w:rsid w:val="0F7E6098"/>
    <w:rsid w:val="10161FDD"/>
    <w:rsid w:val="10FE60D7"/>
    <w:rsid w:val="175D58E3"/>
    <w:rsid w:val="18061B60"/>
    <w:rsid w:val="18622CA6"/>
    <w:rsid w:val="190C3DF8"/>
    <w:rsid w:val="19F83E30"/>
    <w:rsid w:val="1B2C2654"/>
    <w:rsid w:val="1B403139"/>
    <w:rsid w:val="1C6D319F"/>
    <w:rsid w:val="1D4D74D6"/>
    <w:rsid w:val="1DE32CFD"/>
    <w:rsid w:val="1F1A602A"/>
    <w:rsid w:val="1F2854B6"/>
    <w:rsid w:val="1F942DE2"/>
    <w:rsid w:val="21C768CD"/>
    <w:rsid w:val="22776641"/>
    <w:rsid w:val="22E14253"/>
    <w:rsid w:val="23F209A3"/>
    <w:rsid w:val="2403516E"/>
    <w:rsid w:val="254C103E"/>
    <w:rsid w:val="256A2A9E"/>
    <w:rsid w:val="25B36A26"/>
    <w:rsid w:val="2805537E"/>
    <w:rsid w:val="289437EE"/>
    <w:rsid w:val="28A55EB1"/>
    <w:rsid w:val="2AB3006F"/>
    <w:rsid w:val="2DA336ED"/>
    <w:rsid w:val="2EBF757D"/>
    <w:rsid w:val="311118C1"/>
    <w:rsid w:val="31B83F5F"/>
    <w:rsid w:val="3278012B"/>
    <w:rsid w:val="328E2AB6"/>
    <w:rsid w:val="329B12EA"/>
    <w:rsid w:val="33A83F87"/>
    <w:rsid w:val="349F4C0E"/>
    <w:rsid w:val="355C2B3F"/>
    <w:rsid w:val="35F12468"/>
    <w:rsid w:val="36851B5C"/>
    <w:rsid w:val="37D360CA"/>
    <w:rsid w:val="38CB5066"/>
    <w:rsid w:val="3A632E5C"/>
    <w:rsid w:val="3A8F74D3"/>
    <w:rsid w:val="3D6A7D83"/>
    <w:rsid w:val="3F301058"/>
    <w:rsid w:val="417A34F9"/>
    <w:rsid w:val="418810F4"/>
    <w:rsid w:val="41A37673"/>
    <w:rsid w:val="42C30950"/>
    <w:rsid w:val="445157F9"/>
    <w:rsid w:val="452F78E8"/>
    <w:rsid w:val="45A65C7F"/>
    <w:rsid w:val="468C2A4A"/>
    <w:rsid w:val="46AD2493"/>
    <w:rsid w:val="46EC7F14"/>
    <w:rsid w:val="4851401A"/>
    <w:rsid w:val="48AF4C7F"/>
    <w:rsid w:val="48E32C88"/>
    <w:rsid w:val="4A81677A"/>
    <w:rsid w:val="4A8D396F"/>
    <w:rsid w:val="4B7705C0"/>
    <w:rsid w:val="4BBF74EC"/>
    <w:rsid w:val="4D185106"/>
    <w:rsid w:val="4DA177B2"/>
    <w:rsid w:val="4DF36D4F"/>
    <w:rsid w:val="4FBC621D"/>
    <w:rsid w:val="501B7C76"/>
    <w:rsid w:val="504D5CCF"/>
    <w:rsid w:val="5095081C"/>
    <w:rsid w:val="533A7469"/>
    <w:rsid w:val="53526129"/>
    <w:rsid w:val="54DB173D"/>
    <w:rsid w:val="54E05FCC"/>
    <w:rsid w:val="565F61A9"/>
    <w:rsid w:val="57232FC4"/>
    <w:rsid w:val="572D2326"/>
    <w:rsid w:val="57365691"/>
    <w:rsid w:val="59EE1E48"/>
    <w:rsid w:val="5A490F5C"/>
    <w:rsid w:val="5BD21464"/>
    <w:rsid w:val="5BDE2B83"/>
    <w:rsid w:val="5DC42DCB"/>
    <w:rsid w:val="5E1E4546"/>
    <w:rsid w:val="609A7B3A"/>
    <w:rsid w:val="61635F72"/>
    <w:rsid w:val="618606C5"/>
    <w:rsid w:val="61952D71"/>
    <w:rsid w:val="6311467A"/>
    <w:rsid w:val="63E114D3"/>
    <w:rsid w:val="676C00D0"/>
    <w:rsid w:val="684C10EC"/>
    <w:rsid w:val="689D5C06"/>
    <w:rsid w:val="68FB55DA"/>
    <w:rsid w:val="6A0B0D54"/>
    <w:rsid w:val="6AD46D46"/>
    <w:rsid w:val="6DE07909"/>
    <w:rsid w:val="6E565636"/>
    <w:rsid w:val="6E58438A"/>
    <w:rsid w:val="6E9D5508"/>
    <w:rsid w:val="6FA3087E"/>
    <w:rsid w:val="70932B72"/>
    <w:rsid w:val="71EA67C2"/>
    <w:rsid w:val="71EB22B3"/>
    <w:rsid w:val="72010FA6"/>
    <w:rsid w:val="72AC1CC9"/>
    <w:rsid w:val="748A4F72"/>
    <w:rsid w:val="75664078"/>
    <w:rsid w:val="761E4132"/>
    <w:rsid w:val="78061A79"/>
    <w:rsid w:val="78340796"/>
    <w:rsid w:val="7A5C3FD5"/>
    <w:rsid w:val="7BC003CA"/>
    <w:rsid w:val="7CBE2D25"/>
    <w:rsid w:val="7CBF4BB4"/>
    <w:rsid w:val="7CCF6CE0"/>
    <w:rsid w:val="7D80622C"/>
    <w:rsid w:val="7DBF384A"/>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qFormat/>
    <w:uiPriority w:val="0"/>
    <w:pPr>
      <w:spacing w:before="240" w:after="240" w:line="360" w:lineRule="auto"/>
      <w:jc w:val="center"/>
    </w:pPr>
    <w:rPr>
      <w:b/>
      <w:sz w:val="44"/>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8"/>
    <w:link w:val="6"/>
    <w:qFormat/>
    <w:uiPriority w:val="99"/>
    <w:rPr>
      <w:sz w:val="18"/>
      <w:szCs w:val="18"/>
    </w:rPr>
  </w:style>
  <w:style w:type="character" w:customStyle="1" w:styleId="14">
    <w:name w:val="页眉 字符"/>
    <w:basedOn w:val="8"/>
    <w:link w:val="7"/>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1016</Words>
  <Characters>5796</Characters>
  <Lines>48</Lines>
  <Paragraphs>13</Paragraphs>
  <TotalTime>87</TotalTime>
  <ScaleCrop>false</ScaleCrop>
  <LinksUpToDate>false</LinksUpToDate>
  <CharactersWithSpaces>6799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2023-12-15T13:00:26Z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A54E5A4232EB42E7B0D2284565EEAEEB</vt:lpwstr>
  </property>
</Properties>
</file>