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阿克陶县阿克陶镇部门单位整体支出绩效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（2021年度）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after="312" w:afterLines="1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部门单位名称（公章）：阿克陶县阿克陶镇人民政府</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填报时间：2022年3月15日</w:t>
      </w:r>
    </w:p>
    <w:p>
      <w:pPr>
        <w:spacing w:line="700" w:lineRule="exact"/>
        <w:jc w:val="left"/>
        <w:rPr>
          <w:rFonts w:ascii="仿宋_GB2312" w:hAnsi="仿宋_GB2312" w:eastAsia="仿宋_GB2312" w:cs="仿宋_GB2312"/>
          <w:kern w:val="0"/>
          <w:sz w:val="32"/>
          <w:szCs w:val="32"/>
        </w:rPr>
      </w:pPr>
    </w:p>
    <w:p>
      <w:pPr>
        <w:pStyle w:val="2"/>
      </w:pP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3"/>
        <w:outlineLvl w:val="2"/>
        <w:rPr>
          <w:rStyle w:val="9"/>
          <w:rFonts w:ascii="仿宋_GB2312" w:hAnsi="仿宋_GB2312" w:eastAsia="仿宋_GB2312" w:cs="仿宋_GB2312"/>
          <w:b w:val="0"/>
          <w:sz w:val="32"/>
          <w:szCs w:val="32"/>
          <w:highlight w:val="red"/>
          <w:lang w:bidi="ar"/>
        </w:rPr>
      </w:pPr>
      <w:r>
        <w:rPr>
          <w:rStyle w:val="9"/>
          <w:rFonts w:hint="eastAsia" w:ascii="仿宋_GB2312" w:hAnsi="仿宋_GB2312" w:eastAsia="仿宋_GB2312" w:cs="仿宋_GB2312"/>
          <w:bCs w:val="0"/>
          <w:color w:val="333333"/>
          <w:sz w:val="32"/>
          <w:szCs w:val="32"/>
          <w:lang w:bidi="ar"/>
        </w:rPr>
        <w:t>1.部门主要职能</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贯彻执行党的路线、方针、政策，讨论决定全镇经济建设和社会发展等重大问题，领导镇党政机关及事业单位和群众组织，加强镇党委自身建设和以村党支部为核心的村级组织建设;加强全镇社会主义民主</w:t>
      </w:r>
      <w:r>
        <w:rPr>
          <w:rStyle w:val="9"/>
          <w:rFonts w:hint="eastAsia" w:ascii="仿宋_GB2312" w:hAnsi="仿宋_GB2312" w:eastAsia="仿宋_GB2312" w:cs="仿宋_GB2312"/>
          <w:b w:val="0"/>
          <w:sz w:val="32"/>
          <w:szCs w:val="32"/>
          <w:lang w:eastAsia="zh-CN" w:bidi="ar"/>
        </w:rPr>
        <w:t>法治</w:t>
      </w:r>
      <w:r>
        <w:rPr>
          <w:rStyle w:val="9"/>
          <w:rFonts w:hint="eastAsia" w:ascii="仿宋_GB2312" w:hAnsi="仿宋_GB2312" w:eastAsia="仿宋_GB2312" w:cs="仿宋_GB2312"/>
          <w:b w:val="0"/>
          <w:sz w:val="32"/>
          <w:szCs w:val="32"/>
          <w:lang w:bidi="ar"/>
        </w:rPr>
        <w:t>建设和精神文明建设;加强民族团结 维护社会稳定。领导和管理全镇经济工作和城镇建设，编制和执行镇村经济和社会发展计划，做好与党的建设、乡村振兴、精准脱贫、 型城镇化建设等重点工作的有效衔接，形成工作合力。依照法律规定任免、培训、考核和奖惩机关、站所(中心)、中小学及村级工作人员。领导和管理民政、社保、公安、司法、教育、扶贫、农技、农机、农经、林管、水管、畜牧兽医、草原、财政、统 、文化、广播电视、旅游、规划建设、生态环保以及</w:t>
      </w:r>
      <w:r>
        <w:rPr>
          <w:rStyle w:val="9"/>
          <w:rFonts w:hint="eastAsia" w:ascii="仿宋_GB2312" w:hAnsi="仿宋_GB2312" w:eastAsia="仿宋_GB2312" w:cs="仿宋_GB2312"/>
          <w:b w:val="0"/>
          <w:sz w:val="32"/>
          <w:szCs w:val="32"/>
          <w:lang w:eastAsia="zh-CN" w:bidi="ar"/>
        </w:rPr>
        <w:t>民</w:t>
      </w:r>
      <w:r>
        <w:rPr>
          <w:rStyle w:val="9"/>
          <w:rFonts w:hint="eastAsia" w:ascii="仿宋_GB2312" w:hAnsi="仿宋_GB2312" w:eastAsia="仿宋_GB2312" w:cs="仿宋_GB2312"/>
          <w:b w:val="0"/>
          <w:sz w:val="32"/>
          <w:szCs w:val="32"/>
          <w:lang w:bidi="ar"/>
        </w:rPr>
        <w:t>族宗教事务等工作。</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2.部门机构设置及人员构成</w:t>
      </w:r>
      <w:bookmarkStart w:id="8" w:name="_GoBack"/>
      <w:bookmarkEnd w:id="8"/>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阿克陶镇机关编制144名，其中：行政编制63名，机关工勤事业编制3名，事业编制78名。实有人员270人，其中行政编197名，机关工勤事业编制3名，事业编70名。</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3.年度重点工作</w:t>
      </w:r>
    </w:p>
    <w:p>
      <w:pPr>
        <w:pStyle w:val="7"/>
        <w:numPr>
          <w:ilvl w:val="0"/>
          <w:numId w:val="2"/>
        </w:numPr>
        <w:spacing w:before="0" w:beforeAutospacing="0" w:after="0" w:afterAutospacing="0"/>
        <w:ind w:firstLine="56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 xml:space="preserve">保障人员工资，按时足额发放。 </w:t>
      </w:r>
      <w:r>
        <w:rPr>
          <w:rFonts w:hint="eastAsia" w:ascii="Times New Roman" w:hAnsi="Times New Roman" w:eastAsia="仿宋_GB2312" w:cs="Times New Roman"/>
          <w:sz w:val="28"/>
        </w:rPr>
        <w:t xml:space="preserve">                                                                                      </w:t>
      </w:r>
      <w:r>
        <w:rPr>
          <w:rStyle w:val="9"/>
          <w:rFonts w:hint="eastAsia" w:ascii="仿宋_GB2312" w:hAnsi="仿宋_GB2312" w:eastAsia="仿宋_GB2312" w:cs="仿宋_GB2312"/>
          <w:b w:val="0"/>
          <w:sz w:val="32"/>
          <w:szCs w:val="32"/>
          <w:lang w:bidi="ar"/>
        </w:rPr>
        <w:t>保障单位各项工作正常运转。执行本乡经济和社会发展计划、预算，管理本乡经济、教育、文化、卫生体育事业和财政、民政、国土、计划生育等工作。维护正当经济权益，取缔非法经济活动，维护社会稳定。</w:t>
      </w:r>
    </w:p>
    <w:p>
      <w:pPr>
        <w:pStyle w:val="7"/>
        <w:numPr>
          <w:ilvl w:val="0"/>
          <w:numId w:val="2"/>
        </w:numPr>
        <w:spacing w:before="0" w:beforeAutospacing="0" w:after="0" w:afterAutospacing="0"/>
        <w:ind w:firstLine="56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保障纪检办案工作顺利进行和开支。</w:t>
      </w:r>
    </w:p>
    <w:p>
      <w:pPr>
        <w:pStyle w:val="7"/>
        <w:numPr>
          <w:ilvl w:val="0"/>
          <w:numId w:val="2"/>
        </w:numPr>
        <w:spacing w:before="0" w:beforeAutospacing="0" w:after="0" w:afterAutospacing="0"/>
        <w:ind w:firstLine="56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保障公务用车车辆维护。                                                                                      计划实施情况：完成全年干部工资发放，保证单位各项工作正常运转。</w:t>
      </w:r>
    </w:p>
    <w:p>
      <w:pPr>
        <w:ind w:firstLine="560"/>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 w:val="0"/>
          <w:sz w:val="32"/>
          <w:szCs w:val="32"/>
          <w:lang w:bidi="ar"/>
        </w:rPr>
        <w:t>4.贯彻落实党中央的扶贫、稳定、安全生产的工作部署，农业方面：带动全民共同进步，推动和促进广大群众掌握新技能，就业，发展生产，稳定脱贫；财政方面：全力强化财政资金的支持力度，开拓新视界，落实好财政扶贫资金的到位、使用、效益等关键点；社保方面：实现百分之98的城镇居民参加医疗保险，做好60岁以上老人享受养老保险待遇，让农民感觉到党的温暖；民政工作方面：把民政资金按月发放到农民手里，给贫困户提供基本生活保障；</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（二）决策过程</w:t>
      </w:r>
    </w:p>
    <w:p>
      <w:pPr>
        <w:ind w:firstLine="560"/>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 w:val="0"/>
          <w:sz w:val="32"/>
          <w:szCs w:val="32"/>
          <w:lang w:bidi="ar"/>
        </w:rPr>
        <w:t>我单位决策机制根据行政事业单位内部控制体系建设相关要求，逐步完善《阿克陶镇财经领导小组会议》、《阿克陶镇内部控制领导小组工作会》等会议；《阿克陶镇财务管理制度》、《三重一大会议制度》、《阿克陶镇预决算编制制度》等规章制度，根据以上制度规定进行单位事项决策。</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1.部门（单位）预算编制及分配依据</w:t>
      </w:r>
    </w:p>
    <w:p>
      <w:pPr>
        <w:ind w:firstLine="56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20201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2.分配结果</w:t>
      </w:r>
    </w:p>
    <w:p>
      <w:pPr>
        <w:ind w:firstLine="56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3.重点支出保障率</w:t>
      </w:r>
    </w:p>
    <w:p>
      <w:pPr>
        <w:widowControl/>
        <w:spacing w:line="520" w:lineRule="atLeast"/>
        <w:ind w:firstLine="840" w:firstLineChars="300"/>
        <w:jc w:val="left"/>
        <w:rPr>
          <w:rStyle w:val="9"/>
          <w:rFonts w:ascii="仿宋_GB2312" w:hAnsi="仿宋_GB2312" w:eastAsia="仿宋_GB2312" w:cs="仿宋_GB2312"/>
          <w:b w:val="0"/>
          <w:sz w:val="28"/>
        </w:rPr>
      </w:pPr>
      <w:r>
        <w:rPr>
          <w:rStyle w:val="9"/>
          <w:rFonts w:hint="eastAsia" w:ascii="仿宋_GB2312" w:hAnsi="仿宋_GB2312" w:eastAsia="仿宋_GB2312" w:cs="仿宋_GB2312"/>
          <w:b w:val="0"/>
          <w:sz w:val="28"/>
        </w:rPr>
        <w:t>本年度本单位预算安排的重点项目1个，预算安排的重点项目支出金额为22.29万元，部门项目总支出金额为22.29万元，则重点项目支出占项目总支出的比率为100%。</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sz w:val="32"/>
          <w:szCs w:val="32"/>
          <w:lang w:bidi="ar"/>
        </w:rPr>
        <w:t>我单位年初预算数为4455.39万元，实际预算执行数4405.32万元，预算执行率为98.88%。</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sz w:val="32"/>
          <w:szCs w:val="32"/>
          <w:lang w:bidi="ar"/>
        </w:rPr>
        <w:t>全年预算数为9585.72万元，全年实际支出资金9246.42万元，预算执行率为96.46%。</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Style w:val="9"/>
          <w:rFonts w:hint="eastAsia" w:ascii="仿宋_GB2312" w:hAnsi="仿宋_GB2312" w:eastAsia="仿宋_GB2312" w:cs="仿宋_GB2312"/>
          <w:b w:val="0"/>
          <w:sz w:val="32"/>
          <w:szCs w:val="32"/>
          <w:lang w:bidi="ar"/>
        </w:rPr>
        <w:t>我单位年初批复预算数4455.39万元，年中调整数5130.33万元，调整后全年预算数9585.72万元，预算调整率115.15%。</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年初政府采购预算数为30万元，实际政府采购数为0万元，政府采购执行率为0%。</w:t>
      </w:r>
    </w:p>
    <w:p>
      <w:pPr>
        <w:pStyle w:val="12"/>
        <w:snapToGrid w:val="0"/>
        <w:spacing w:line="540" w:lineRule="exact"/>
        <w:ind w:firstLine="643"/>
        <w:outlineLvl w:val="1"/>
        <w:rPr>
          <w:rStyle w:val="9"/>
          <w:rFonts w:ascii="仿宋_GB2312" w:hAnsi="仿宋_GB2312" w:eastAsia="仿宋_GB2312" w:cs="仿宋_GB2312"/>
          <w:bCs w:val="0"/>
          <w:sz w:val="32"/>
          <w:szCs w:val="32"/>
          <w:lang w:bidi="ar"/>
        </w:rPr>
      </w:pPr>
      <w:r>
        <w:rPr>
          <w:rStyle w:val="9"/>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1.评价使用方法</w:t>
      </w:r>
    </w:p>
    <w:p>
      <w:pPr>
        <w:spacing w:line="600" w:lineRule="exact"/>
        <w:ind w:firstLine="560"/>
        <w:rPr>
          <w:rStyle w:val="9"/>
          <w:rFonts w:ascii="仿宋_GB2312" w:hAnsi="仿宋_GB2312" w:eastAsia="仿宋_GB2312" w:cs="仿宋_GB2312"/>
          <w:b w:val="0"/>
          <w:color w:val="333333"/>
          <w:sz w:val="32"/>
          <w:szCs w:val="32"/>
          <w:lang w:bidi="ar"/>
        </w:rPr>
      </w:pPr>
      <w:bookmarkStart w:id="1" w:name="_Hlk49856735"/>
      <w:r>
        <w:rPr>
          <w:rStyle w:val="9"/>
          <w:rFonts w:hint="eastAsia" w:ascii="仿宋_GB2312" w:hAnsi="仿宋_GB2312" w:eastAsia="仿宋_GB2312" w:cs="仿宋_GB2312"/>
          <w:b w:val="0"/>
          <w:color w:val="333333"/>
          <w:sz w:val="32"/>
          <w:szCs w:val="32"/>
          <w:lang w:bidi="ar"/>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color w:val="333333"/>
          <w:sz w:val="32"/>
          <w:szCs w:val="32"/>
          <w:lang w:bidi="ar"/>
        </w:rPr>
        <w:t>评价的对象及主要内容为:</w:t>
      </w:r>
      <w:r>
        <w:rPr>
          <w:rStyle w:val="9"/>
          <w:rFonts w:hint="eastAsia" w:ascii="仿宋_GB2312" w:hAnsi="仿宋_GB2312" w:eastAsia="仿宋_GB2312" w:cs="仿宋_GB2312"/>
          <w:bCs w:val="0"/>
          <w:color w:val="333333"/>
          <w:sz w:val="32"/>
          <w:szCs w:val="32"/>
          <w:lang w:bidi="ar"/>
        </w:rPr>
        <w:t>一是</w:t>
      </w:r>
      <w:r>
        <w:rPr>
          <w:rStyle w:val="9"/>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9"/>
          <w:rFonts w:hint="eastAsia" w:ascii="仿宋_GB2312" w:hAnsi="仿宋_GB2312" w:eastAsia="仿宋_GB2312" w:cs="仿宋_GB2312"/>
          <w:bCs w:val="0"/>
          <w:color w:val="333333"/>
          <w:sz w:val="32"/>
          <w:szCs w:val="32"/>
          <w:lang w:bidi="ar"/>
        </w:rPr>
        <w:t>二是</w:t>
      </w:r>
      <w:r>
        <w:rPr>
          <w:rStyle w:val="9"/>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333333"/>
          <w:sz w:val="32"/>
          <w:szCs w:val="32"/>
          <w:lang w:bidi="ar"/>
        </w:rPr>
        <w:t>三是</w:t>
      </w:r>
      <w:r>
        <w:rPr>
          <w:rStyle w:val="9"/>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9"/>
          <w:rFonts w:hint="eastAsia" w:ascii="仿宋_GB2312" w:hAnsi="仿宋_GB2312" w:eastAsia="仿宋_GB2312" w:cs="仿宋_GB2312"/>
          <w:bCs w:val="0"/>
          <w:color w:val="333333"/>
          <w:sz w:val="32"/>
          <w:szCs w:val="32"/>
          <w:lang w:bidi="ar"/>
        </w:rPr>
        <w:t>四是</w:t>
      </w:r>
      <w:r>
        <w:rPr>
          <w:rStyle w:val="9"/>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 w:val="0"/>
          <w:color w:val="333333"/>
          <w:sz w:val="32"/>
          <w:szCs w:val="32"/>
          <w:lang w:bidi="ar"/>
        </w:rPr>
        <w:t>本单位为加强预算管理，规范财务行为，已制定《阿克陶镇人民政府部门单位预算绩效管理工作实施办法》，《阿克陶镇人民政府单位财务管理制度》等健全完整的各项管理制度，有效保障了我单位高效的履行工作职能，较好的促进事业发展。</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阿克陶县财政局预决算信息公开工作要求，我单位在阿克陶县政府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2021年本单位基本支出全年预算总额5101.57万元，其中：人员经费4794.61万元，公用经费306.96万元。实际支出5031.47万元，基本支出预算执行率98.63%。</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我单位坚决贯彻落实中央、自治区、阿克陶</w:t>
      </w:r>
      <w:r>
        <w:rPr>
          <w:rFonts w:hint="eastAsia" w:ascii="仿宋" w:hAnsi="仿宋" w:eastAsia="仿宋" w:cs="宋体"/>
          <w:bCs/>
          <w:color w:val="333333"/>
          <w:sz w:val="32"/>
          <w:szCs w:val="32"/>
          <w:lang w:eastAsia="zh-Hans" w:bidi="ar"/>
        </w:rPr>
        <w:t>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0.94万元，实际支出0.94万元，“三公经费”控制率为100%，其中：因公出国（境）费预算为0万元，实际支出0万元；公务接待费预算为0万元，实际支出0万元；公务用车购置费预算为0万元，实际支出0万元；公务用车运行维护费预算为0.94万元，实际支出0.94万元，公务用车运行维护费控制率100%，符合财政部门本年预算要求和相关管理制度要求。</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2021年本单位安排专项支出预算总额</w:t>
      </w:r>
      <w:r>
        <w:rPr>
          <w:rStyle w:val="9"/>
          <w:rFonts w:ascii="仿宋_GB2312" w:hAnsi="仿宋_GB2312" w:eastAsia="仿宋_GB2312" w:cs="仿宋_GB2312"/>
          <w:b w:val="0"/>
          <w:sz w:val="32"/>
          <w:szCs w:val="32"/>
          <w:lang w:bidi="ar"/>
        </w:rPr>
        <w:t>4484.14</w:t>
      </w:r>
      <w:r>
        <w:rPr>
          <w:rStyle w:val="9"/>
          <w:rFonts w:hint="eastAsia" w:ascii="仿宋_GB2312" w:hAnsi="仿宋_GB2312" w:eastAsia="仿宋_GB2312" w:cs="仿宋_GB2312"/>
          <w:b w:val="0"/>
          <w:sz w:val="32"/>
          <w:szCs w:val="32"/>
          <w:lang w:bidi="ar"/>
        </w:rPr>
        <w:t>万元，实际支出4214.95万元，专项支出预算执行率100%。</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2021年本单位共有26个资金项目，其中22个属经常性项目、4个属当年度新增项目，已完成项目26个、未完成项目0个。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640"/>
        <w:rPr>
          <w:rStyle w:val="9"/>
          <w:rFonts w:ascii="仿宋_GB2312" w:hAnsi="仿宋_GB2312" w:eastAsia="仿宋_GB2312" w:cs="仿宋_GB2312"/>
          <w:bCs w:val="0"/>
          <w:spacing w:val="-4"/>
          <w:sz w:val="32"/>
          <w:szCs w:val="32"/>
        </w:rPr>
      </w:pPr>
      <w:r>
        <w:rPr>
          <w:rStyle w:val="9"/>
          <w:rFonts w:hint="eastAsia" w:ascii="仿宋_GB2312" w:hAnsi="仿宋_GB2312" w:eastAsia="仿宋_GB2312" w:cs="仿宋_GB2312"/>
          <w:b w:val="0"/>
          <w:sz w:val="32"/>
          <w:szCs w:val="32"/>
          <w:lang w:bidi="ar"/>
        </w:rPr>
        <w:t>本年我单位实施专项项目2</w:t>
      </w:r>
      <w:r>
        <w:rPr>
          <w:rStyle w:val="9"/>
          <w:rFonts w:ascii="仿宋_GB2312" w:hAnsi="仿宋_GB2312" w:eastAsia="仿宋_GB2312" w:cs="仿宋_GB2312"/>
          <w:b w:val="0"/>
          <w:sz w:val="32"/>
          <w:szCs w:val="32"/>
          <w:lang w:bidi="ar"/>
        </w:rPr>
        <w:t>3</w:t>
      </w:r>
      <w:r>
        <w:rPr>
          <w:rStyle w:val="9"/>
          <w:rFonts w:hint="eastAsia" w:ascii="仿宋_GB2312" w:hAnsi="仿宋_GB2312" w:eastAsia="仿宋_GB2312" w:cs="仿宋_GB2312"/>
          <w:b w:val="0"/>
          <w:sz w:val="32"/>
          <w:szCs w:val="32"/>
          <w:lang w:bidi="ar"/>
        </w:rPr>
        <w:t>个，涉及金额4214.95万元，其中：中央专项项目0个涉及金额0万元，自治区专项项目0个涉及金额0万元，地区本级专项项目2</w:t>
      </w:r>
      <w:r>
        <w:rPr>
          <w:rStyle w:val="9"/>
          <w:rFonts w:ascii="仿宋_GB2312" w:hAnsi="仿宋_GB2312" w:eastAsia="仿宋_GB2312" w:cs="仿宋_GB2312"/>
          <w:b w:val="0"/>
          <w:sz w:val="32"/>
          <w:szCs w:val="32"/>
          <w:lang w:bidi="ar"/>
        </w:rPr>
        <w:t>3</w:t>
      </w:r>
      <w:r>
        <w:rPr>
          <w:rStyle w:val="9"/>
          <w:rFonts w:hint="eastAsia" w:ascii="仿宋_GB2312" w:hAnsi="仿宋_GB2312" w:eastAsia="仿宋_GB2312" w:cs="仿宋_GB2312"/>
          <w:b w:val="0"/>
          <w:sz w:val="32"/>
          <w:szCs w:val="32"/>
          <w:lang w:bidi="ar"/>
        </w:rPr>
        <w:t>个涉及金额4214.95万元。</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bCs w:val="0"/>
          <w:spacing w:val="-4"/>
          <w:sz w:val="32"/>
          <w:szCs w:val="32"/>
        </w:rPr>
        <w:t>（一）项目专项组织情况分析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李晖同志（镇党委书记）任评价组组长，绩效评价工作职责为负责全盘工作。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阿斯古丽·喀日同志（副镇长）任评价组副组长，绩效评价工作职责为为对项目实施情况进行实地调查。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阿依努尔·买买提同志（民政所所长）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3</w:t>
      </w:r>
      <w:r>
        <w:rPr>
          <w:rStyle w:val="9"/>
          <w:rFonts w:ascii="仿宋_GB2312" w:hAnsi="仿宋_GB2312" w:eastAsia="仿宋_GB2312" w:cs="仿宋_GB2312"/>
          <w:b w:val="0"/>
          <w:sz w:val="32"/>
          <w:szCs w:val="32"/>
          <w:lang w:bidi="ar"/>
        </w:rPr>
        <w:t>.</w:t>
      </w:r>
      <w:r>
        <w:rPr>
          <w:rStyle w:val="9"/>
          <w:rFonts w:hint="eastAsia" w:ascii="仿宋_GB2312" w:hAnsi="仿宋_GB2312" w:eastAsia="仿宋_GB2312" w:cs="仿宋_GB2312"/>
          <w:b w:val="0"/>
          <w:sz w:val="32"/>
          <w:szCs w:val="32"/>
          <w:lang w:bidi="ar"/>
        </w:rPr>
        <w:t>项目情况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w:t>
      </w:r>
      <w:r>
        <w:rPr>
          <w:rStyle w:val="9"/>
          <w:rFonts w:ascii="仿宋_GB2312" w:hAnsi="仿宋_GB2312" w:eastAsia="仿宋_GB2312" w:cs="仿宋_GB2312"/>
          <w:b w:val="0"/>
          <w:sz w:val="32"/>
          <w:szCs w:val="32"/>
          <w:lang w:bidi="ar"/>
        </w:rPr>
        <w:t>021</w:t>
      </w:r>
      <w:r>
        <w:rPr>
          <w:rStyle w:val="9"/>
          <w:rFonts w:hint="eastAsia" w:ascii="仿宋_GB2312" w:hAnsi="仿宋_GB2312" w:eastAsia="仿宋_GB2312" w:cs="仿宋_GB2312"/>
          <w:b w:val="0"/>
          <w:sz w:val="32"/>
          <w:szCs w:val="32"/>
          <w:lang w:bidi="ar"/>
        </w:rPr>
        <w:t>年单位共实施项目</w:t>
      </w:r>
      <w:r>
        <w:rPr>
          <w:rStyle w:val="9"/>
          <w:rFonts w:ascii="仿宋_GB2312" w:hAnsi="仿宋_GB2312" w:eastAsia="仿宋_GB2312" w:cs="仿宋_GB2312"/>
          <w:b w:val="0"/>
          <w:sz w:val="32"/>
          <w:szCs w:val="32"/>
          <w:lang w:bidi="ar"/>
        </w:rPr>
        <w:t>23</w:t>
      </w:r>
      <w:r>
        <w:rPr>
          <w:rStyle w:val="9"/>
          <w:rFonts w:hint="eastAsia" w:ascii="仿宋_GB2312" w:hAnsi="仿宋_GB2312" w:eastAsia="仿宋_GB2312" w:cs="仿宋_GB2312"/>
          <w:b w:val="0"/>
          <w:sz w:val="32"/>
          <w:szCs w:val="32"/>
          <w:lang w:bidi="ar"/>
        </w:rPr>
        <w:t>个，分别为见习补贴，高龄补贴，残疾人生活和护理补助，城市最低生活保障金，农村最低生活保障金，临时救助，农村特困人员救助供养，低保及供养补助补发，计生宣传员检查补贴，计划生育奖励金，生态护林员补助，退耕还林补助，退耕还林补助，保障性住房附属工程，耕地地力保护补贴，环境整治及蘑菇小院项目，低质低效林项目，2021年扶贫项目，2021年扶贫项目，棉花目标价格改革补贴，2020年环境整治项目，穿衣戴帽资金，自然灾害救灾资金补助。以上项目均已完成。</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该项目预算资金</w:t>
      </w:r>
      <w:r>
        <w:rPr>
          <w:rStyle w:val="9"/>
          <w:rFonts w:ascii="仿宋_GB2312" w:hAnsi="仿宋_GB2312" w:eastAsia="仿宋_GB2312" w:cs="仿宋_GB2312"/>
          <w:b w:val="0"/>
          <w:bCs w:val="0"/>
          <w:spacing w:val="-4"/>
          <w:sz w:val="32"/>
          <w:szCs w:val="32"/>
        </w:rPr>
        <w:t>4484.14</w:t>
      </w:r>
      <w:r>
        <w:rPr>
          <w:rStyle w:val="9"/>
          <w:rFonts w:hint="eastAsia" w:ascii="仿宋_GB2312" w:hAnsi="仿宋_GB2312" w:eastAsia="仿宋_GB2312" w:cs="仿宋_GB2312"/>
          <w:b w:val="0"/>
          <w:bCs w:val="0"/>
          <w:spacing w:val="-4"/>
          <w:sz w:val="32"/>
          <w:szCs w:val="32"/>
        </w:rPr>
        <w:t>万元，实际到位</w:t>
      </w:r>
      <w:r>
        <w:rPr>
          <w:rStyle w:val="9"/>
          <w:rFonts w:ascii="仿宋_GB2312" w:hAnsi="仿宋_GB2312" w:eastAsia="仿宋_GB2312" w:cs="仿宋_GB2312"/>
          <w:b w:val="0"/>
          <w:bCs w:val="0"/>
          <w:spacing w:val="-4"/>
          <w:sz w:val="32"/>
          <w:szCs w:val="32"/>
        </w:rPr>
        <w:t>4484.14</w:t>
      </w:r>
      <w:r>
        <w:rPr>
          <w:rStyle w:val="9"/>
          <w:rFonts w:hint="eastAsia" w:ascii="仿宋_GB2312" w:hAnsi="仿宋_GB2312" w:eastAsia="仿宋_GB2312" w:cs="仿宋_GB2312"/>
          <w:b w:val="0"/>
          <w:bCs w:val="0"/>
          <w:spacing w:val="-4"/>
          <w:sz w:val="32"/>
          <w:szCs w:val="32"/>
        </w:rPr>
        <w:t>万元，实际支出</w:t>
      </w:r>
      <w:r>
        <w:rPr>
          <w:rStyle w:val="9"/>
          <w:rFonts w:ascii="仿宋_GB2312" w:hAnsi="仿宋_GB2312" w:eastAsia="仿宋_GB2312" w:cs="仿宋_GB2312"/>
          <w:b w:val="0"/>
          <w:sz w:val="32"/>
          <w:szCs w:val="32"/>
          <w:lang w:bidi="ar"/>
        </w:rPr>
        <w:t>4214.95</w:t>
      </w:r>
      <w:r>
        <w:rPr>
          <w:rStyle w:val="9"/>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镇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2.项目实施情况</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项目组织情况：</w:t>
      </w:r>
      <w:r>
        <w:rPr>
          <w:rStyle w:val="9"/>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项目管理情况：</w:t>
      </w:r>
      <w:r>
        <w:rPr>
          <w:rStyle w:val="9"/>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项目监管情况：</w:t>
      </w:r>
      <w:r>
        <w:rPr>
          <w:rStyle w:val="9"/>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3.项目绩效情况</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成本控制情况：</w:t>
      </w:r>
      <w:r>
        <w:rPr>
          <w:rStyle w:val="9"/>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成本节约情况：</w:t>
      </w:r>
      <w:r>
        <w:rPr>
          <w:rStyle w:val="9"/>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4.项目效率性</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项目实施进度：</w:t>
      </w:r>
      <w:r>
        <w:rPr>
          <w:rStyle w:val="9"/>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项目完成质量：</w:t>
      </w:r>
      <w:r>
        <w:rPr>
          <w:rStyle w:val="9"/>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5.项目效益性</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预期目标完成程度：</w:t>
      </w:r>
      <w:r>
        <w:rPr>
          <w:rStyle w:val="9"/>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项目实施对效益的影响：</w:t>
      </w:r>
      <w:r>
        <w:rPr>
          <w:rStyle w:val="9"/>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3"/>
        </w:numPr>
        <w:snapToGrid w:val="0"/>
        <w:spacing w:line="540" w:lineRule="exact"/>
        <w:ind w:firstLineChars="0"/>
        <w:outlineLvl w:val="0"/>
        <w:rPr>
          <w:rStyle w:val="9"/>
          <w:rFonts w:ascii="仿宋_GB2312" w:hAnsi="仿宋_GB2312" w:eastAsia="仿宋_GB2312" w:cs="仿宋_GB2312"/>
          <w:spacing w:val="-4"/>
          <w:sz w:val="32"/>
          <w:szCs w:val="32"/>
        </w:rPr>
      </w:pPr>
      <w:bookmarkStart w:id="4" w:name="_Toc27846_WPSOffice_Level1"/>
      <w:r>
        <w:rPr>
          <w:rStyle w:val="9"/>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（一）资产管理规范性</w:t>
      </w:r>
    </w:p>
    <w:p>
      <w:pPr>
        <w:pStyle w:val="12"/>
        <w:snapToGrid w:val="0"/>
        <w:spacing w:line="540" w:lineRule="exact"/>
        <w:ind w:firstLine="640"/>
        <w:rPr>
          <w:rFonts w:ascii="仿宋" w:hAnsi="仿宋" w:eastAsia="仿宋" w:cs="宋体"/>
          <w:bCs/>
          <w:sz w:val="32"/>
          <w:szCs w:val="32"/>
          <w:lang w:bidi="ar"/>
        </w:rPr>
      </w:pPr>
      <w:r>
        <w:rPr>
          <w:rFonts w:hint="eastAsia" w:ascii="仿宋" w:hAnsi="仿宋" w:eastAsia="仿宋" w:cs="宋体"/>
          <w:bCs/>
          <w:color w:val="333333"/>
          <w:sz w:val="32"/>
          <w:szCs w:val="32"/>
          <w:lang w:bidi="ar"/>
        </w:rPr>
        <w:t>我单位2021年资产合计数为8347.86万元，比上年增加1980.82万元，主要原因是盘点往年扶贫项目形成的固定资产和漏录的资产补入账和资产系统，导致固定资产增长幅度较大；货币资金减少，其中：</w:t>
      </w:r>
      <w:r>
        <w:rPr>
          <w:rFonts w:hint="eastAsia" w:ascii="仿宋" w:hAnsi="仿宋" w:eastAsia="仿宋" w:cs="宋体"/>
          <w:bCs/>
          <w:sz w:val="32"/>
          <w:szCs w:val="32"/>
          <w:lang w:bidi="ar"/>
        </w:rPr>
        <w:t>货币资金595.21万元，比上年减少32.43万元；财政应返还额度0万元，比上年相比无变化；房屋19378.51平方米2336.81万元，比上年增加1786.65万元；车辆4辆43万元，与上年相比无变化；在建工程0万元，比上年减少696.5万元；办公设备及家具562.32万元，与上年相比增加4.65万元。我单位本年无资产处置情况，资产配置合理，使用规范，安全完整。</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我单位固定资产4266.68万元,其中:37套房屋2336.81万元，4辆车43万元，61个专用设备154.37万元，569个办公设备122.33万元。目前正在使用的固定资产总额113.73万元，固定资产利用率为92.97%。</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spacing w:val="-4"/>
          <w:sz w:val="32"/>
          <w:szCs w:val="32"/>
        </w:rPr>
        <w:t>3.</w:t>
      </w:r>
      <w:r>
        <w:rPr>
          <w:rStyle w:val="9"/>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根据《行政事业单位资产管理制度》，对货币资金加强管理，统一设立银行存款账户，未经财政主管部门同意不允许单独设立财政监管以外的银行存款账户；基本没有现金使用。因此，出纳人员在收门面租金、电费等特殊情况下收现金时，严格遵守国家的现金管理规定，及时将现金存到本单位银行账户，不保存现金，不存在其他现金收支业务；基本不存在预借款事项，外出需要个人结算业务的统一使用公务卡结算，刷卡记录和相关票据经单位负责人审签，由财务负责人签字后报主管财务领导审批。</w:t>
      </w:r>
    </w:p>
    <w:p>
      <w:pPr>
        <w:pStyle w:val="12"/>
        <w:tabs>
          <w:tab w:val="left" w:pos="0"/>
        </w:tabs>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（二）固定资产利用率</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截止本年度固定资产账面净值3559.20万元，年末实际在用固定资产3552.62万元，固定资产利用率为99.82%。</w:t>
      </w:r>
    </w:p>
    <w:p>
      <w:pPr>
        <w:pStyle w:val="12"/>
        <w:numPr>
          <w:ilvl w:val="0"/>
          <w:numId w:val="3"/>
        </w:numPr>
        <w:snapToGrid w:val="0"/>
        <w:spacing w:line="540" w:lineRule="exact"/>
        <w:ind w:firstLineChars="0"/>
        <w:outlineLvl w:val="0"/>
        <w:rPr>
          <w:rStyle w:val="9"/>
          <w:rFonts w:ascii="仿宋_GB2312" w:hAnsi="仿宋_GB2312" w:eastAsia="仿宋_GB2312" w:cs="仿宋_GB2312"/>
          <w:spacing w:val="-4"/>
          <w:sz w:val="32"/>
          <w:szCs w:val="32"/>
        </w:rPr>
      </w:pPr>
      <w:bookmarkStart w:id="5" w:name="_Toc13582_WPSOffice_Level1"/>
      <w:r>
        <w:rPr>
          <w:rStyle w:val="9"/>
          <w:rFonts w:hint="eastAsia" w:ascii="仿宋_GB2312" w:hAnsi="仿宋_GB2312" w:eastAsia="仿宋_GB2312" w:cs="仿宋_GB2312"/>
          <w:spacing w:val="-4"/>
          <w:sz w:val="32"/>
          <w:szCs w:val="32"/>
        </w:rPr>
        <w:t>部门单位整体支出绩效情况</w:t>
      </w:r>
      <w:bookmarkEnd w:id="5"/>
    </w:p>
    <w:p>
      <w:pPr>
        <w:pStyle w:val="12"/>
        <w:snapToGrid w:val="0"/>
        <w:spacing w:line="540" w:lineRule="exact"/>
        <w:ind w:firstLine="640"/>
        <w:rPr>
          <w:rStyle w:val="9"/>
          <w:rFonts w:ascii="仿宋_GB2312" w:hAnsi="仿宋_GB2312" w:eastAsia="仿宋_GB2312" w:cs="仿宋_GB2312"/>
          <w:b w:val="0"/>
          <w:bCs w:val="0"/>
          <w:color w:val="FF0000"/>
          <w:spacing w:val="-4"/>
          <w:sz w:val="32"/>
          <w:szCs w:val="32"/>
        </w:rPr>
      </w:pPr>
      <w:r>
        <w:rPr>
          <w:rFonts w:hint="eastAsia" w:ascii="仿宋" w:hAnsi="仿宋" w:eastAsia="仿宋" w:cs="宋体"/>
          <w:bCs/>
          <w:color w:val="333333"/>
          <w:sz w:val="32"/>
          <w:szCs w:val="32"/>
          <w:lang w:bidi="ar"/>
        </w:rPr>
        <w:t>部门单位整体支出自评表，共设置一级指标3个，二级指标8个，三级指标26个。</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1.产出数量</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“保障人员人数（人）”指标：预期指标值为261，实际完成指标值为261，指标完成率为100%，达到预期目标。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“保障车辆数（辆）”指标：预期指标值为3，实际完成指标值为3，指标完成率为100%，达到预期目标。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“执法行动次数（次/年）”指标：预期指标值为25，实际完成指标值为23，指标完成率为92%，未达成预期目标，未完成的原因：年初指标设置有误差，今后的改进措施：合理设置预期指标值。</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“办理案件次数（次/年）”指标：预期指标值为12，实际完成指标值为11，指标完成率为91.67%，未达成预期目标，未完成的原因：年初指标设置有误差，今后的改进措施：合理设置预期指标值。</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“保障供暖覆盖面积（平方米）”指标：预期指标值为9198.5，实际完成指标值为9198.5，指标完成率为100%，达到预期目标。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“保障用餐职工人员（人）”指标：预期指标值为80，实际完成指标值为80，指标完成率为100%，达到预期目标。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“保障食堂厨师工资（人）”指标：预期指标值为1，实际完成指标值为1，指标完成率为100%，达到预期目标。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“政府采购次数（次/年）”指标：预期指标值为8，实际完成指标值为7，指标完成率为87.5%，基本达到预期目标。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“食材采购次数（次/月）”指标：预期指标值为≥4，实际完成指标值为4，指标完成率为100%，达到预期目标。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数量指标共计9个，完成7个，达到预期目标，数量指标完成。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2.产出质量</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“资金使用合规率（%）”指标：预期指标值为1</w:t>
      </w:r>
      <w:r>
        <w:rPr>
          <w:rStyle w:val="9"/>
          <w:rFonts w:ascii="仿宋_GB2312" w:hAnsi="仿宋_GB2312" w:eastAsia="仿宋_GB2312" w:cs="仿宋_GB2312"/>
          <w:b w:val="0"/>
          <w:bCs w:val="0"/>
          <w:spacing w:val="-4"/>
          <w:sz w:val="32"/>
          <w:szCs w:val="32"/>
        </w:rPr>
        <w:t>00%</w:t>
      </w:r>
      <w:r>
        <w:rPr>
          <w:rStyle w:val="9"/>
          <w:rFonts w:hint="eastAsia" w:ascii="仿宋_GB2312" w:hAnsi="仿宋_GB2312" w:eastAsia="仿宋_GB2312" w:cs="仿宋_GB2312"/>
          <w:b w:val="0"/>
          <w:bCs w:val="0"/>
          <w:spacing w:val="-4"/>
          <w:sz w:val="32"/>
          <w:szCs w:val="32"/>
        </w:rPr>
        <w:t>，实际完成指标值为1</w:t>
      </w:r>
      <w:r>
        <w:rPr>
          <w:rStyle w:val="9"/>
          <w:rFonts w:ascii="仿宋_GB2312" w:hAnsi="仿宋_GB2312" w:eastAsia="仿宋_GB2312" w:cs="仿宋_GB2312"/>
          <w:b w:val="0"/>
          <w:bCs w:val="0"/>
          <w:spacing w:val="-4"/>
          <w:sz w:val="32"/>
          <w:szCs w:val="32"/>
        </w:rPr>
        <w:t>00%</w:t>
      </w:r>
      <w:r>
        <w:rPr>
          <w:rStyle w:val="9"/>
          <w:rFonts w:hint="eastAsia" w:ascii="仿宋_GB2312" w:hAnsi="仿宋_GB2312" w:eastAsia="仿宋_GB2312" w:cs="仿宋_GB2312"/>
          <w:b w:val="0"/>
          <w:bCs w:val="0"/>
          <w:spacing w:val="-4"/>
          <w:sz w:val="32"/>
          <w:szCs w:val="32"/>
        </w:rPr>
        <w:t>，指标完成率为100%，达到质量提升及标准。</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“案件办结率（%）”指标：预期指标值为1</w:t>
      </w:r>
      <w:r>
        <w:rPr>
          <w:rStyle w:val="9"/>
          <w:rFonts w:ascii="仿宋_GB2312" w:hAnsi="仿宋_GB2312" w:eastAsia="仿宋_GB2312" w:cs="仿宋_GB2312"/>
          <w:b w:val="0"/>
          <w:bCs w:val="0"/>
          <w:spacing w:val="-4"/>
          <w:sz w:val="32"/>
          <w:szCs w:val="32"/>
        </w:rPr>
        <w:t>00%</w:t>
      </w:r>
      <w:r>
        <w:rPr>
          <w:rStyle w:val="9"/>
          <w:rFonts w:hint="eastAsia" w:ascii="仿宋_GB2312" w:hAnsi="仿宋_GB2312" w:eastAsia="仿宋_GB2312" w:cs="仿宋_GB2312"/>
          <w:b w:val="0"/>
          <w:bCs w:val="0"/>
          <w:spacing w:val="-4"/>
          <w:sz w:val="32"/>
          <w:szCs w:val="32"/>
        </w:rPr>
        <w:t>，实际完成指标值为1</w:t>
      </w:r>
      <w:r>
        <w:rPr>
          <w:rStyle w:val="9"/>
          <w:rFonts w:ascii="仿宋_GB2312" w:hAnsi="仿宋_GB2312" w:eastAsia="仿宋_GB2312" w:cs="仿宋_GB2312"/>
          <w:b w:val="0"/>
          <w:bCs w:val="0"/>
          <w:spacing w:val="-4"/>
          <w:sz w:val="32"/>
          <w:szCs w:val="32"/>
        </w:rPr>
        <w:t>00%</w:t>
      </w:r>
      <w:r>
        <w:rPr>
          <w:rStyle w:val="9"/>
          <w:rFonts w:hint="eastAsia" w:ascii="仿宋_GB2312" w:hAnsi="仿宋_GB2312" w:eastAsia="仿宋_GB2312" w:cs="仿宋_GB2312"/>
          <w:b w:val="0"/>
          <w:bCs w:val="0"/>
          <w:spacing w:val="-4"/>
          <w:sz w:val="32"/>
          <w:szCs w:val="32"/>
        </w:rPr>
        <w:t>，指标完成率为100%，达到质量提升及标准。</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“保障供暖温度（℃）”指标：预期指标值为≥18℃，实际完成指标值为1</w:t>
      </w:r>
      <w:r>
        <w:rPr>
          <w:rStyle w:val="9"/>
          <w:rFonts w:ascii="仿宋_GB2312" w:hAnsi="仿宋_GB2312" w:eastAsia="仿宋_GB2312" w:cs="仿宋_GB2312"/>
          <w:b w:val="0"/>
          <w:bCs w:val="0"/>
          <w:spacing w:val="-4"/>
          <w:sz w:val="32"/>
          <w:szCs w:val="32"/>
        </w:rPr>
        <w:t>8</w:t>
      </w:r>
      <w:r>
        <w:rPr>
          <w:rStyle w:val="9"/>
          <w:rFonts w:hint="eastAsia" w:ascii="仿宋_GB2312" w:hAnsi="仿宋_GB2312" w:eastAsia="仿宋_GB2312" w:cs="仿宋_GB2312"/>
          <w:b w:val="0"/>
          <w:bCs w:val="0"/>
          <w:spacing w:val="-4"/>
          <w:sz w:val="32"/>
          <w:szCs w:val="32"/>
        </w:rPr>
        <w:t>℃，指标完成率为</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%，达到质量提升及标准。</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“购置验收合格率（%)”指标：预期指标值为≥98%，实际完成指标值为9</w:t>
      </w:r>
      <w:r>
        <w:rPr>
          <w:rStyle w:val="9"/>
          <w:rFonts w:ascii="仿宋_GB2312" w:hAnsi="仿宋_GB2312" w:eastAsia="仿宋_GB2312" w:cs="仿宋_GB2312"/>
          <w:b w:val="0"/>
          <w:bCs w:val="0"/>
          <w:spacing w:val="-4"/>
          <w:sz w:val="32"/>
          <w:szCs w:val="32"/>
        </w:rPr>
        <w:t>8</w:t>
      </w:r>
      <w:r>
        <w:rPr>
          <w:rStyle w:val="9"/>
          <w:rFonts w:hint="eastAsia" w:ascii="仿宋_GB2312" w:hAnsi="仿宋_GB2312" w:eastAsia="仿宋_GB2312" w:cs="仿宋_GB2312"/>
          <w:b w:val="0"/>
          <w:bCs w:val="0"/>
          <w:spacing w:val="-4"/>
          <w:sz w:val="32"/>
          <w:szCs w:val="32"/>
        </w:rPr>
        <w:t>%，指标完成率为</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%，达到质量提升及标准。</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“购买食材质量合格率（%）”指标：预期指标值为≥98%，实际完成指标值为9</w:t>
      </w:r>
      <w:r>
        <w:rPr>
          <w:rStyle w:val="9"/>
          <w:rFonts w:ascii="仿宋_GB2312" w:hAnsi="仿宋_GB2312" w:eastAsia="仿宋_GB2312" w:cs="仿宋_GB2312"/>
          <w:b w:val="0"/>
          <w:bCs w:val="0"/>
          <w:spacing w:val="-4"/>
          <w:sz w:val="32"/>
          <w:szCs w:val="32"/>
        </w:rPr>
        <w:t>8</w:t>
      </w:r>
      <w:r>
        <w:rPr>
          <w:rStyle w:val="9"/>
          <w:rFonts w:hint="eastAsia" w:ascii="仿宋_GB2312" w:hAnsi="仿宋_GB2312" w:eastAsia="仿宋_GB2312" w:cs="仿宋_GB2312"/>
          <w:b w:val="0"/>
          <w:bCs w:val="0"/>
          <w:spacing w:val="-4"/>
          <w:sz w:val="32"/>
          <w:szCs w:val="32"/>
        </w:rPr>
        <w:t>%，指标完成率为</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%，达到质量提升及标准。</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质量指标共计5个，完成5个，达到质量提升及标准。质量指标完成。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3.产出进度</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“案件办理时限（月）”指标：预期指标值为3，实际完成指标值为3，指标完成率为100%，达到预期目标。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“供暖期限（月）”指标：预期指标值为5，实际完成指标值为5，指标完成率为100%，达到预期目标。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“完成政府采购时限（月）”指标：预期指标值为12，实际完成指标值为12，指标完成率为100%，达到预期目标。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“资金拨付及时率（%）”指标：预期指标值为100%，实际完成指标值为100%，指标完成率为100%，达到预期目标。</w:t>
      </w:r>
    </w:p>
    <w:p>
      <w:pPr>
        <w:pStyle w:val="12"/>
        <w:snapToGrid w:val="0"/>
        <w:spacing w:line="540" w:lineRule="exact"/>
        <w:ind w:firstLine="624"/>
        <w:rPr>
          <w:rStyle w:val="9"/>
          <w:rFonts w:ascii="仿宋_GB2312" w:hAnsi="仿宋_GB2312" w:eastAsia="仿宋_GB2312" w:cs="仿宋_GB2312"/>
          <w:b w:val="0"/>
          <w:bCs w:val="0"/>
          <w:color w:val="FF0000"/>
          <w:spacing w:val="-4"/>
          <w:sz w:val="32"/>
          <w:szCs w:val="32"/>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时效指标共计4个，完成4个，达达到预期目标，数量指标完成。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4.产出成本</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“人员经费（万元）”指标：预期指标值为4349.2485，实际完成指标值为4349.2485，指标完成率为100%，达到成本控制及改善目标。</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“公用经费（万元）”指标：预期指标值为58.14，实际完成指标值为56.07，指标完成率为94%，达到成本控制及改善目标。</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“项目支出（万元）”指标：预期指标值为48，实际完成指标值为0，指标完成率为0%，项目未支出资金。</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1.项目实施的经济效益分析</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“挽回经济损失（万元）”指标：预期指标值为12，实际完成指标值为3，指标完成率为25%。达不到预期值目标值，原因：高估目标值，改进措施：今后合理估算指标值</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2.项目实施的社会效益分析</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“提高职工办事效率”指标：预期指标值为有效提高，实际完成指标值为部分达成年度指标并具有一定效果，指标完成率为80%，达到单位履职能力对社会带来的影响预期目标。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“业务保障能力提升情况”指标：预期指标值为有效提升，实际完成指标值为部分达成年度指标并具有一定效果，指标完成率为80%，达到单位履职能力对社会带来的影响预期目标。</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社会效益指标共计2个，完成2个，达到单位履职能力对社会带来的影响预期目标，社会效益指标完成。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3.项目实施的生态效益分析</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4.项目实施的可持续影响分析</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“减少违法违纪行为”指标：预期指标值为有效减少，实际完成指标值为部分达成年度指标并具有一定效果，指标完成率为80%，实现部门绩效长效机制建设，减少了违法违纪行为。</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（三）满意度指标完成情况分析</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按计划完成项目实施，已做满意度调查抽样问卷，具体如下：</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单位人员满意度指标，预期指标是大于等于95%，实际完成值是95%，指标完成率是100%，达到部门（单位）服务对象对部门履职效果的满意度。</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2"/>
        <w:numPr>
          <w:ilvl w:val="0"/>
          <w:numId w:val="3"/>
        </w:numPr>
        <w:snapToGrid w:val="0"/>
        <w:spacing w:line="540" w:lineRule="exact"/>
        <w:ind w:firstLineChars="0"/>
        <w:outlineLvl w:val="0"/>
        <w:rPr>
          <w:rStyle w:val="9"/>
          <w:rFonts w:ascii="仿宋_GB2312" w:hAnsi="仿宋_GB2312" w:eastAsia="仿宋_GB2312" w:cs="仿宋_GB2312"/>
          <w:spacing w:val="-4"/>
          <w:sz w:val="32"/>
          <w:szCs w:val="32"/>
        </w:rPr>
      </w:pPr>
      <w:bookmarkStart w:id="6" w:name="_Toc22800_WPSOffice_Level1"/>
      <w:r>
        <w:rPr>
          <w:rStyle w:val="9"/>
          <w:rFonts w:hint="eastAsia" w:ascii="仿宋_GB2312" w:hAnsi="仿宋_GB2312" w:eastAsia="仿宋_GB2312" w:cs="仿宋_GB2312"/>
          <w:spacing w:val="-4"/>
          <w:sz w:val="32"/>
          <w:szCs w:val="32"/>
        </w:rPr>
        <w:t>存在的主要问题</w:t>
      </w:r>
      <w:bookmarkEnd w:id="6"/>
    </w:p>
    <w:p>
      <w:pPr>
        <w:ind w:firstLine="56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我单位一直在努力做好财政预算收入、支出以及各项项目的管理工作，对预算的资金进行全方位的监督和管理，但依然存在些问题:</w:t>
      </w:r>
    </w:p>
    <w:p>
      <w:pPr>
        <w:ind w:firstLine="624" w:firstLineChars="200"/>
        <w:jc w:val="left"/>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部分项目虽然实施完成但未向镇财政所报账，资金未支付，目前欠账状态，资金执行率较低，结果导致项目绩效完成率较低，主要原因在于项目负责科室不够重视资金拨付相关事宜，比如：阿克陶镇干部伙食补助，资金拨付速度较慢，截止年底没有完成任何产生的费用。</w:t>
      </w:r>
    </w:p>
    <w:p>
      <w:pPr>
        <w:ind w:firstLine="624" w:firstLineChars="200"/>
        <w:jc w:val="left"/>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ind w:firstLine="624" w:firstLineChars="200"/>
        <w:jc w:val="left"/>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3"/>
        </w:numPr>
        <w:snapToGrid w:val="0"/>
        <w:spacing w:line="540" w:lineRule="exact"/>
        <w:ind w:firstLineChars="0"/>
        <w:outlineLvl w:val="0"/>
        <w:rPr>
          <w:rStyle w:val="9"/>
          <w:rFonts w:ascii="仿宋_GB2312" w:hAnsi="仿宋_GB2312" w:eastAsia="仿宋_GB2312" w:cs="仿宋_GB2312"/>
          <w:spacing w:val="-4"/>
          <w:sz w:val="32"/>
          <w:szCs w:val="32"/>
        </w:rPr>
      </w:pPr>
      <w:bookmarkStart w:id="7" w:name="_Toc29546_WPSOffice_Level1"/>
      <w:r>
        <w:rPr>
          <w:rStyle w:val="9"/>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（一）改进措施</w:t>
      </w:r>
    </w:p>
    <w:p>
      <w:pPr>
        <w:numPr>
          <w:ilvl w:val="0"/>
          <w:numId w:val="4"/>
        </w:numPr>
        <w:ind w:firstLine="624" w:firstLineChars="200"/>
        <w:jc w:val="left"/>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在绩效工作进一步得到单位主要领导的重视，逐年完善预算安排工作，合理预算项目、经费、工资等资金；</w:t>
      </w:r>
    </w:p>
    <w:p>
      <w:pPr>
        <w:numPr>
          <w:ilvl w:val="0"/>
          <w:numId w:val="4"/>
        </w:numPr>
        <w:ind w:firstLine="624" w:firstLineChars="200"/>
        <w:jc w:val="left"/>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对于欠账逐年增多的问题：目前财政资金紧急，在工作和生活方面尽量节约，比如：办公室内尽量节约用办公耗材，打印材料时选择双面打印，使用固定式笔，免得丢失或者无意识办公用笔带回家，节约用电，白天关灯，电脑等用电设备不使用时及时关机；从而节约一部分费用的产生，欠账一年比一年增多现象一定程度上可以缓解，减少地方财政压力；</w:t>
      </w:r>
    </w:p>
    <w:p>
      <w:pPr>
        <w:numPr>
          <w:ilvl w:val="0"/>
          <w:numId w:val="4"/>
        </w:numPr>
        <w:ind w:firstLine="624" w:firstLineChars="200"/>
        <w:jc w:val="left"/>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对于重要必要支出支付率低的问题：保证今后的工作中项目实施和资金拨付同时进行，节约的同时完成定期拨付相关资金从而提高资金使用率和效益，避免产生欠账，提高干部和广大群众的获得感、幸福感。</w:t>
      </w:r>
    </w:p>
    <w:p>
      <w:pPr>
        <w:numPr>
          <w:ilvl w:val="0"/>
          <w:numId w:val="4"/>
        </w:numPr>
        <w:ind w:firstLine="624" w:firstLineChars="200"/>
        <w:jc w:val="left"/>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大绩效工作宣传力度，强化绩效理念。完善绩效指标，提高整体绩效目标质量。提升预算精细化管理水平。继续完善预算绩效管理相关工作制度，建立全过程预算绩效管理链条，有效贯彻落实全面实施绩效管理的精神。</w:t>
      </w:r>
    </w:p>
    <w:p>
      <w:pPr>
        <w:pStyle w:val="12"/>
        <w:snapToGrid w:val="0"/>
        <w:spacing w:line="540" w:lineRule="exact"/>
        <w:ind w:firstLine="624"/>
        <w:outlineLvl w:val="1"/>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w:t>
      </w:r>
      <w:r>
        <w:rPr>
          <w:rStyle w:val="9"/>
          <w:rFonts w:hint="eastAsia" w:ascii="仿宋_GB2312" w:hAnsi="仿宋_GB2312" w:eastAsia="仿宋_GB2312" w:cs="仿宋_GB2312"/>
          <w:spacing w:val="-4"/>
          <w:sz w:val="32"/>
          <w:szCs w:val="32"/>
        </w:rPr>
        <w:t>二）建议</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4241768F"/>
    <w:multiLevelType w:val="singleLevel"/>
    <w:tmpl w:val="4241768F"/>
    <w:lvl w:ilvl="0" w:tentative="0">
      <w:start w:val="1"/>
      <w:numFmt w:val="decimal"/>
      <w:suff w:val="nothing"/>
      <w:lvlText w:val="%1．"/>
      <w:lvlJc w:val="left"/>
      <w:pPr>
        <w:ind w:left="0" w:firstLine="400"/>
      </w:pPr>
      <w:rPr>
        <w:rFonts w:hint="default"/>
      </w:r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3">
    <w:nsid w:val="6CFAEE21"/>
    <w:multiLevelType w:val="singleLevel"/>
    <w:tmpl w:val="6CFAEE21"/>
    <w:lvl w:ilvl="0" w:tentative="0">
      <w:start w:val="1"/>
      <w:numFmt w:val="decimal"/>
      <w:suff w:val="nothing"/>
      <w:lvlText w:val="%1．"/>
      <w:lvlJc w:val="left"/>
      <w:pPr>
        <w:ind w:left="0" w:firstLine="4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45A45"/>
    <w:rsid w:val="00191BA3"/>
    <w:rsid w:val="001C1E1D"/>
    <w:rsid w:val="001E750D"/>
    <w:rsid w:val="0022744B"/>
    <w:rsid w:val="00234372"/>
    <w:rsid w:val="00292A50"/>
    <w:rsid w:val="002939FF"/>
    <w:rsid w:val="002E34CA"/>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331C2"/>
    <w:rsid w:val="0089387B"/>
    <w:rsid w:val="00897190"/>
    <w:rsid w:val="008E7E52"/>
    <w:rsid w:val="009304D8"/>
    <w:rsid w:val="0093778D"/>
    <w:rsid w:val="0097614B"/>
    <w:rsid w:val="0099431C"/>
    <w:rsid w:val="009F5A38"/>
    <w:rsid w:val="00AA5126"/>
    <w:rsid w:val="00AD16CD"/>
    <w:rsid w:val="00AE63D0"/>
    <w:rsid w:val="00B5590F"/>
    <w:rsid w:val="00B86B60"/>
    <w:rsid w:val="00BA13C5"/>
    <w:rsid w:val="00BB4CFC"/>
    <w:rsid w:val="00BD7AB3"/>
    <w:rsid w:val="00BF62C2"/>
    <w:rsid w:val="00C77007"/>
    <w:rsid w:val="00CD2F35"/>
    <w:rsid w:val="00CD5A03"/>
    <w:rsid w:val="00D82401"/>
    <w:rsid w:val="00D9126A"/>
    <w:rsid w:val="00D93262"/>
    <w:rsid w:val="00DB1085"/>
    <w:rsid w:val="00E70FE1"/>
    <w:rsid w:val="00EB1FFE"/>
    <w:rsid w:val="00F326C7"/>
    <w:rsid w:val="00F84215"/>
    <w:rsid w:val="00FD04F9"/>
    <w:rsid w:val="00FF2ACD"/>
    <w:rsid w:val="012008EE"/>
    <w:rsid w:val="01CC583F"/>
    <w:rsid w:val="04FF0482"/>
    <w:rsid w:val="05062887"/>
    <w:rsid w:val="05F70F85"/>
    <w:rsid w:val="084208C4"/>
    <w:rsid w:val="098A3C0A"/>
    <w:rsid w:val="0A9A7091"/>
    <w:rsid w:val="10FE60D7"/>
    <w:rsid w:val="118A67D0"/>
    <w:rsid w:val="175D58E3"/>
    <w:rsid w:val="18061B60"/>
    <w:rsid w:val="190C3DF8"/>
    <w:rsid w:val="19F83E30"/>
    <w:rsid w:val="1B403139"/>
    <w:rsid w:val="1C6D319F"/>
    <w:rsid w:val="1D472FA1"/>
    <w:rsid w:val="1D4D74D6"/>
    <w:rsid w:val="1DE32CFD"/>
    <w:rsid w:val="1F1A602A"/>
    <w:rsid w:val="1F2854B6"/>
    <w:rsid w:val="21C768CD"/>
    <w:rsid w:val="22E14253"/>
    <w:rsid w:val="23F209A3"/>
    <w:rsid w:val="2403516E"/>
    <w:rsid w:val="256A2A9E"/>
    <w:rsid w:val="2805537E"/>
    <w:rsid w:val="289437EE"/>
    <w:rsid w:val="2A031F80"/>
    <w:rsid w:val="2EBF757D"/>
    <w:rsid w:val="31B83F5F"/>
    <w:rsid w:val="328E2AB6"/>
    <w:rsid w:val="329B12EA"/>
    <w:rsid w:val="33A83F87"/>
    <w:rsid w:val="355C2B3F"/>
    <w:rsid w:val="35F12468"/>
    <w:rsid w:val="36851B5C"/>
    <w:rsid w:val="37D360CA"/>
    <w:rsid w:val="38CB5066"/>
    <w:rsid w:val="3A9F2C2D"/>
    <w:rsid w:val="3F301058"/>
    <w:rsid w:val="3FAA3DF5"/>
    <w:rsid w:val="417A34F9"/>
    <w:rsid w:val="418810F4"/>
    <w:rsid w:val="41A37673"/>
    <w:rsid w:val="41EC6A04"/>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5D93E37"/>
    <w:rsid w:val="761E4132"/>
    <w:rsid w:val="78061A79"/>
    <w:rsid w:val="7BC003CA"/>
    <w:rsid w:val="7C72308D"/>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100" w:beforeAutospacing="1" w:after="100" w:afterAutospacing="1"/>
      <w:jc w:val="left"/>
    </w:pPr>
    <w:rPr>
      <w:sz w:val="24"/>
    </w:rPr>
  </w:style>
  <w:style w:type="character" w:styleId="9">
    <w:name w:val="Strong"/>
    <w:basedOn w:val="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8"/>
    <w:link w:val="5"/>
    <w:qFormat/>
    <w:uiPriority w:val="99"/>
    <w:rPr>
      <w:sz w:val="18"/>
      <w:szCs w:val="18"/>
    </w:rPr>
  </w:style>
  <w:style w:type="character" w:customStyle="1" w:styleId="14">
    <w:name w:val="页眉 字符"/>
    <w:basedOn w:val="8"/>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1366</Words>
  <Characters>7787</Characters>
  <Lines>64</Lines>
  <Paragraphs>18</Paragraphs>
  <TotalTime>61</TotalTime>
  <ScaleCrop>false</ScaleCrop>
  <LinksUpToDate>false</LinksUpToDate>
  <CharactersWithSpaces>9135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2025-01-21T08:54:51Z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