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lang w:val="en-US" w:eastAsia="zh-Hans"/>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Hans"/>
        </w:rPr>
        <w:t>阿克陶县</w:t>
      </w:r>
      <w:r>
        <w:rPr>
          <w:rFonts w:hint="eastAsia" w:ascii="方正小标宋简体" w:hAnsi="方正小标宋简体" w:eastAsia="方正小标宋简体" w:cs="方正小标宋简体"/>
          <w:b/>
          <w:kern w:val="0"/>
          <w:sz w:val="44"/>
          <w:szCs w:val="44"/>
          <w:highlight w:val="none"/>
          <w:lang w:val="en-US" w:eastAsia="zh-CN"/>
        </w:rPr>
        <w:t>塔尔乡</w:t>
      </w:r>
      <w:r>
        <w:rPr>
          <w:rFonts w:hint="eastAsia" w:ascii="方正小标宋简体" w:hAnsi="方正小标宋简体" w:eastAsia="方正小标宋简体" w:cs="方正小标宋简体"/>
          <w:b/>
          <w:kern w:val="0"/>
          <w:sz w:val="44"/>
          <w:szCs w:val="44"/>
          <w:highlight w:val="none"/>
          <w:lang w:val="en-US" w:eastAsia="zh-Hans"/>
        </w:rPr>
        <w:t>卫生院</w:t>
      </w:r>
      <w:r>
        <w:rPr>
          <w:rFonts w:hint="eastAsia" w:ascii="方正小标宋简体" w:hAnsi="方正小标宋简体" w:eastAsia="方正小标宋简体" w:cs="方正小标宋简体"/>
          <w:b/>
          <w:kern w:val="0"/>
          <w:sz w:val="44"/>
          <w:szCs w:val="44"/>
          <w:highlight w:val="none"/>
        </w:rPr>
        <w:t>部门单位整体支出绩效自评报告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部门单位名称（公章）：阿克陶县</w:t>
      </w:r>
      <w:r>
        <w:rPr>
          <w:rFonts w:hint="eastAsia" w:ascii="仿宋_GB2312" w:hAnsi="仿宋_GB2312" w:eastAsia="仿宋_GB2312" w:cs="仿宋_GB2312"/>
          <w:kern w:val="0"/>
          <w:sz w:val="32"/>
          <w:szCs w:val="32"/>
          <w:highlight w:val="none"/>
          <w:lang w:eastAsia="zh-CN"/>
        </w:rPr>
        <w:t>塔尔乡</w:t>
      </w:r>
      <w:r>
        <w:rPr>
          <w:rFonts w:hint="eastAsia" w:ascii="仿宋_GB2312" w:hAnsi="仿宋_GB2312" w:eastAsia="仿宋_GB2312" w:cs="仿宋_GB2312"/>
          <w:kern w:val="0"/>
          <w:sz w:val="32"/>
          <w:szCs w:val="32"/>
          <w:highlight w:val="none"/>
        </w:rPr>
        <w:t>卫生院</w:t>
      </w:r>
    </w:p>
    <w:p>
      <w:pPr>
        <w:spacing w:line="700" w:lineRule="exact"/>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填报时间： </w:t>
      </w:r>
      <w:r>
        <w:rPr>
          <w:rFonts w:hint="eastAsia" w:ascii="仿宋_GB2312" w:hAnsi="仿宋_GB2312" w:eastAsia="仿宋_GB2312" w:cs="仿宋_GB2312"/>
          <w:kern w:val="0"/>
          <w:sz w:val="32"/>
          <w:szCs w:val="32"/>
          <w:highlight w:val="none"/>
          <w:lang w:val="en-US" w:eastAsia="zh-CN"/>
        </w:rPr>
        <w:t xml:space="preserve"> 2022 </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10  </w:t>
      </w:r>
      <w:r>
        <w:rPr>
          <w:rFonts w:hint="eastAsia" w:ascii="仿宋_GB2312" w:hAnsi="仿宋_GB2312" w:eastAsia="仿宋_GB2312" w:cs="仿宋_GB2312"/>
          <w:kern w:val="0"/>
          <w:sz w:val="32"/>
          <w:szCs w:val="32"/>
          <w:highlight w:val="none"/>
        </w:rPr>
        <w:t>日</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开展所在地区内基本医疗卫生服务工作，培训卫生技术人员。是农村三级医疗网点的重要环节，担负着医疗防疫，保健的重要任务，是直接解决农村看病难看病贵的重要一关。提供公共卫生服务：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1.承担本乡农村居民健康档案规范建档、管理及服务。</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2.普及卫生保健常识，在重点人群和重点场所开展健康教育，帮助居民形成有利于维护和增进健康的行为方式；指导开展爱国卫生工作。</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3.提供并组织实施本乡预防接种服务，落实国家免疫规划。</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4.及时发现、登记并报告本乡内发现的传染病病例和疑似病例，参与现场疫情处理。</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5.开展新生儿访视及儿童保健系统管理，进行体格检查和生长发育监测及评价，开展健康指导。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6.开展孕产妇保健系统管理和产后访视，进行一般体格检查及孕期营养、心理等健康指导。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7.对本乡65岁及以上老年人进行登记管理，进行健康危险因素调查和一般体格检查，开展健康指导。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8.对高血压、糖尿病等慢性病高危人群进行指导，对确诊高血压、糖尿病等慢性病病例进行登记管理、定期随访和健康指导。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9.对本乡重性精神疾病患者进行登记管理、治疗随访和康复指导。 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10.负责本乡内突发公共卫生事件的报告并协助处理。</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11.做好卫生行政部门规定的其他公共卫生服务。在农村医疗卫生服务网络中发挥着重要的基础性作用。</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2.部门机构设置及人员构成</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阿克陶县</w:t>
      </w:r>
      <w:r>
        <w:rPr>
          <w:rFonts w:hint="eastAsia" w:ascii="仿宋_GB2312" w:hAnsi="仿宋_GB2312" w:eastAsia="仿宋_GB2312" w:cs="仿宋_GB2312"/>
          <w:color w:val="000000" w:themeColor="text1"/>
          <w:sz w:val="32"/>
          <w:szCs w:val="32"/>
          <w:lang w:eastAsia="zh-CN"/>
          <w14:textFill>
            <w14:solidFill>
              <w14:schemeClr w14:val="tx1"/>
            </w14:solidFill>
          </w14:textFill>
        </w:rPr>
        <w:t>塔尔乡</w:t>
      </w:r>
      <w:r>
        <w:rPr>
          <w:rFonts w:hint="eastAsia" w:ascii="仿宋_GB2312" w:hAnsi="仿宋_GB2312" w:eastAsia="仿宋_GB2312" w:cs="仿宋_GB2312"/>
          <w:color w:val="000000" w:themeColor="text1"/>
          <w:sz w:val="32"/>
          <w:szCs w:val="32"/>
          <w14:textFill>
            <w14:solidFill>
              <w14:schemeClr w14:val="tx1"/>
            </w14:solidFill>
          </w14:textFill>
        </w:rPr>
        <w:t>卫生院编制数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14:textFill>
            <w14:solidFill>
              <w14:schemeClr w14:val="tx1"/>
            </w14:solidFill>
          </w14:textFill>
        </w:rPr>
        <w:t xml:space="preserve"> ，实有人数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14:textFill>
            <w14:solidFill>
              <w14:schemeClr w14:val="tx1"/>
            </w14:solidFill>
          </w14:textFill>
        </w:rPr>
        <w:t>人，事业编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14:textFill>
            <w14:solidFill>
              <w14:schemeClr w14:val="tx1"/>
            </w14:solidFill>
          </w14:textFill>
        </w:rPr>
        <w:t>人，其中：在职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14:textFill>
            <w14:solidFill>
              <w14:schemeClr w14:val="tx1"/>
            </w14:solidFill>
          </w14:textFill>
        </w:rPr>
        <w:t>人， 退休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3.年度重点工作</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年在卫健委的正确领导下，我院不断加强医疗卫生人员培养、全民健康体检、基本公共卫生服务、疫情防控及能力服务提升等各项目标任务。提高我县各族人民健康生活水平。</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（二）决策过程</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我单位决策机制根据行政事业单位内部控制体系建设相关要求，逐步完善《</w:t>
      </w:r>
      <w:r>
        <w:rPr>
          <w:rFonts w:hint="eastAsia" w:ascii="仿宋_GB2312" w:hAnsi="仿宋_GB2312" w:eastAsia="仿宋_GB2312" w:cs="仿宋_GB2312"/>
          <w:color w:val="000000" w:themeColor="text1"/>
          <w:sz w:val="32"/>
          <w:szCs w:val="32"/>
          <w:lang w:eastAsia="zh-CN"/>
          <w14:textFill>
            <w14:solidFill>
              <w14:schemeClr w14:val="tx1"/>
            </w14:solidFill>
          </w14:textFill>
        </w:rPr>
        <w:t>塔尔乡</w:t>
      </w:r>
      <w:r>
        <w:rPr>
          <w:rFonts w:hint="eastAsia" w:ascii="仿宋_GB2312" w:hAnsi="仿宋_GB2312" w:eastAsia="仿宋_GB2312" w:cs="仿宋_GB2312"/>
          <w:color w:val="000000" w:themeColor="text1"/>
          <w:sz w:val="32"/>
          <w:szCs w:val="32"/>
          <w14:textFill>
            <w14:solidFill>
              <w14:schemeClr w14:val="tx1"/>
            </w14:solidFill>
          </w14:textFill>
        </w:rPr>
        <w:t>卫生院财务制度》、《三重一大会议制度》我单位实施“三重一大”事项集体决策制度，坚持全面贯彻落实中央八项规定、县党政部门相关要求，以科学决策、民主决策为目的，以落实党的民主集中制为原则，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1.部门（单位）预算编制及分配依据</w:t>
      </w:r>
    </w:p>
    <w:p>
      <w:pPr>
        <w:widowControl/>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年版））》规定及本单位内控制度，组织人员制定并申报采购计划，按批复采购方式进行；属于非政府采购的项目，按照“三重一大”制度规定重大项目支出上院务会研究决定。</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本年度本单位预算安排的重点项目0个，预算安排的重点项目支出金额为0万元，部门项目总支出金额为0万元，则重点项目支出占项目总支出的比率为0%。</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与绩效目标的一致性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分配结果的合理性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重点支出保障率用以反映和考核部门（单位）对履行主要职责或完成重点任务的保障程度。</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我单位本年主要实施人员工资、基本公共卫生项目、基本药物补助等重点项目，履行了</w:t>
      </w:r>
      <w:r>
        <w:rPr>
          <w:rFonts w:hint="eastAsia" w:ascii="仿宋_GB2312" w:hAnsi="仿宋_GB2312" w:eastAsia="仿宋_GB2312" w:cs="仿宋_GB2312"/>
          <w:color w:val="000000" w:themeColor="text1"/>
          <w:sz w:val="32"/>
          <w:szCs w:val="32"/>
          <w14:textFill>
            <w14:solidFill>
              <w14:schemeClr w14:val="tx1"/>
            </w14:solidFill>
          </w14:textFill>
        </w:rPr>
        <w:t>基本医疗卫生服务工作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本乡农村居民健康档案规范建档、管理及服务</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提供并组织实施本乡预防接种服务，落实国家免疫规划。及时发现、登记并报告本乡内发现的传染病病例和疑似病例，参与现场疫情处理</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等基本公共卫生主要职责。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本年度预算安排的重点项目支出0万元，项目总支出0万元，重点支出保障率为0%。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我单位年初预算数为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362.45</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万元，实际预算执行数</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362.45</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全年预算数为520.77万元，全年实际支出资金508.33万元，预算执行率为97.61%。</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我单位年初批复预算数362.45万元，年中调整数158.32万元，调整后全年预算数520.77万元，预算调整率43.68%。</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bookmarkStart w:id="1" w:name="_Hlk49856735"/>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本次评价主要采取比较法和调查法。一是比较法。对项目支出情况及建设后的产出及效果与项目实施计划目标进行比较，分析预计目标的完成程度。</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公众评判法</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评价的对象及主要内容为:</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部门单位整体管理及使用情况，具体涉及预算管理、基本支出和专项支出的管理及使用情况；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部门单位专项组织实施情况，具体涉及专项组织情况分析和相关管理情况；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资产管理情况，具体涉及资产管理规范性和资产变动情况</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2" w:name="_Toc32535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为加强预算管理，规范财务行为，已制定《阿克陶县塔尔乡卫生院部门单位预算绩效管理工作实施办法》，《阿克陶县塔尔乡卫生院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按照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财政局预决算信息公开工作要求，我单位在</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阿克陶县人民</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政府信息网</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财政信息公开</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461.32</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万元，其中</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人员经费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367.03</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万元，公用经费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94.29</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448.88</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97.3</w:t>
      </w:r>
      <w:bookmarkStart w:id="8" w:name="_GoBack"/>
      <w:bookmarkEnd w:id="8"/>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2.三公经费控制情况</w:t>
      </w:r>
    </w:p>
    <w:p>
      <w:pPr>
        <w:pStyle w:val="11"/>
        <w:snapToGrid w:val="0"/>
        <w:spacing w:line="540" w:lineRule="exact"/>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我单位坚决贯彻落实中央、自治区、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阿克陶</w:t>
      </w:r>
      <w:r>
        <w:rPr>
          <w:rFonts w:hint="eastAsia" w:ascii="仿宋_GB2312" w:hAnsi="仿宋_GB2312" w:eastAsia="仿宋_GB2312" w:cs="仿宋_GB2312"/>
          <w:bCs/>
          <w:color w:val="000000" w:themeColor="text1"/>
          <w:sz w:val="32"/>
          <w:szCs w:val="32"/>
          <w:highlight w:val="none"/>
          <w:lang w:val="en-US" w:eastAsia="zh-Hans" w:bidi="ar"/>
          <w14:textFill>
            <w14:solidFill>
              <w14:schemeClr w14:val="tx1"/>
            </w14:solidFill>
          </w14:textFill>
        </w:rPr>
        <w:t>县</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厉行勤俭办公的工作要求，提倡本单位全体干部职工，勤俭节约，切实降低行政运行成本，确保每年“三公经费”只减不增。202</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年“三公经费”预算为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万元，“三公经费”控制率为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%，其中：因公出国（境）费预算为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万元；公务接待费预算为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万元；公务用车购置费预算为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万元，公务用车运行维护费控制率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本单位安排</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专项支出</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年初</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59.45万元</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59.45</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专项支出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100%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共有</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个资金项目，其中</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个属经常性项目、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个属当年度新增项目，已完成项目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个、未完成项目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3" w:name="_Toc1734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本年我单位供实施5个项目，金额59.45万元，其中：自治区2020年乡村医生补助资金4.95万元，提前下达2021年中央基本公共卫生服务补助资金41.52万元，药品款项11.21万元，药品款项1.37万元，救护车保险费0.4万元。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（一）阿克陶县塔尔乡卫生院项目专项组织情况分析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（二）阿克陶县塔尔乡卫生院项目专项组织情况分析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该项目预算资金0万元，实际到位0万元，实际支出0万元。到位足额及时，预算编制依据充分，预算编制准确，资金不存在截留、挪用，支付审批合规、不存在用途改变、范围超支和虚列项目支出等情况；本项目严格按照《阿克陶县塔尔乡卫生院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项目组织情况：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项目管理情况：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项目监管情况：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成本控制情况：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成本节约情况：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项目实施进度：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项目完成质量：</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预期目标完成程度：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项目实施对效益的影响：</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项目的实施有效提升了培训人员的爱国主义意识，持续保障了培训工作的顺利开展。</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4" w:name="_Toc278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一）资产管理规范性</w:t>
      </w:r>
    </w:p>
    <w:p>
      <w:pPr>
        <w:pStyle w:val="11"/>
        <w:snapToGrid w:val="0"/>
        <w:spacing w:line="540" w:lineRule="exact"/>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我单位202</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年资产合计数为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298.89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万元，比上年增加</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189.71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万元，主要原因是上级部门拨付有新冠肺炎疫苗补助，货币资金增加，其中：货币资金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12.16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上年增加</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0.45</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万元；财政应返还额度</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万元，比上年相比无变化；房屋</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1225</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平方米</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235.23</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万元，比上年相比无变化；车辆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22.88</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万元，与上年相比无变化；在建工程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万元，与上年持平；办公设备及家具</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万元，与上年相比无变化。我单位本年无资产处置情况，资产配置合理，使用规范，安全完整。</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资产管理情况。</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固定资产利用情况。</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我单位固定资产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万元,其中:</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套房屋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235.23</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22.88</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18</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个专用设备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1.69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个办公设备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0.61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万元。目前正在使用的固定资产总额</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万元，固定资产利用率为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w:t>
      </w:r>
    </w:p>
    <w:p>
      <w:pPr>
        <w:pStyle w:val="11"/>
        <w:snapToGrid w:val="0"/>
        <w:spacing w:line="540" w:lineRule="exact"/>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截止本年度固定资产账面净值441.65万元，年末实际在用固定资产441.65万元，固定资产利用率为100%。</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5" w:name="_Toc13582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部门单位整体支出</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自评表，</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共设置一级指标3个，二级指标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7</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个，三级指标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14</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保障人员人数指标，预期指标是大于等于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药占比（%）指标，预期指标是大于等于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38.48</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38.48</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每职工平均诊疗人数（人/次）指标，预期指标是大于等于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329</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329</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数量指标共计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工资足额发放率（%）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绩效考核合格率（%）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99</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达到质量提升及标准。</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3.产出进</w:t>
      </w:r>
      <w:r>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工资发放及时率（%）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时效指标共计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人员经费</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362.45</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362.45</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成本指标共计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业务保障能力提升情况</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提升公共卫生服务水平</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“接受治疗的患者满意度（%）”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指标，预期指标是有效提升，实际完成值是有效提升，指标完成率是98%，达到单位履职能力对社会带来的影响预期目标。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936" w:firstLineChars="3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达到单位履职能力对社会带来的影响预期目标</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提高职工工作积极性指标，预期指标是持续保障，实际完成值是有效提高，指标完成率是100%，实现部门绩效长效机制建设，提高工作效率目标。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促进卫生事业可持续发展指标，预期指标是持续保障，实际完成值是有效促进，指标完成率是100%，实现部门绩效长效机制建设，提高工作效率目标。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受益职工满意度(%)指标，预期指标是大于等于95%，实际完成值是100%，指标完成率是100%，达到部门（单位）服务对象对部门履职效果的满意度。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受益患者满意度(%)指标，预期指标是大于等于95%，实际完成值是100%，指标完成率是100%，达到部门（单位）服务对象对部门履职效果的满意度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达到部门（单位）服务对象对部门履职效果的满意度</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，服务对象满意度指标完成。</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6" w:name="_Toc22800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7" w:name="_Toc295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二）建议</w:t>
      </w:r>
    </w:p>
    <w:p>
      <w:pPr>
        <w:pStyle w:val="16"/>
        <w:snapToGrid w:val="0"/>
        <w:spacing w:line="540" w:lineRule="exact"/>
        <w:ind w:firstLine="624"/>
        <w:rPr>
          <w:rStyle w:val="10"/>
          <w:rFonts w:ascii="仿宋_GB2312" w:hAnsi="仿宋_GB2312" w:eastAsia="仿宋_GB2312" w:cs="仿宋_GB2312"/>
          <w:b w:val="0"/>
          <w:bCs w:val="0"/>
          <w:color w:val="auto"/>
          <w:spacing w:val="-4"/>
          <w:sz w:val="32"/>
          <w:szCs w:val="32"/>
        </w:rPr>
      </w:pPr>
      <w:r>
        <w:rPr>
          <w:rStyle w:val="10"/>
          <w:rFonts w:hint="eastAsia" w:ascii="仿宋_GB2312" w:hAnsi="仿宋_GB2312" w:eastAsia="仿宋_GB2312" w:cs="仿宋_GB2312"/>
          <w:b w:val="0"/>
          <w:bCs w:val="0"/>
          <w:color w:val="auto"/>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83438"/>
    <w:multiLevelType w:val="singleLevel"/>
    <w:tmpl w:val="1DF83438"/>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84208C4"/>
    <w:rsid w:val="098A3C0A"/>
    <w:rsid w:val="09915267"/>
    <w:rsid w:val="0A002B68"/>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1D195D"/>
    <w:rsid w:val="289437EE"/>
    <w:rsid w:val="2EBF757D"/>
    <w:rsid w:val="2FAF0F27"/>
    <w:rsid w:val="31B83F5F"/>
    <w:rsid w:val="328E2AB6"/>
    <w:rsid w:val="329B12EA"/>
    <w:rsid w:val="33A61EA2"/>
    <w:rsid w:val="33A83F87"/>
    <w:rsid w:val="35377D8A"/>
    <w:rsid w:val="35420560"/>
    <w:rsid w:val="355C2B3F"/>
    <w:rsid w:val="35F12468"/>
    <w:rsid w:val="36851B5C"/>
    <w:rsid w:val="37D360CA"/>
    <w:rsid w:val="38CB5066"/>
    <w:rsid w:val="3AAE414F"/>
    <w:rsid w:val="3F301058"/>
    <w:rsid w:val="40B45B95"/>
    <w:rsid w:val="417A34F9"/>
    <w:rsid w:val="418810F4"/>
    <w:rsid w:val="41A37673"/>
    <w:rsid w:val="42C30950"/>
    <w:rsid w:val="45A65C7F"/>
    <w:rsid w:val="468C2A4A"/>
    <w:rsid w:val="46AD2493"/>
    <w:rsid w:val="46EC7F14"/>
    <w:rsid w:val="48AF4C7F"/>
    <w:rsid w:val="4A81677A"/>
    <w:rsid w:val="4DA177B2"/>
    <w:rsid w:val="4DF36D4F"/>
    <w:rsid w:val="501B7C76"/>
    <w:rsid w:val="504D5CCF"/>
    <w:rsid w:val="509A5C1D"/>
    <w:rsid w:val="5329054B"/>
    <w:rsid w:val="533A7469"/>
    <w:rsid w:val="53526129"/>
    <w:rsid w:val="556332BC"/>
    <w:rsid w:val="565F61A9"/>
    <w:rsid w:val="57232FC4"/>
    <w:rsid w:val="572D2326"/>
    <w:rsid w:val="57365691"/>
    <w:rsid w:val="590D04C3"/>
    <w:rsid w:val="59EE1E48"/>
    <w:rsid w:val="5A490F5C"/>
    <w:rsid w:val="5BD21464"/>
    <w:rsid w:val="5BDE2B83"/>
    <w:rsid w:val="5E4C2F00"/>
    <w:rsid w:val="5F5278EF"/>
    <w:rsid w:val="61635F72"/>
    <w:rsid w:val="618606C5"/>
    <w:rsid w:val="61DD3E1F"/>
    <w:rsid w:val="63E114D3"/>
    <w:rsid w:val="6AD46D46"/>
    <w:rsid w:val="6DE07909"/>
    <w:rsid w:val="6E58438A"/>
    <w:rsid w:val="6E9D5508"/>
    <w:rsid w:val="71EB22B3"/>
    <w:rsid w:val="72010FA6"/>
    <w:rsid w:val="748A4F72"/>
    <w:rsid w:val="75664078"/>
    <w:rsid w:val="761E4132"/>
    <w:rsid w:val="78061A79"/>
    <w:rsid w:val="7B114343"/>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6">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16</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2022-03-29T10:39:10Z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DF0FBE79F4904A8BA863C679793CA0E5</vt:lpwstr>
  </property>
</Properties>
</file>