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lang w:val="en-US" w:eastAsia="zh-Hans"/>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Hans"/>
        </w:rPr>
        <w:t>阿克陶县动物卫生监督所</w:t>
      </w:r>
      <w:r>
        <w:rPr>
          <w:rFonts w:hint="eastAsia" w:ascii="方正小标宋简体" w:hAnsi="方正小标宋简体" w:eastAsia="方正小标宋简体" w:cs="方正小标宋简体"/>
          <w:b/>
          <w:kern w:val="0"/>
          <w:sz w:val="44"/>
          <w:szCs w:val="44"/>
          <w:highlight w:val="none"/>
        </w:rPr>
        <w:t>部门单位整体支出绩效自评报告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部门单位名称（公章）：阿克陶县动物卫生监督所</w:t>
      </w:r>
    </w:p>
    <w:p>
      <w:pPr>
        <w:spacing w:line="700" w:lineRule="exact"/>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 xml:space="preserve">填报时间： </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 xml:space="preserve"> 年</w:t>
      </w:r>
      <w:r>
        <w:rPr>
          <w:rFonts w:hint="eastAsia" w:ascii="仿宋_GB2312" w:hAnsi="仿宋_GB2312" w:eastAsia="仿宋_GB2312" w:cs="仿宋_GB2312"/>
          <w:kern w:val="0"/>
          <w:sz w:val="32"/>
          <w:szCs w:val="32"/>
          <w:highlight w:val="none"/>
          <w:lang w:val="en-US" w:eastAsia="zh-CN"/>
        </w:rPr>
        <w:t xml:space="preserve"> 3</w:t>
      </w:r>
      <w:r>
        <w:rPr>
          <w:rFonts w:hint="eastAsia" w:ascii="仿宋_GB2312" w:hAnsi="仿宋_GB2312" w:eastAsia="仿宋_GB2312" w:cs="仿宋_GB2312"/>
          <w:kern w:val="0"/>
          <w:sz w:val="32"/>
          <w:szCs w:val="32"/>
          <w:highlight w:val="none"/>
        </w:rPr>
        <w:t xml:space="preserve">月 </w:t>
      </w:r>
      <w:r>
        <w:rPr>
          <w:rFonts w:hint="eastAsia" w:ascii="仿宋_GB2312" w:hAnsi="仿宋_GB2312" w:eastAsia="仿宋_GB2312" w:cs="仿宋_GB2312"/>
          <w:kern w:val="0"/>
          <w:sz w:val="32"/>
          <w:szCs w:val="32"/>
          <w:highlight w:val="none"/>
          <w:lang w:val="en-US" w:eastAsia="zh-CN"/>
        </w:rPr>
        <w:t xml:space="preserve">10 </w:t>
      </w:r>
      <w:r>
        <w:rPr>
          <w:rFonts w:hint="eastAsia" w:ascii="仿宋_GB2312" w:hAnsi="仿宋_GB2312" w:eastAsia="仿宋_GB2312" w:cs="仿宋_GB2312"/>
          <w:kern w:val="0"/>
          <w:sz w:val="32"/>
          <w:szCs w:val="32"/>
          <w:highlight w:val="none"/>
        </w:rPr>
        <w:t>日</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4"/>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bidi="ar"/>
        </w:rPr>
        <w:t>基本概况</w:t>
      </w:r>
      <w:bookmarkEnd w:id="0"/>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333333"/>
          <w:sz w:val="32"/>
          <w:szCs w:val="32"/>
          <w:highlight w:val="none"/>
          <w:lang w:val="en-US" w:eastAsia="zh-CN" w:bidi="ar"/>
        </w:rPr>
      </w:pPr>
      <w:r>
        <w:rPr>
          <w:rStyle w:val="13"/>
          <w:rFonts w:hint="eastAsia" w:ascii="仿宋_GB2312" w:hAnsi="仿宋_GB2312" w:eastAsia="仿宋_GB2312" w:cs="仿宋_GB2312"/>
          <w:b/>
          <w:bCs w:val="0"/>
          <w:color w:val="333333"/>
          <w:sz w:val="32"/>
          <w:szCs w:val="32"/>
          <w:highlight w:val="none"/>
          <w:lang w:bidi="ar"/>
        </w:rPr>
        <w:t>（一）单位基本情况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333333"/>
          <w:sz w:val="32"/>
          <w:szCs w:val="32"/>
          <w:highlight w:val="none"/>
          <w:lang w:val="en-US" w:eastAsia="zh-CN" w:bidi="ar"/>
        </w:rPr>
      </w:pPr>
      <w:r>
        <w:rPr>
          <w:rStyle w:val="13"/>
          <w:rFonts w:hint="eastAsia" w:ascii="仿宋_GB2312" w:hAnsi="仿宋_GB2312" w:eastAsia="仿宋_GB2312" w:cs="仿宋_GB2312"/>
          <w:b/>
          <w:bCs w:val="0"/>
          <w:color w:val="333333"/>
          <w:sz w:val="32"/>
          <w:szCs w:val="32"/>
          <w:highlight w:val="none"/>
          <w:lang w:val="en-US" w:eastAsia="zh-CN" w:bidi="ar"/>
        </w:rPr>
        <w:t>1.部门主要职能</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1、贯彻执行国家和自治区、自治州关于发展畜牧业的方针政策和法律、法规。</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2、承担提升畜产品质量安全水平的责任。指导畜产品质量安全监测和畜产品检验检测体系建设工作。</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3、指导畜牧业生产、抗灾保畜、防灾基地建设和对口扶贫开发工作。</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4、指导畜牧业结构和布局调整，组织标准化生产和规模化饲养。指导全县畜牧业社会化服务体系规划和建设。</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5、负责拟订动物疫病防控规划并组织实施；负责动物疫情的监测预警、风险评估和重大动物疫情的初步认定并组织扑灭；组织兽医医政和兽药药政检查工作；对畜产品市场监督管理；负责官方兽医、执业兽医、兽医诊疗机构、兽药、兽医医疗器械的登记和审核、审批。</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6、指导畜牧业科学研究和新技术推广、组织协调畜牧业重大科技项目的联合攻关。</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7、负责畜牧业各类资金的财务管理，并对资金使用情况及经济效益进行检查监督和绩效评价。</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kern w:val="2"/>
          <w:sz w:val="32"/>
          <w:szCs w:val="32"/>
        </w:rPr>
        <w:t>8、承办阿克陶县人民政府交办的其他事项。</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2.部门机构设置及人员构成</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阿克陶县动物卫生监督所</w:t>
      </w:r>
      <w:r>
        <w:rPr>
          <w:rFonts w:hint="eastAsia" w:ascii="仿宋_GB2312" w:hAnsi="仿宋_GB2312" w:eastAsia="仿宋_GB2312" w:cs="仿宋_GB2312"/>
          <w:color w:val="000000" w:themeColor="text1"/>
          <w:sz w:val="32"/>
          <w:szCs w:val="32"/>
          <w14:textFill>
            <w14:solidFill>
              <w14:schemeClr w14:val="tx1"/>
            </w14:solidFill>
          </w14:textFill>
        </w:rPr>
        <w:t>编制数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3人</w:t>
      </w:r>
      <w:r>
        <w:rPr>
          <w:rFonts w:hint="eastAsia" w:ascii="仿宋_GB2312" w:hAnsi="仿宋_GB2312" w:eastAsia="仿宋_GB2312" w:cs="仿宋_GB2312"/>
          <w:color w:val="000000" w:themeColor="text1"/>
          <w:sz w:val="32"/>
          <w:szCs w:val="32"/>
          <w14:textFill>
            <w14:solidFill>
              <w14:schemeClr w14:val="tx1"/>
            </w14:solidFill>
          </w14:textFill>
        </w:rPr>
        <w:t>，实有人数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w:t>
      </w:r>
      <w:r>
        <w:rPr>
          <w:rFonts w:hint="eastAsia" w:ascii="仿宋_GB2312" w:hAnsi="仿宋_GB2312" w:eastAsia="仿宋_GB2312" w:cs="仿宋_GB2312"/>
          <w:color w:val="000000" w:themeColor="text1"/>
          <w:sz w:val="32"/>
          <w:szCs w:val="32"/>
          <w14:textFill>
            <w14:solidFill>
              <w14:schemeClr w14:val="tx1"/>
            </w14:solidFill>
          </w14:textFill>
        </w:rPr>
        <w:t>人，事业编</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人，其中：在职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w:t>
      </w:r>
      <w:r>
        <w:rPr>
          <w:rFonts w:hint="eastAsia" w:ascii="仿宋_GB2312" w:hAnsi="仿宋_GB2312" w:eastAsia="仿宋_GB2312" w:cs="仿宋_GB2312"/>
          <w:color w:val="000000" w:themeColor="text1"/>
          <w:sz w:val="32"/>
          <w:szCs w:val="32"/>
          <w14:textFill>
            <w14:solidFill>
              <w14:schemeClr w14:val="tx1"/>
            </w14:solidFill>
          </w14:textFill>
        </w:rPr>
        <w:t>人， 退休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人。</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3.年度重点工作</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2021</w:t>
      </w:r>
      <w:r>
        <w:rPr>
          <w:rFonts w:hint="eastAsia" w:ascii="仿宋_GB2312" w:hAnsi="仿宋_GB2312" w:eastAsia="仿宋_GB2312" w:cs="仿宋_GB2312"/>
          <w:color w:val="000000" w:themeColor="text1"/>
          <w:sz w:val="32"/>
          <w:szCs w:val="32"/>
          <w14:textFill>
            <w14:solidFill>
              <w14:schemeClr w14:val="tx1"/>
            </w14:solidFill>
          </w14:textFill>
        </w:rPr>
        <w:t>年在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县畜牧兽医局</w:t>
      </w:r>
      <w:r>
        <w:rPr>
          <w:rFonts w:hint="eastAsia" w:ascii="仿宋_GB2312" w:hAnsi="仿宋_GB2312" w:eastAsia="仿宋_GB2312" w:cs="仿宋_GB2312"/>
          <w:color w:val="000000" w:themeColor="text1"/>
          <w:sz w:val="32"/>
          <w:szCs w:val="32"/>
          <w14:textFill>
            <w14:solidFill>
              <w14:schemeClr w14:val="tx1"/>
            </w14:solidFill>
          </w14:textFill>
        </w:rPr>
        <w:t>的正确领导下，我院不断加强</w:t>
      </w:r>
      <w:r>
        <w:rPr>
          <w:rFonts w:hint="eastAsia" w:ascii="仿宋_GB2312" w:hAnsi="仿宋_GB2312" w:eastAsia="仿宋_GB2312" w:cs="仿宋_GB2312"/>
          <w:kern w:val="2"/>
          <w:sz w:val="32"/>
          <w:szCs w:val="32"/>
        </w:rPr>
        <w:t>负责动物疫情的监测预警、风险评估和重大动物疫情的初步认定并组织扑灭；组织兽医医政和兽药药政检查工作；对畜产品市场监督管理；负责官方兽医、执业兽医、兽医诊疗机构、兽药、兽医医疗器械的登记和审核、审批。</w:t>
      </w:r>
    </w:p>
    <w:p>
      <w:pPr>
        <w:ind w:firstLine="560"/>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（二）决策过程</w:t>
      </w:r>
    </w:p>
    <w:p>
      <w:pPr>
        <w:ind w:firstLine="560"/>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我单位决策机制根据行政事业单位内部控制体系建设相关要求，逐步完善《</w:t>
      </w:r>
      <w:r>
        <w:rPr>
          <w:rFonts w:hint="eastAsia" w:ascii="仿宋_GB2312" w:hAnsi="仿宋_GB2312" w:eastAsia="仿宋_GB2312" w:cs="仿宋_GB2312"/>
          <w:color w:val="000000" w:themeColor="text1"/>
          <w:sz w:val="32"/>
          <w:szCs w:val="32"/>
          <w:lang w:eastAsia="zh-CN"/>
          <w14:textFill>
            <w14:solidFill>
              <w14:schemeClr w14:val="tx1"/>
            </w14:solidFill>
          </w14:textFill>
        </w:rPr>
        <w:t>阿克陶县动物卫生监督所</w:t>
      </w:r>
      <w:r>
        <w:rPr>
          <w:rFonts w:hint="eastAsia" w:ascii="仿宋_GB2312" w:hAnsi="仿宋_GB2312" w:eastAsia="仿宋_GB2312" w:cs="仿宋_GB2312"/>
          <w:color w:val="000000" w:themeColor="text1"/>
          <w:sz w:val="32"/>
          <w:szCs w:val="32"/>
          <w14:textFill>
            <w14:solidFill>
              <w14:schemeClr w14:val="tx1"/>
            </w14:solidFill>
          </w14:textFill>
        </w:rPr>
        <w:t>财务制度》、《三重一大会议制度》我单位实施“三重一大”事项集体决策制度，坚持全面贯彻落实中央八项规定、县党政部门相关要求，以科学决策、民主决策为目的，以落实党的民主集中制为原则，提高认识，明确责任，完善机制，推动落实。我单位实施“三重一大”事项集体决策制度，由</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支部书记</w:t>
      </w:r>
      <w:r>
        <w:rPr>
          <w:rFonts w:hint="eastAsia" w:ascii="仿宋_GB2312" w:hAnsi="仿宋_GB2312" w:eastAsia="仿宋_GB2312" w:cs="仿宋_GB2312"/>
          <w:color w:val="000000" w:themeColor="text1"/>
          <w:sz w:val="32"/>
          <w:szCs w:val="32"/>
          <w14:textFill>
            <w14:solidFill>
              <w14:schemeClr w14:val="tx1"/>
            </w14:solidFill>
          </w14:textFill>
        </w:rPr>
        <w:t>负直接责任；分管工作人员有向主要领导建议执行“三重一大”集体决策制度的重要领导责任；</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所支部</w:t>
      </w:r>
      <w:r>
        <w:rPr>
          <w:rFonts w:hint="eastAsia" w:ascii="仿宋_GB2312" w:hAnsi="仿宋_GB2312" w:eastAsia="仿宋_GB2312" w:cs="仿宋_GB2312"/>
          <w:color w:val="000000" w:themeColor="text1"/>
          <w:sz w:val="32"/>
          <w:szCs w:val="32"/>
          <w14:textFill>
            <w14:solidFill>
              <w14:schemeClr w14:val="tx1"/>
            </w14:solidFill>
          </w14:textFill>
        </w:rPr>
        <w:t>会成员决定集体研究决策方案，并主持召开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支部</w:t>
      </w:r>
      <w:r>
        <w:rPr>
          <w:rFonts w:hint="eastAsia" w:ascii="仿宋_GB2312" w:hAnsi="仿宋_GB2312" w:eastAsia="仿宋_GB2312" w:cs="仿宋_GB2312"/>
          <w:color w:val="000000" w:themeColor="text1"/>
          <w:sz w:val="32"/>
          <w:szCs w:val="32"/>
          <w14:textFill>
            <w14:solidFill>
              <w14:schemeClr w14:val="tx1"/>
            </w14:solidFill>
          </w14:textFill>
        </w:rPr>
        <w:t>会，按要求把握好集体决策的程序。</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（三）项目资金分配</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1.部门（单位）预算编制及分配依据</w:t>
      </w:r>
    </w:p>
    <w:p>
      <w:pPr>
        <w:widowControl/>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预算批复的项目支出属于政府采购的，严格按照《中华人民共和国政府采购法》、自治区财政部门印发的《地方预算单位政府集中采购目录及标准指引（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2020</w:t>
      </w:r>
      <w:r>
        <w:rPr>
          <w:rFonts w:hint="eastAsia" w:ascii="仿宋_GB2312" w:hAnsi="仿宋_GB2312" w:eastAsia="仿宋_GB2312" w:cs="仿宋_GB2312"/>
          <w:color w:val="000000" w:themeColor="text1"/>
          <w:sz w:val="32"/>
          <w:szCs w:val="32"/>
          <w14:textFill>
            <w14:solidFill>
              <w14:schemeClr w14:val="tx1"/>
            </w14:solidFill>
          </w14:textFill>
        </w:rPr>
        <w:t>年版））》规定及本单位内控制度，组织人员制定并申报采购计划，按批复采购方式进行；属于非政府采购的项目，按照“三重一大”制度规定重大项目支出上院务会研究决定。</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本年度本单位预算安排的重点项目0个，预算安排的重点项目支出金额为0万元，部门项目总支出金额为0万元，则重点项目支出占项目总支出的比率为0%。</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2.分配结果</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与绩效目标的一致性</w:t>
      </w:r>
      <w:r>
        <w:rPr>
          <w:rStyle w:val="13"/>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r>
        <w:rPr>
          <w:rStyle w:val="13"/>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分配结果的合理性</w:t>
      </w:r>
      <w:r>
        <w:rPr>
          <w:rStyle w:val="13"/>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3.重点支出保障率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重点支出保障率用以反映和考核部门（单位）对履行主要职责或完成重点任务的保障程度。</w:t>
      </w:r>
    </w:p>
    <w:p>
      <w:pPr>
        <w:ind w:firstLine="560"/>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我单位本年主要实施人员工资，履行了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畜产品质量安全</w:t>
      </w:r>
      <w:r>
        <w:rPr>
          <w:rFonts w:hint="eastAsia" w:ascii="仿宋_GB2312" w:hAnsi="仿宋_GB2312" w:eastAsia="仿宋_GB2312" w:cs="仿宋_GB2312"/>
          <w:color w:val="000000" w:themeColor="text1"/>
          <w:sz w:val="32"/>
          <w:szCs w:val="32"/>
          <w14:textFill>
            <w14:solidFill>
              <w14:schemeClr w14:val="tx1"/>
            </w14:solidFill>
          </w14:textFill>
        </w:rPr>
        <w:t>服务工作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做好动物及动物产品实施检疫</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监督</w:t>
      </w:r>
      <w:r>
        <w:rPr>
          <w:rFonts w:hint="eastAsia" w:ascii="仿宋_GB2312" w:hAnsi="仿宋_GB2312" w:eastAsia="仿宋_GB2312" w:cs="仿宋_GB2312"/>
          <w:color w:val="000000" w:themeColor="text1"/>
          <w:sz w:val="32"/>
          <w:szCs w:val="32"/>
          <w14:textFill>
            <w14:solidFill>
              <w14:schemeClr w14:val="tx1"/>
            </w14:solidFill>
          </w14:textFill>
        </w:rPr>
        <w:t>落实国家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动物强制</w:t>
      </w:r>
      <w:r>
        <w:rPr>
          <w:rFonts w:hint="eastAsia" w:ascii="仿宋_GB2312" w:hAnsi="仿宋_GB2312" w:eastAsia="仿宋_GB2312" w:cs="仿宋_GB2312"/>
          <w:color w:val="000000" w:themeColor="text1"/>
          <w:sz w:val="32"/>
          <w:szCs w:val="32"/>
          <w14:textFill>
            <w14:solidFill>
              <w14:schemeClr w14:val="tx1"/>
            </w14:solidFill>
          </w14:textFill>
        </w:rPr>
        <w:t>免疫规划。及时发现、登记并报告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我县</w:t>
      </w:r>
      <w:r>
        <w:rPr>
          <w:rFonts w:hint="eastAsia" w:ascii="仿宋_GB2312" w:hAnsi="仿宋_GB2312" w:eastAsia="仿宋_GB2312" w:cs="仿宋_GB2312"/>
          <w:color w:val="000000" w:themeColor="text1"/>
          <w:sz w:val="32"/>
          <w:szCs w:val="32"/>
          <w14:textFill>
            <w14:solidFill>
              <w14:schemeClr w14:val="tx1"/>
            </w14:solidFill>
          </w14:textFill>
        </w:rPr>
        <w:t>内发现的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动物</w:t>
      </w:r>
      <w:r>
        <w:rPr>
          <w:rFonts w:hint="eastAsia" w:ascii="仿宋_GB2312" w:hAnsi="仿宋_GB2312" w:eastAsia="仿宋_GB2312" w:cs="仿宋_GB2312"/>
          <w:color w:val="000000" w:themeColor="text1"/>
          <w:sz w:val="32"/>
          <w:szCs w:val="32"/>
          <w14:textFill>
            <w14:solidFill>
              <w14:schemeClr w14:val="tx1"/>
            </w14:solidFill>
          </w14:textFill>
        </w:rPr>
        <w:t>传染病病例和疑似病例，参与现场疫情处理</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及无害化处理等主要职责。</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本年度预算安排的重点项目支出0万元，项目总支出0万元，重点支出保障率为0%。</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（四）部门单位整体支出规模</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1.预算执行情况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（1）年初预算执行情况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我单位年初预算数为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306.11</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万元，实际预算执行数</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276.02</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万元，预算执行率为90.17%。</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（2）全年预算执行情况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全年预算数为283.61万元，全年实际支出资金276.02万元，预算执行率为97.3%。</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2.预算调整情况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我单位年初批复预算数306.11万元，年中调整数-13.46万元，调整后全年预算数292.65万元，预算调整率-4.4%。</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 xml:space="preserve">3.政府采购执行情况 </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我单位本年度需政府采购的预算数为0万元。</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（五）评价使用方法和主要内容、涉及范围</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1.评价使用方法</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bookmarkStart w:id="1" w:name="_Hlk49856735"/>
      <w:r>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本次评价主要采取比较法和调查法。一是比较法。对项目支出情况及建设后的产出及效果与项目实施计划目标进行比较，分析预计目标的完成程度。</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二是</w:t>
      </w:r>
      <w:r>
        <w:rPr>
          <w:rStyle w:val="13"/>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公众评判法</w:t>
      </w:r>
      <w:r>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2.评价对象及主要内容</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评价的对象及主要内容为:</w:t>
      </w: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一是</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部门单位整体管理及使用情况，具体涉及预算管理、基本支出和专项支出的管理及使用情况；</w:t>
      </w: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二是</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部门单位整体支出绩效情况，具体涉及部门单位整体支出绩效目标的实现程度，包括是否达到预定产出、效果和效益效率等；</w:t>
      </w: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三是</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部门单位专项组织实施情况，具体涉及专项组织情况分析和相关管理情况；</w:t>
      </w: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四是</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资产管理情况，具体涉及资产管理规范性和资产变动情况</w:t>
      </w:r>
      <w:r>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3.涉及的范围</w:t>
      </w:r>
      <w:bookmarkEnd w:id="1"/>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评价范围是对本单位整体支出从年度总体绩效目标、产出指标、效益指标、满意度指标等方面进行了全方位、多角度综合评价分析。</w:t>
      </w:r>
    </w:p>
    <w:p>
      <w:pPr>
        <w:pStyle w:val="14"/>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2" w:name="_Toc32535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部门单位整体支出管理及使用情况</w:t>
      </w:r>
      <w:bookmarkEnd w:id="2"/>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（一）预算管理情况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1.管理制度健全性</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为加强预算管理，规范财务行为，已制定《阿克陶县动物卫生监督所部门单位预算绩效管理工作实施办法》，《阿克陶县动物卫生监督所财务管理制度》等健全完整的各项管理制度，有效保障了我单位高效的履行工作职能，较好的促进事业发展。</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2.资金使用合规性和安全性</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3.预决算信息公开性</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按照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财政局预决算信息公开工作要求，我单位在</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阿克陶县人民</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政府信息网</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财政信息公开</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（二）基本支出和使用情况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1.基本支出和使用情况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2021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基本支出</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预算总额</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360.11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万元，其中</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人员经费</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300.04</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万元，公用经费</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6.07</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万元。实际支出</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276.02</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基本支出</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76.65%</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2.三公经费控制情况</w:t>
      </w:r>
    </w:p>
    <w:p>
      <w:pPr>
        <w:pStyle w:val="14"/>
        <w:snapToGrid w:val="0"/>
        <w:spacing w:line="540" w:lineRule="exact"/>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我单位坚决贯彻落实中央、自治区、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阿克陶</w:t>
      </w:r>
      <w:r>
        <w:rPr>
          <w:rFonts w:hint="eastAsia" w:ascii="仿宋_GB2312" w:hAnsi="仿宋_GB2312" w:eastAsia="仿宋_GB2312" w:cs="仿宋_GB2312"/>
          <w:bCs/>
          <w:color w:val="000000" w:themeColor="text1"/>
          <w:sz w:val="32"/>
          <w:szCs w:val="32"/>
          <w:highlight w:val="none"/>
          <w:lang w:val="en-US" w:eastAsia="zh-Hans" w:bidi="ar"/>
          <w14:textFill>
            <w14:solidFill>
              <w14:schemeClr w14:val="tx1"/>
            </w14:solidFill>
          </w14:textFill>
        </w:rPr>
        <w:t>县</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厉行勤俭办公的工作要求，提倡本单位全体干部职工，勤俭节约，切实降低行政运行成本，确保每年“三公经费”只减不增。</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2021</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年“三公经费”预算为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万元，“三公经费”控制率为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%，其中：因公出国（境）费预算为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万元；公务接待费预算为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万元；公务用车购置费预算为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万元，公务用车运行维护费控制率</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%，符合财政部门本年预算要求和相关管理制度要求。</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（三）专项支出管理和使用情况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red"/>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red"/>
          <w:lang w:val="en-US" w:eastAsia="zh-CN" w:bidi="ar"/>
          <w14:textFill>
            <w14:solidFill>
              <w14:schemeClr w14:val="tx1"/>
            </w14:solidFill>
          </w14:textFill>
        </w:rPr>
        <w:t>2021</w:t>
      </w:r>
      <w:r>
        <w:rPr>
          <w:rStyle w:val="13"/>
          <w:rFonts w:hint="eastAsia" w:ascii="仿宋_GB2312" w:hAnsi="仿宋_GB2312" w:eastAsia="仿宋_GB2312" w:cs="仿宋_GB2312"/>
          <w:b w:val="0"/>
          <w:color w:val="000000" w:themeColor="text1"/>
          <w:sz w:val="32"/>
          <w:szCs w:val="32"/>
          <w:highlight w:val="red"/>
          <w:lang w:bidi="ar"/>
          <w14:textFill>
            <w14:solidFill>
              <w14:schemeClr w14:val="tx1"/>
            </w14:solidFill>
          </w14:textFill>
        </w:rPr>
        <w:t>年</w:t>
      </w:r>
      <w:r>
        <w:rPr>
          <w:rStyle w:val="13"/>
          <w:rFonts w:hint="eastAsia" w:ascii="仿宋_GB2312" w:hAnsi="仿宋_GB2312" w:eastAsia="仿宋_GB2312" w:cs="仿宋_GB2312"/>
          <w:b w:val="0"/>
          <w:color w:val="000000" w:themeColor="text1"/>
          <w:sz w:val="32"/>
          <w:szCs w:val="32"/>
          <w:highlight w:val="red"/>
          <w:lang w:val="en-US" w:eastAsia="zh-CN" w:bidi="ar"/>
          <w14:textFill>
            <w14:solidFill>
              <w14:schemeClr w14:val="tx1"/>
            </w14:solidFill>
          </w14:textFill>
        </w:rPr>
        <w:t>本单位安排</w:t>
      </w:r>
      <w:r>
        <w:rPr>
          <w:rStyle w:val="13"/>
          <w:rFonts w:hint="eastAsia" w:ascii="仿宋_GB2312" w:hAnsi="仿宋_GB2312" w:eastAsia="仿宋_GB2312" w:cs="仿宋_GB2312"/>
          <w:b w:val="0"/>
          <w:color w:val="000000" w:themeColor="text1"/>
          <w:sz w:val="32"/>
          <w:szCs w:val="32"/>
          <w:highlight w:val="red"/>
          <w:lang w:bidi="ar"/>
          <w14:textFill>
            <w14:solidFill>
              <w14:schemeClr w14:val="tx1"/>
            </w14:solidFill>
          </w14:textFill>
        </w:rPr>
        <w:t>专项支出</w:t>
      </w:r>
      <w:r>
        <w:rPr>
          <w:rStyle w:val="13"/>
          <w:rFonts w:hint="eastAsia" w:ascii="仿宋_GB2312" w:hAnsi="仿宋_GB2312" w:eastAsia="仿宋_GB2312" w:cs="仿宋_GB2312"/>
          <w:b w:val="0"/>
          <w:color w:val="000000" w:themeColor="text1"/>
          <w:sz w:val="32"/>
          <w:szCs w:val="32"/>
          <w:highlight w:val="red"/>
          <w:lang w:eastAsia="zh-CN" w:bidi="ar"/>
          <w14:textFill>
            <w14:solidFill>
              <w14:schemeClr w14:val="tx1"/>
            </w14:solidFill>
          </w14:textFill>
        </w:rPr>
        <w:t>年初</w:t>
      </w:r>
      <w:r>
        <w:rPr>
          <w:rStyle w:val="13"/>
          <w:rFonts w:hint="eastAsia" w:ascii="仿宋_GB2312" w:hAnsi="仿宋_GB2312" w:eastAsia="仿宋_GB2312" w:cs="仿宋_GB2312"/>
          <w:b w:val="0"/>
          <w:color w:val="000000" w:themeColor="text1"/>
          <w:sz w:val="32"/>
          <w:szCs w:val="32"/>
          <w:highlight w:val="red"/>
          <w:lang w:bidi="ar"/>
          <w14:textFill>
            <w14:solidFill>
              <w14:schemeClr w14:val="tx1"/>
            </w14:solidFill>
          </w14:textFill>
        </w:rPr>
        <w:t>预算总额</w:t>
      </w:r>
      <w:r>
        <w:rPr>
          <w:rStyle w:val="13"/>
          <w:rFonts w:hint="eastAsia" w:ascii="仿宋_GB2312" w:hAnsi="仿宋_GB2312" w:eastAsia="仿宋_GB2312" w:cs="仿宋_GB2312"/>
          <w:b w:val="0"/>
          <w:color w:val="000000" w:themeColor="text1"/>
          <w:sz w:val="32"/>
          <w:szCs w:val="32"/>
          <w:highlight w:val="red"/>
          <w:lang w:val="en-US" w:eastAsia="zh-CN" w:bidi="ar"/>
          <w14:textFill>
            <w14:solidFill>
              <w14:schemeClr w14:val="tx1"/>
            </w14:solidFill>
          </w14:textFill>
        </w:rPr>
        <w:t>0万元</w:t>
      </w:r>
      <w:r>
        <w:rPr>
          <w:rStyle w:val="13"/>
          <w:rFonts w:hint="eastAsia" w:ascii="仿宋_GB2312" w:hAnsi="仿宋_GB2312" w:eastAsia="仿宋_GB2312" w:cs="仿宋_GB2312"/>
          <w:b w:val="0"/>
          <w:color w:val="000000" w:themeColor="text1"/>
          <w:sz w:val="32"/>
          <w:szCs w:val="32"/>
          <w:highlight w:val="red"/>
          <w:lang w:bidi="ar"/>
          <w14:textFill>
            <w14:solidFill>
              <w14:schemeClr w14:val="tx1"/>
            </w14:solidFill>
          </w14:textFill>
        </w:rPr>
        <w:t>，实际支出</w:t>
      </w:r>
      <w:r>
        <w:rPr>
          <w:rStyle w:val="13"/>
          <w:rFonts w:hint="eastAsia" w:ascii="仿宋_GB2312" w:hAnsi="仿宋_GB2312" w:eastAsia="仿宋_GB2312" w:cs="仿宋_GB2312"/>
          <w:b w:val="0"/>
          <w:color w:val="000000" w:themeColor="text1"/>
          <w:sz w:val="32"/>
          <w:szCs w:val="32"/>
          <w:highlight w:val="red"/>
          <w:lang w:val="en-US" w:eastAsia="zh-CN" w:bidi="ar"/>
          <w14:textFill>
            <w14:solidFill>
              <w14:schemeClr w14:val="tx1"/>
            </w14:solidFill>
          </w14:textFill>
        </w:rPr>
        <w:t>9.05</w:t>
      </w:r>
      <w:r>
        <w:rPr>
          <w:rStyle w:val="13"/>
          <w:rFonts w:hint="eastAsia" w:ascii="仿宋_GB2312" w:hAnsi="仿宋_GB2312" w:eastAsia="仿宋_GB2312" w:cs="仿宋_GB2312"/>
          <w:b w:val="0"/>
          <w:color w:val="000000" w:themeColor="text1"/>
          <w:sz w:val="32"/>
          <w:szCs w:val="32"/>
          <w:highlight w:val="red"/>
          <w:lang w:bidi="ar"/>
          <w14:textFill>
            <w14:solidFill>
              <w14:schemeClr w14:val="tx1"/>
            </w14:solidFill>
          </w14:textFill>
        </w:rPr>
        <w:t>万元，</w:t>
      </w:r>
      <w:r>
        <w:rPr>
          <w:rStyle w:val="13"/>
          <w:rFonts w:hint="eastAsia" w:ascii="仿宋_GB2312" w:hAnsi="仿宋_GB2312" w:eastAsia="仿宋_GB2312" w:cs="仿宋_GB2312"/>
          <w:b w:val="0"/>
          <w:color w:val="000000" w:themeColor="text1"/>
          <w:sz w:val="32"/>
          <w:szCs w:val="32"/>
          <w:highlight w:val="red"/>
          <w:lang w:val="en-US" w:eastAsia="zh-CN" w:bidi="ar"/>
          <w14:textFill>
            <w14:solidFill>
              <w14:schemeClr w14:val="tx1"/>
            </w14:solidFill>
          </w14:textFill>
        </w:rPr>
        <w:t>专项支出</w:t>
      </w:r>
      <w:r>
        <w:rPr>
          <w:rStyle w:val="13"/>
          <w:rFonts w:hint="eastAsia" w:ascii="仿宋_GB2312" w:hAnsi="仿宋_GB2312" w:eastAsia="仿宋_GB2312" w:cs="仿宋_GB2312"/>
          <w:b w:val="0"/>
          <w:color w:val="000000" w:themeColor="text1"/>
          <w:sz w:val="32"/>
          <w:szCs w:val="32"/>
          <w:highlight w:val="red"/>
          <w:lang w:bidi="ar"/>
          <w14:textFill>
            <w14:solidFill>
              <w14:schemeClr w14:val="tx1"/>
            </w14:solidFill>
          </w14:textFill>
        </w:rPr>
        <w:t>预算执行率</w:t>
      </w:r>
      <w:r>
        <w:rPr>
          <w:rStyle w:val="13"/>
          <w:rFonts w:hint="eastAsia" w:ascii="仿宋_GB2312" w:hAnsi="仿宋_GB2312" w:eastAsia="仿宋_GB2312" w:cs="仿宋_GB2312"/>
          <w:b w:val="0"/>
          <w:color w:val="000000" w:themeColor="text1"/>
          <w:sz w:val="32"/>
          <w:szCs w:val="32"/>
          <w:highlight w:val="red"/>
          <w:lang w:val="en-US" w:eastAsia="zh-CN" w:bidi="ar"/>
          <w14:textFill>
            <w14:solidFill>
              <w14:schemeClr w14:val="tx1"/>
            </w14:solidFill>
          </w14:textFill>
        </w:rPr>
        <w:t>100%</w:t>
      </w:r>
      <w:r>
        <w:rPr>
          <w:rStyle w:val="13"/>
          <w:rFonts w:hint="eastAsia" w:ascii="仿宋_GB2312" w:hAnsi="仿宋_GB2312" w:eastAsia="仿宋_GB2312" w:cs="仿宋_GB2312"/>
          <w:b w:val="0"/>
          <w:color w:val="000000" w:themeColor="text1"/>
          <w:sz w:val="32"/>
          <w:szCs w:val="32"/>
          <w:highlight w:val="red"/>
          <w:lang w:bidi="ar"/>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2021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共有</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个资金项目，其中</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个属经常性项目、</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个属当年度新增项目，已完成项目</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个、未完成项目</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3" w:name="_Toc1734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三、部门单位专项组织实施情况</w:t>
      </w:r>
      <w:bookmarkEnd w:id="3"/>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default"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本年我单位供实施1个项目，金额9.05万元。病虫害控制项目资金项目9.05万元。</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（一）阿克陶县动物卫生监督所项目专项组织情况分析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廖德军</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买买提江·米尔扎</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（二）阿克陶县动物卫生监督所项目专项组织情况分析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廖德军</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买买提江·米尔扎</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（二）专项管理情况分析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1.项目资金情况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该项目预算资金0万元，实际到位9.04万元，实际支出9.04万元。到位足额及时，预算编制依据充分，预算编制准确，资金不存在截留、挪用，支付审批合规、不存在用途改变、范围超支和虚列项目支出等情况；本项目严格按照《阿克陶县动物卫生监督所财务管理制度》执行项目资金，实行专账核算、逐级审批。认真落实项目资金的使用各项管理制度，确保专款专用，及时拨付到位。</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2.项目实施情况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项目组织情况：</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项目管理情况：</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项目监管情况：</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3.项目绩效情况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成本控制情况：</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严格按照相关的专项资金管理办法，实行多重审批控制专项经费的支出。</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成本节约情况：</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项目根据实际情况做出合理预算，支出严格控制在预算范围内，本着节约成本，防止资源浪费的原则将项目成效最大化。</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4.项目效率性</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项目实施进度：</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项目完成质量：</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项目严格按照年度预期目标执行，项目完成质量达标。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5.项目效益性</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预期目标完成程度：</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按预定目标完成了年初所设定的各项指标。专项经费实际支出未超出预算规定，保障了专项工作的开展。</w:t>
      </w:r>
    </w:p>
    <w:p>
      <w:pPr>
        <w:pStyle w:val="14"/>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项目实施对效益的影响：</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项目的实施有效提升了培训人员的爱国主义意识，持续保障了培训工作的顺利开展。</w:t>
      </w:r>
    </w:p>
    <w:p>
      <w:pPr>
        <w:pStyle w:val="14"/>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4" w:name="_Toc27846_WPSOffice_Level1"/>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资产管理情况</w:t>
      </w:r>
      <w:bookmarkEnd w:id="4"/>
    </w:p>
    <w:p>
      <w:pPr>
        <w:pStyle w:val="14"/>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一）资产管理规范性</w:t>
      </w:r>
    </w:p>
    <w:p>
      <w:pPr>
        <w:pStyle w:val="14"/>
        <w:snapToGrid w:val="0"/>
        <w:spacing w:line="540" w:lineRule="exact"/>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2021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年资产合计数为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87.15</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万元，比上年减少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4.27</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万元，主要原因是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银行存款</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资金减少，其中：货币资金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6.04</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万元，比上年减少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4.27</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万元；财政应返还额度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万元，比上年相比无变化；房屋</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32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平方米</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3.29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万元，比上年相比无增减；车辆</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56.6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万元，与上年相比无增减；在建工程</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万元，与上年持平；办公设备及家具</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万元，与上年相比无变化。我单位本年无资产处置情况，资产配置合理，使用规范，安全完整。</w:t>
      </w:r>
    </w:p>
    <w:p>
      <w:pPr>
        <w:pStyle w:val="14"/>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资产管理情况。</w:t>
      </w:r>
    </w:p>
    <w:p>
      <w:pPr>
        <w:pStyle w:val="14"/>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严格按照财政部《关于加强行政事业单位固定资产管理的通知》（财资〔</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2020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4"/>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固定资产利用情况。</w:t>
      </w:r>
    </w:p>
    <w:p>
      <w:pPr>
        <w:pStyle w:val="14"/>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我单位固定资产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81.11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万元,其中:</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套</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车库3.29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56.6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个专用设备</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3.79</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办公家具</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4.36</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通用设备</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13.07</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目前正在使用的固定资产总额</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81.11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万元，固定资产利用率为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w:t>
      </w:r>
    </w:p>
    <w:p>
      <w:pPr>
        <w:pStyle w:val="14"/>
        <w:snapToGrid w:val="0"/>
        <w:spacing w:line="540" w:lineRule="exact"/>
        <w:rPr>
          <w:rStyle w:val="13"/>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3"/>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流动资产管理情况。</w:t>
      </w:r>
    </w:p>
    <w:p>
      <w:pPr>
        <w:pStyle w:val="14"/>
        <w:snapToGrid w:val="0"/>
        <w:spacing w:line="540" w:lineRule="exact"/>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4"/>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二）固定资产利用率</w:t>
      </w:r>
    </w:p>
    <w:p>
      <w:pPr>
        <w:pStyle w:val="14"/>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截止本年度固定资产账面净值2.63万元，年末实际在用固定资产2.63万元，固定资产利用率为100%。</w:t>
      </w:r>
    </w:p>
    <w:p>
      <w:pPr>
        <w:pStyle w:val="14"/>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5" w:name="_Toc13582_WPSOffice_Level1"/>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部门单位整体支出绩效情况</w:t>
      </w:r>
      <w:bookmarkEnd w:id="5"/>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部门单位整体支出</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自评表，</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共设置一级指标3个，二级指标</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7</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个，三级指标</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w:t>
      </w:r>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产出指标完成情况分析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1.产出</w:t>
      </w:r>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数量</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保障人员人数指标，预期指标是大于等于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17</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保障购买保险的车辆数指标，预期指标是等于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2辆</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2辆</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数量指标共计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个，达到预期目标，数量指标完成。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2.产出</w:t>
      </w:r>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质量</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资金使用合格率（%）</w:t>
      </w: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%，指标完成率是100%，达到质量提升及标准</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达到质量提升及标准。</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3.产出进</w:t>
      </w:r>
      <w:r>
        <w:rPr>
          <w:rStyle w:val="13"/>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t>度</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工资发放及时率（%）</w:t>
      </w: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指标，预期指标是等于100%，实际完成值是100%，指标完成率是100%，达到预期目标。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时效指标共计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个，达达到预期目标，数量指标完成。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4.产出成本</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人员经费</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指标，预期指标是小于等于</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300.04</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万元，实际完成值是</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273.22</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万元，指标完成率是</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91.06</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，达到</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偏差原因</w:t>
      </w:r>
      <w:bookmarkStart w:id="8" w:name="_GoBack"/>
      <w:bookmarkEnd w:id="8"/>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机构改革原因3个人调到别单位去了.</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公用经费</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指标，预期指标是小于等于</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6.04</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万元，实际完成值是</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2.8</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万元，指标完成率是</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46.36</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，达到</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因为县财政</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成本指标共计</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目标，成本指标完成。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（二）效益指标完成情况分析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1.项目实施的经济效益分析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提高劳动生产率、资源利用率和畜禽生产率</w:t>
      </w: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指标，预期指标是有效提高，实际完成值是有效提高，指标完成率是100%，达到单位履职能力对社会带来的影响预期目标。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2.项目实施的社会效益分析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业务保障能力提升情况</w:t>
      </w: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指标，预期指标是有效提升，实际完成值是有效提升，指标完成率是100%，达到单位履职能力对社会带来的影响预期目标。</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936" w:firstLineChars="300"/>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社会效益指标共计</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达到单位履职能力对社会带来的影响预期目标</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3.项目实施的生态效益分析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4"/>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left="0" w:leftChars="0" w:firstLine="940" w:firstLineChars="300"/>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项目实施的可持续影响分析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（三）满意度指标完成情况分析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按计划完成项目实施，已做满意度调查抽样问卷，具体如下：</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受益职工满意度(%)指标，预期指标是大于等于95%，实际完成值是100%，指标完成率是100%，达到部门（单位）服务对象对部门履职效果的满意度。</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满意度指标共计</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达到部门（单位）受益职工</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满意度指标完成。</w:t>
      </w:r>
    </w:p>
    <w:p>
      <w:pPr>
        <w:pStyle w:val="14"/>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6" w:name="_Toc22800_WPSOffice_Level1"/>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3"/>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3"/>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绩效指标的明确性、可衡量性、相关性还需进一步提升。预算精细化管理还需完善，预算编制管理水平仍有进一步提升的空间。</w:t>
      </w:r>
    </w:p>
    <w:p>
      <w:pPr>
        <w:pStyle w:val="14"/>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7" w:name="_Toc29546_WPSOffice_Level1"/>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改进措施和建议</w:t>
      </w:r>
      <w:bookmarkEnd w:id="7"/>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（一）改进措施</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加大绩效工作宣传力度，强化绩效理念。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完善绩效指标，提高整体绩效目标质量。提升预算精细化管理水平。</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继续完善预算绩效管理相关工作制度，建立全过程预算绩效管理链条，有效贯彻落实全面实施绩效管理的精神。</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二）建议</w:t>
      </w:r>
    </w:p>
    <w:p>
      <w:pPr>
        <w:pStyle w:val="19"/>
        <w:snapToGrid w:val="0"/>
        <w:spacing w:line="540" w:lineRule="exact"/>
        <w:ind w:firstLine="624"/>
        <w:rPr>
          <w:rStyle w:val="13"/>
          <w:rFonts w:ascii="仿宋_GB2312" w:hAnsi="仿宋_GB2312" w:eastAsia="仿宋_GB2312" w:cs="仿宋_GB2312"/>
          <w:b w:val="0"/>
          <w:bCs w:val="0"/>
          <w:color w:val="auto"/>
          <w:spacing w:val="-4"/>
          <w:sz w:val="32"/>
          <w:szCs w:val="32"/>
        </w:rPr>
      </w:pPr>
      <w:r>
        <w:rPr>
          <w:rStyle w:val="13"/>
          <w:rFonts w:hint="eastAsia" w:ascii="仿宋_GB2312" w:hAnsi="仿宋_GB2312" w:eastAsia="仿宋_GB2312" w:cs="仿宋_GB2312"/>
          <w:b w:val="0"/>
          <w:bCs w:val="0"/>
          <w:color w:val="auto"/>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13"/>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83438"/>
    <w:multiLevelType w:val="singleLevel"/>
    <w:tmpl w:val="1DF83438"/>
    <w:lvl w:ilvl="0" w:tentative="0">
      <w:start w:val="2"/>
      <w:numFmt w:val="decimal"/>
      <w:lvlText w:val="%1."/>
      <w:lvlJc w:val="left"/>
      <w:pPr>
        <w:tabs>
          <w:tab w:val="left" w:pos="312"/>
        </w:tabs>
      </w:pPr>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7559E"/>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C61FF"/>
    <w:rsid w:val="00FF2ACD"/>
    <w:rsid w:val="012008EE"/>
    <w:rsid w:val="013931E4"/>
    <w:rsid w:val="01CC583F"/>
    <w:rsid w:val="02987B74"/>
    <w:rsid w:val="0305345B"/>
    <w:rsid w:val="03E01CC9"/>
    <w:rsid w:val="03F53991"/>
    <w:rsid w:val="04FF0482"/>
    <w:rsid w:val="05062887"/>
    <w:rsid w:val="058552E6"/>
    <w:rsid w:val="059668E4"/>
    <w:rsid w:val="05F70F85"/>
    <w:rsid w:val="084208C4"/>
    <w:rsid w:val="098A3C0A"/>
    <w:rsid w:val="0A002B68"/>
    <w:rsid w:val="0A9A7091"/>
    <w:rsid w:val="0BB84DE3"/>
    <w:rsid w:val="0EF926F9"/>
    <w:rsid w:val="10FE60D7"/>
    <w:rsid w:val="11D20EBA"/>
    <w:rsid w:val="11FF25F0"/>
    <w:rsid w:val="12BD3A51"/>
    <w:rsid w:val="15F857D3"/>
    <w:rsid w:val="16003C34"/>
    <w:rsid w:val="175D58E3"/>
    <w:rsid w:val="18061B60"/>
    <w:rsid w:val="18FA049A"/>
    <w:rsid w:val="190C3DF8"/>
    <w:rsid w:val="19C26650"/>
    <w:rsid w:val="19F83E30"/>
    <w:rsid w:val="1A38314A"/>
    <w:rsid w:val="1B403139"/>
    <w:rsid w:val="1B411DB4"/>
    <w:rsid w:val="1C6D319F"/>
    <w:rsid w:val="1D4D74D6"/>
    <w:rsid w:val="1DE32CFD"/>
    <w:rsid w:val="1F1A602A"/>
    <w:rsid w:val="1F2854B6"/>
    <w:rsid w:val="1F495D13"/>
    <w:rsid w:val="21543DD4"/>
    <w:rsid w:val="21C768CD"/>
    <w:rsid w:val="22E14253"/>
    <w:rsid w:val="23F209A3"/>
    <w:rsid w:val="2403516E"/>
    <w:rsid w:val="256A2A9E"/>
    <w:rsid w:val="2761332D"/>
    <w:rsid w:val="27790CF3"/>
    <w:rsid w:val="2805537E"/>
    <w:rsid w:val="281C14A6"/>
    <w:rsid w:val="281D195D"/>
    <w:rsid w:val="284003C7"/>
    <w:rsid w:val="289437EE"/>
    <w:rsid w:val="2A854E98"/>
    <w:rsid w:val="2E3D769E"/>
    <w:rsid w:val="2EBF757D"/>
    <w:rsid w:val="2FAF0F27"/>
    <w:rsid w:val="31B83F5F"/>
    <w:rsid w:val="328E2AB6"/>
    <w:rsid w:val="329B12EA"/>
    <w:rsid w:val="33A83F87"/>
    <w:rsid w:val="35377D8A"/>
    <w:rsid w:val="355C2B3F"/>
    <w:rsid w:val="35F12468"/>
    <w:rsid w:val="36851B5C"/>
    <w:rsid w:val="37D360CA"/>
    <w:rsid w:val="382C626E"/>
    <w:rsid w:val="38CB5066"/>
    <w:rsid w:val="3A5C79A5"/>
    <w:rsid w:val="3A8C02DD"/>
    <w:rsid w:val="3AAE414F"/>
    <w:rsid w:val="3EDA503D"/>
    <w:rsid w:val="3F116D9E"/>
    <w:rsid w:val="3F301058"/>
    <w:rsid w:val="3FE55BE1"/>
    <w:rsid w:val="40B45B95"/>
    <w:rsid w:val="417A34F9"/>
    <w:rsid w:val="418810F4"/>
    <w:rsid w:val="419263E1"/>
    <w:rsid w:val="41A37673"/>
    <w:rsid w:val="42C30950"/>
    <w:rsid w:val="431F2213"/>
    <w:rsid w:val="45A65C7F"/>
    <w:rsid w:val="468C2A4A"/>
    <w:rsid w:val="46AD2493"/>
    <w:rsid w:val="46EC7F14"/>
    <w:rsid w:val="47F115BF"/>
    <w:rsid w:val="487A2378"/>
    <w:rsid w:val="48AF4C7F"/>
    <w:rsid w:val="4A81677A"/>
    <w:rsid w:val="4DA177B2"/>
    <w:rsid w:val="4DF36D4F"/>
    <w:rsid w:val="4F5D6D5A"/>
    <w:rsid w:val="501B7C76"/>
    <w:rsid w:val="504D5CCF"/>
    <w:rsid w:val="509A5C1D"/>
    <w:rsid w:val="524435E8"/>
    <w:rsid w:val="5329054B"/>
    <w:rsid w:val="533A7469"/>
    <w:rsid w:val="53526129"/>
    <w:rsid w:val="54BF2755"/>
    <w:rsid w:val="556332BC"/>
    <w:rsid w:val="565F61A9"/>
    <w:rsid w:val="56707D61"/>
    <w:rsid w:val="56DB3E30"/>
    <w:rsid w:val="57232FC4"/>
    <w:rsid w:val="572D2326"/>
    <w:rsid w:val="57365691"/>
    <w:rsid w:val="579A50DA"/>
    <w:rsid w:val="58A5775D"/>
    <w:rsid w:val="590D04C3"/>
    <w:rsid w:val="59CD5E33"/>
    <w:rsid w:val="59EE1E48"/>
    <w:rsid w:val="5A490F5C"/>
    <w:rsid w:val="5A961B68"/>
    <w:rsid w:val="5B076365"/>
    <w:rsid w:val="5BD21464"/>
    <w:rsid w:val="5BDE2B83"/>
    <w:rsid w:val="5E4C2F00"/>
    <w:rsid w:val="5F5278EF"/>
    <w:rsid w:val="61635F72"/>
    <w:rsid w:val="618606C5"/>
    <w:rsid w:val="61DD3E1F"/>
    <w:rsid w:val="6200585C"/>
    <w:rsid w:val="62246792"/>
    <w:rsid w:val="627806C9"/>
    <w:rsid w:val="63E114D3"/>
    <w:rsid w:val="645B1498"/>
    <w:rsid w:val="6A182BB4"/>
    <w:rsid w:val="6AD46D46"/>
    <w:rsid w:val="6DE07909"/>
    <w:rsid w:val="6E58438A"/>
    <w:rsid w:val="6E9D5508"/>
    <w:rsid w:val="6FA551C6"/>
    <w:rsid w:val="71C54FAD"/>
    <w:rsid w:val="71EB22B3"/>
    <w:rsid w:val="72010FA6"/>
    <w:rsid w:val="72F966BC"/>
    <w:rsid w:val="748A4F72"/>
    <w:rsid w:val="750F77CC"/>
    <w:rsid w:val="75664078"/>
    <w:rsid w:val="761E4132"/>
    <w:rsid w:val="762460AB"/>
    <w:rsid w:val="777B1AAE"/>
    <w:rsid w:val="78061A79"/>
    <w:rsid w:val="7B960689"/>
    <w:rsid w:val="7BC003CA"/>
    <w:rsid w:val="7C4C3AF2"/>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before="100" w:beforeAutospacing="1"/>
      <w:ind w:firstLine="420" w:firstLineChars="200"/>
    </w:pPr>
  </w:style>
  <w:style w:type="paragraph" w:styleId="3">
    <w:name w:val="Body Text Indent"/>
    <w:basedOn w:val="1"/>
    <w:unhideWhenUsed/>
    <w:qFormat/>
    <w:uiPriority w:val="99"/>
    <w:pPr>
      <w:spacing w:after="120"/>
      <w:ind w:left="420" w:leftChars="200"/>
    </w:pPr>
  </w:style>
  <w:style w:type="paragraph" w:styleId="5">
    <w:name w:val="annotation text"/>
    <w:basedOn w:val="1"/>
    <w:unhideWhenUsed/>
    <w:qFormat/>
    <w:uiPriority w:val="99"/>
    <w:pPr>
      <w:jc w:val="left"/>
    </w:pPr>
  </w:style>
  <w:style w:type="paragraph" w:styleId="6">
    <w:name w:val="Body Text"/>
    <w:basedOn w:val="1"/>
    <w:qFormat/>
    <w:uiPriority w:val="0"/>
    <w:pPr>
      <w:spacing w:before="240" w:after="240" w:line="360" w:lineRule="auto"/>
      <w:jc w:val="center"/>
    </w:pPr>
    <w:rPr>
      <w:b/>
      <w:sz w:val="44"/>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paragraph" w:customStyle="1" w:styleId="14">
    <w:name w:val="List Paragraph"/>
    <w:basedOn w:val="1"/>
    <w:unhideWhenUsed/>
    <w:qFormat/>
    <w:uiPriority w:val="99"/>
    <w:pPr>
      <w:ind w:firstLine="420" w:firstLineChars="200"/>
    </w:pPr>
  </w:style>
  <w:style w:type="character" w:customStyle="1" w:styleId="15">
    <w:name w:val="页脚 字符"/>
    <w:basedOn w:val="12"/>
    <w:link w:val="7"/>
    <w:qFormat/>
    <w:uiPriority w:val="99"/>
    <w:rPr>
      <w:sz w:val="18"/>
      <w:szCs w:val="18"/>
    </w:rPr>
  </w:style>
  <w:style w:type="character" w:customStyle="1" w:styleId="16">
    <w:name w:val="页眉 字符"/>
    <w:basedOn w:val="12"/>
    <w:link w:val="8"/>
    <w:qFormat/>
    <w:uiPriority w:val="99"/>
    <w:rPr>
      <w:sz w:val="18"/>
      <w:szCs w:val="18"/>
    </w:rPr>
  </w:style>
  <w:style w:type="paragraph" w:customStyle="1" w:styleId="17">
    <w:name w:val="WPSOffice手动目录 1"/>
    <w:qFormat/>
    <w:uiPriority w:val="0"/>
    <w:pPr>
      <w:ind w:leftChars="0"/>
    </w:pPr>
    <w:rPr>
      <w:rFonts w:asciiTheme="minorHAnsi" w:hAnsiTheme="minorHAnsi" w:eastAsiaTheme="minorEastAsia" w:cstheme="minorBidi"/>
      <w:sz w:val="20"/>
      <w:szCs w:val="20"/>
    </w:rPr>
  </w:style>
  <w:style w:type="paragraph" w:customStyle="1" w:styleId="18">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9">
    <w:name w:val="列表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16</Pages>
  <Words>6944</Words>
  <Characters>7233</Characters>
  <Lines>7</Lines>
  <Paragraphs>2</Paragraphs>
  <TotalTime>5</TotalTime>
  <ScaleCrop>false</ScaleCrop>
  <LinksUpToDate>false</LinksUpToDate>
  <CharactersWithSpaces>7244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2022-03-31T06:00:13Z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7EA17B0A9D3D4F4B9BF4B1F2EF914079</vt:lpwstr>
  </property>
</Properties>
</file>