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hint="eastAsia" w:ascii="仿宋_GB2312" w:hAnsi="仿宋_GB2312" w:eastAsia="仿宋_GB2312" w:cs="仿宋_GB2312"/>
          <w:color w:val="333333"/>
          <w:sz w:val="32"/>
          <w:szCs w:val="32"/>
          <w:highlight w:val="none"/>
          <w:lang w:bidi="ar"/>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rPr>
          <w:rFonts w:hint="eastAsia" w:ascii="仿宋_GB2312" w:hAnsi="仿宋_GB2312" w:eastAsia="仿宋_GB2312" w:cs="仿宋_GB2312"/>
          <w:b/>
          <w:kern w:val="0"/>
          <w:sz w:val="32"/>
          <w:szCs w:val="32"/>
          <w:highlight w:val="none"/>
        </w:rPr>
      </w:pPr>
    </w:p>
    <w:p>
      <w:pPr>
        <w:spacing w:line="540" w:lineRule="exact"/>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方正小标宋简体" w:hAnsi="方正小标宋简体" w:eastAsia="方正小标宋简体" w:cs="方正小标宋简体"/>
          <w:b/>
          <w:kern w:val="0"/>
          <w:sz w:val="44"/>
          <w:szCs w:val="44"/>
          <w:highlight w:val="none"/>
          <w:lang w:val="en-US" w:eastAsia="zh-Hans"/>
        </w:rPr>
      </w:pPr>
    </w:p>
    <w:p>
      <w:pPr>
        <w:spacing w:line="540" w:lineRule="exact"/>
        <w:jc w:val="center"/>
        <w:outlineLvl w:val="0"/>
        <w:rPr>
          <w:rFonts w:hint="eastAsia" w:ascii="方正小标宋简体" w:hAnsi="方正小标宋简体" w:eastAsia="方正小标宋简体" w:cs="方正小标宋简体"/>
          <w:b/>
          <w:kern w:val="0"/>
          <w:sz w:val="44"/>
          <w:szCs w:val="44"/>
          <w:highlight w:val="none"/>
        </w:rPr>
      </w:pPr>
      <w:r>
        <w:rPr>
          <w:rFonts w:hint="eastAsia" w:ascii="方正小标宋简体" w:hAnsi="方正小标宋简体" w:eastAsia="方正小标宋简体" w:cs="方正小标宋简体"/>
          <w:b/>
          <w:kern w:val="0"/>
          <w:sz w:val="44"/>
          <w:szCs w:val="44"/>
          <w:highlight w:val="none"/>
          <w:lang w:val="en-US" w:eastAsia="zh-Hans"/>
        </w:rPr>
        <w:t>阿克陶县</w:t>
      </w:r>
      <w:r>
        <w:rPr>
          <w:rFonts w:hint="eastAsia" w:ascii="方正小标宋简体" w:hAnsi="方正小标宋简体" w:eastAsia="方正小标宋简体" w:cs="方正小标宋简体"/>
          <w:b/>
          <w:kern w:val="0"/>
          <w:sz w:val="44"/>
          <w:szCs w:val="44"/>
          <w:highlight w:val="none"/>
          <w:lang w:val="en-US" w:eastAsia="zh-CN"/>
        </w:rPr>
        <w:t>皮拉勒乡恰瓦克</w:t>
      </w:r>
      <w:r>
        <w:rPr>
          <w:rFonts w:hint="eastAsia" w:ascii="方正小标宋简体" w:hAnsi="方正小标宋简体" w:eastAsia="方正小标宋简体" w:cs="方正小标宋简体"/>
          <w:b/>
          <w:kern w:val="0"/>
          <w:sz w:val="44"/>
          <w:szCs w:val="44"/>
          <w:highlight w:val="none"/>
          <w:lang w:val="en-US" w:eastAsia="zh-Hans"/>
        </w:rPr>
        <w:t>卫生院</w:t>
      </w:r>
      <w:r>
        <w:rPr>
          <w:rFonts w:hint="eastAsia" w:ascii="方正小标宋简体" w:hAnsi="方正小标宋简体" w:eastAsia="方正小标宋简体" w:cs="方正小标宋简体"/>
          <w:b/>
          <w:kern w:val="0"/>
          <w:sz w:val="44"/>
          <w:szCs w:val="44"/>
          <w:highlight w:val="none"/>
        </w:rPr>
        <w:t>部门单位整体支出绩效自评报告</w:t>
      </w: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lang w:eastAsia="zh-CN"/>
        </w:rPr>
        <w:t>2021</w:t>
      </w:r>
      <w:r>
        <w:rPr>
          <w:rFonts w:hint="eastAsia" w:ascii="仿宋_GB2312" w:hAnsi="仿宋_GB2312" w:eastAsia="仿宋_GB2312" w:cs="仿宋_GB2312"/>
          <w:kern w:val="0"/>
          <w:sz w:val="32"/>
          <w:szCs w:val="32"/>
          <w:highlight w:val="none"/>
        </w:rPr>
        <w:t xml:space="preserve">  年度）</w:t>
      </w: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rPr>
          <w:rFonts w:hint="eastAsia" w:ascii="仿宋_GB2312" w:hAnsi="仿宋_GB2312" w:eastAsia="仿宋_GB2312" w:cs="仿宋_GB2312"/>
          <w:kern w:val="0"/>
          <w:sz w:val="32"/>
          <w:szCs w:val="32"/>
          <w:highlight w:val="none"/>
        </w:rPr>
      </w:pPr>
    </w:p>
    <w:p>
      <w:pPr>
        <w:spacing w:after="312" w:afterLines="100"/>
        <w:ind w:firstLine="0" w:firstLineChars="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p>
    <w:p>
      <w:pPr>
        <w:spacing w:after="312" w:afterLines="100"/>
        <w:ind w:firstLine="0" w:firstLineChars="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部门单位名称（公章）：阿克陶县</w:t>
      </w:r>
      <w:r>
        <w:rPr>
          <w:rFonts w:hint="eastAsia" w:ascii="仿宋_GB2312" w:hAnsi="仿宋_GB2312" w:eastAsia="仿宋_GB2312" w:cs="仿宋_GB2312"/>
          <w:kern w:val="0"/>
          <w:sz w:val="32"/>
          <w:szCs w:val="32"/>
          <w:highlight w:val="none"/>
          <w:lang w:eastAsia="zh-CN"/>
        </w:rPr>
        <w:t>皮拉勒乡恰瓦克</w:t>
      </w:r>
      <w:r>
        <w:rPr>
          <w:rFonts w:hint="eastAsia" w:ascii="仿宋_GB2312" w:hAnsi="仿宋_GB2312" w:eastAsia="仿宋_GB2312" w:cs="仿宋_GB2312"/>
          <w:kern w:val="0"/>
          <w:sz w:val="32"/>
          <w:szCs w:val="32"/>
          <w:highlight w:val="none"/>
        </w:rPr>
        <w:t>卫生院</w:t>
      </w:r>
    </w:p>
    <w:p>
      <w:pPr>
        <w:spacing w:line="700" w:lineRule="exact"/>
        <w:jc w:val="left"/>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 xml:space="preserve">填报时间： </w:t>
      </w:r>
      <w:r>
        <w:rPr>
          <w:rFonts w:hint="eastAsia" w:ascii="仿宋_GB2312" w:hAnsi="仿宋_GB2312" w:eastAsia="仿宋_GB2312" w:cs="仿宋_GB2312"/>
          <w:kern w:val="0"/>
          <w:sz w:val="32"/>
          <w:szCs w:val="32"/>
          <w:highlight w:val="none"/>
          <w:lang w:val="en-US" w:eastAsia="zh-CN"/>
        </w:rPr>
        <w:t xml:space="preserve"> 2022 </w:t>
      </w:r>
      <w:r>
        <w:rPr>
          <w:rFonts w:hint="eastAsia" w:ascii="仿宋_GB2312" w:hAnsi="仿宋_GB2312" w:eastAsia="仿宋_GB2312" w:cs="仿宋_GB2312"/>
          <w:kern w:val="0"/>
          <w:sz w:val="32"/>
          <w:szCs w:val="32"/>
          <w:highlight w:val="none"/>
        </w:rPr>
        <w:t xml:space="preserve"> 年</w:t>
      </w:r>
      <w:r>
        <w:rPr>
          <w:rFonts w:hint="eastAsia" w:ascii="仿宋_GB2312" w:hAnsi="仿宋_GB2312" w:eastAsia="仿宋_GB2312" w:cs="仿宋_GB2312"/>
          <w:kern w:val="0"/>
          <w:sz w:val="32"/>
          <w:szCs w:val="32"/>
          <w:highlight w:val="none"/>
          <w:lang w:val="en-US" w:eastAsia="zh-CN"/>
        </w:rPr>
        <w:t xml:space="preserve">  3</w:t>
      </w:r>
      <w:r>
        <w:rPr>
          <w:rFonts w:hint="eastAsia" w:ascii="仿宋_GB2312" w:hAnsi="仿宋_GB2312" w:eastAsia="仿宋_GB2312" w:cs="仿宋_GB2312"/>
          <w:kern w:val="0"/>
          <w:sz w:val="32"/>
          <w:szCs w:val="32"/>
          <w:highlight w:val="none"/>
        </w:rPr>
        <w:t xml:space="preserve">月 </w:t>
      </w:r>
      <w:r>
        <w:rPr>
          <w:rFonts w:hint="eastAsia" w:ascii="仿宋_GB2312" w:hAnsi="仿宋_GB2312" w:eastAsia="仿宋_GB2312" w:cs="仿宋_GB2312"/>
          <w:kern w:val="0"/>
          <w:sz w:val="32"/>
          <w:szCs w:val="32"/>
          <w:highlight w:val="none"/>
          <w:lang w:val="en-US" w:eastAsia="zh-CN"/>
        </w:rPr>
        <w:t xml:space="preserve">10  </w:t>
      </w:r>
      <w:r>
        <w:rPr>
          <w:rFonts w:hint="eastAsia" w:ascii="仿宋_GB2312" w:hAnsi="仿宋_GB2312" w:eastAsia="仿宋_GB2312" w:cs="仿宋_GB2312"/>
          <w:kern w:val="0"/>
          <w:sz w:val="32"/>
          <w:szCs w:val="32"/>
          <w:highlight w:val="none"/>
        </w:rPr>
        <w:t>日</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left="648" w:leftChars="0"/>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0" w:name="_Toc23945_WPSOffice_Level1"/>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left="648" w:leftChars="0"/>
        <w:jc w:val="both"/>
        <w:textAlignment w:val="auto"/>
        <w:outlineLvl w:val="0"/>
        <w:rPr>
          <w:rFonts w:hint="eastAsia" w:ascii="仿宋_GB2312" w:hAnsi="仿宋_GB2312" w:eastAsia="仿宋_GB2312" w:cs="仿宋_GB2312"/>
          <w:b/>
          <w:bCs w:val="0"/>
          <w:color w:val="333333"/>
          <w:sz w:val="32"/>
          <w:szCs w:val="32"/>
          <w:highlight w:val="none"/>
          <w:lang w:bidi="ar"/>
        </w:rPr>
      </w:pPr>
    </w:p>
    <w:p>
      <w:pPr>
        <w:pStyle w:val="11"/>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outlineLvl w:val="0"/>
        <w:rPr>
          <w:rFonts w:hint="eastAsia" w:ascii="仿宋_GB2312" w:hAnsi="仿宋_GB2312" w:eastAsia="仿宋_GB2312" w:cs="仿宋_GB2312"/>
          <w:b/>
          <w:bCs w:val="0"/>
          <w:color w:val="333333"/>
          <w:sz w:val="32"/>
          <w:szCs w:val="32"/>
          <w:highlight w:val="none"/>
          <w:lang w:bidi="ar"/>
        </w:rPr>
      </w:pPr>
      <w:r>
        <w:rPr>
          <w:rFonts w:hint="eastAsia" w:ascii="仿宋_GB2312" w:hAnsi="仿宋_GB2312" w:eastAsia="仿宋_GB2312" w:cs="仿宋_GB2312"/>
          <w:b/>
          <w:bCs w:val="0"/>
          <w:color w:val="333333"/>
          <w:sz w:val="32"/>
          <w:szCs w:val="32"/>
          <w:highlight w:val="none"/>
          <w:lang w:bidi="ar"/>
        </w:rPr>
        <w:t>基本概况</w:t>
      </w:r>
      <w:bookmarkEnd w:id="0"/>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bidi="ar"/>
        </w:rPr>
        <w:t>（一）单位基本情况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1.部门主要职能</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开展所在地区内基本医疗卫生服务工作，培训卫生技术人员。是农村三级医疗网点的重要环节，担负着医疗防疫，保健的重要任务，是直接解决农村看病难看病贵的重要一关。提供公共卫生服务：  </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1.承担本乡农村居民健康档案规范建档、管理及服务。</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2.普及卫生保健常识，在重点人群和重点场所开展健康教育，帮助居民形成有利于维护和增进健康的行为方式；指导开展爱国卫生工作。</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3.提供并组织实施本乡预防接种服务，落实国家免疫规划。</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4.及时发现、登记并报告本乡内发现的传染病病例和疑似病例，参与现场疫情处理。</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5.开展新生儿访视及儿童保健系统管理，进行体格检查和生长发育监测及评价，开展健康指导。</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6.开展孕产妇保健系统管理和产后访视，进行一般体格检查及孕期营养、心理等健康指导。</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7.对本乡65岁及以上老年人进行登记管理，进行健康危险因素调查和一般体格检查，开展健康指导。</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8.对高血压、糖尿病等慢性病高危人群进行指导，对确诊高血压、糖尿病等慢性病病例进行登记管理、定期随访和健康指导。</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9.对本乡重性精神疾病患者进行登记管理、治疗随访和康复指导。 </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10.负责本乡内突发公共卫生事件的报告并协助处理。</w:t>
      </w:r>
    </w:p>
    <w:p>
      <w:pPr>
        <w:ind w:firstLine="560"/>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11.做好卫生行政部门规定的其他公共卫生服务。在农村医疗卫生服务网络中发挥着重要的基础性作用。</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2.部门机构设置及人员构成</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阿克陶县</w:t>
      </w:r>
      <w:r>
        <w:rPr>
          <w:rFonts w:hint="eastAsia" w:ascii="仿宋_GB2312" w:hAnsi="仿宋_GB2312" w:eastAsia="仿宋_GB2312" w:cs="仿宋_GB2312"/>
          <w:color w:val="000000" w:themeColor="text1"/>
          <w:sz w:val="32"/>
          <w:szCs w:val="32"/>
          <w:lang w:eastAsia="zh-CN"/>
          <w14:textFill>
            <w14:solidFill>
              <w14:schemeClr w14:val="tx1"/>
            </w14:solidFill>
          </w14:textFill>
        </w:rPr>
        <w:t>皮拉勒乡恰瓦克</w:t>
      </w:r>
      <w:r>
        <w:rPr>
          <w:rFonts w:hint="eastAsia" w:ascii="仿宋_GB2312" w:hAnsi="仿宋_GB2312" w:eastAsia="仿宋_GB2312" w:cs="仿宋_GB2312"/>
          <w:color w:val="000000" w:themeColor="text1"/>
          <w:sz w:val="32"/>
          <w:szCs w:val="32"/>
          <w14:textFill>
            <w14:solidFill>
              <w14:schemeClr w14:val="tx1"/>
            </w14:solidFill>
          </w14:textFill>
        </w:rPr>
        <w:t>卫生院编制数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34</w:t>
      </w:r>
      <w:r>
        <w:rPr>
          <w:rFonts w:hint="eastAsia" w:ascii="仿宋_GB2312" w:hAnsi="仿宋_GB2312" w:eastAsia="仿宋_GB2312" w:cs="仿宋_GB2312"/>
          <w:color w:val="000000" w:themeColor="text1"/>
          <w:sz w:val="32"/>
          <w:szCs w:val="32"/>
          <w14:textFill>
            <w14:solidFill>
              <w14:schemeClr w14:val="tx1"/>
            </w14:solidFill>
          </w14:textFill>
        </w:rPr>
        <w:t xml:space="preserve"> ，实有人数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34</w:t>
      </w:r>
      <w:r>
        <w:rPr>
          <w:rFonts w:hint="eastAsia" w:ascii="仿宋_GB2312" w:hAnsi="仿宋_GB2312" w:eastAsia="仿宋_GB2312" w:cs="仿宋_GB2312"/>
          <w:color w:val="000000" w:themeColor="text1"/>
          <w:sz w:val="32"/>
          <w:szCs w:val="32"/>
          <w14:textFill>
            <w14:solidFill>
              <w14:schemeClr w14:val="tx1"/>
            </w14:solidFill>
          </w14:textFill>
        </w:rPr>
        <w:t>人，事业编</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34</w:t>
      </w:r>
      <w:r>
        <w:rPr>
          <w:rFonts w:hint="eastAsia" w:ascii="仿宋_GB2312" w:hAnsi="仿宋_GB2312" w:eastAsia="仿宋_GB2312" w:cs="仿宋_GB2312"/>
          <w:color w:val="000000" w:themeColor="text1"/>
          <w:sz w:val="32"/>
          <w:szCs w:val="32"/>
          <w14:textFill>
            <w14:solidFill>
              <w14:schemeClr w14:val="tx1"/>
            </w14:solidFill>
          </w14:textFill>
        </w:rPr>
        <w:t>人，其中：在职</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34</w:t>
      </w:r>
      <w:r>
        <w:rPr>
          <w:rFonts w:hint="eastAsia" w:ascii="仿宋_GB2312" w:hAnsi="仿宋_GB2312" w:eastAsia="仿宋_GB2312" w:cs="仿宋_GB2312"/>
          <w:color w:val="000000" w:themeColor="text1"/>
          <w:sz w:val="32"/>
          <w:szCs w:val="32"/>
          <w14:textFill>
            <w14:solidFill>
              <w14:schemeClr w14:val="tx1"/>
            </w14:solidFill>
          </w14:textFill>
        </w:rPr>
        <w:t>人， 退休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w:t>
      </w:r>
      <w:r>
        <w:rPr>
          <w:rFonts w:hint="eastAsia" w:ascii="仿宋_GB2312" w:hAnsi="仿宋_GB2312" w:eastAsia="仿宋_GB2312" w:cs="仿宋_GB2312"/>
          <w:color w:val="000000" w:themeColor="text1"/>
          <w:sz w:val="32"/>
          <w:szCs w:val="32"/>
          <w14:textFill>
            <w14:solidFill>
              <w14:schemeClr w14:val="tx1"/>
            </w14:solidFill>
          </w14:textFill>
        </w:rPr>
        <w:t>人。</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3.年度重点工作</w:t>
      </w:r>
    </w:p>
    <w:p>
      <w:pPr>
        <w:ind w:firstLine="560"/>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t>年在卫健委的正确领导下，我院不断加强医疗卫生人员培养、全民健康体检、基本公共卫生服务、疫情防控及能力服务提升等各项目标任务。提高我县各族人民健康生活水平。</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（二）决策过程</w:t>
      </w:r>
    </w:p>
    <w:p>
      <w:pPr>
        <w:ind w:firstLine="560"/>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我单位决策机制根据行政事业单位内部控制体系建设相关要求，逐步完善《</w:t>
      </w:r>
      <w:r>
        <w:rPr>
          <w:rFonts w:hint="eastAsia" w:ascii="仿宋_GB2312" w:hAnsi="仿宋_GB2312" w:eastAsia="仿宋_GB2312" w:cs="仿宋_GB2312"/>
          <w:color w:val="000000" w:themeColor="text1"/>
          <w:sz w:val="32"/>
          <w:szCs w:val="32"/>
          <w:lang w:eastAsia="zh-CN"/>
          <w14:textFill>
            <w14:solidFill>
              <w14:schemeClr w14:val="tx1"/>
            </w14:solidFill>
          </w14:textFill>
        </w:rPr>
        <w:t>皮拉勒乡恰瓦克</w:t>
      </w:r>
      <w:r>
        <w:rPr>
          <w:rFonts w:hint="eastAsia" w:ascii="仿宋_GB2312" w:hAnsi="仿宋_GB2312" w:eastAsia="仿宋_GB2312" w:cs="仿宋_GB2312"/>
          <w:color w:val="000000" w:themeColor="text1"/>
          <w:sz w:val="32"/>
          <w:szCs w:val="32"/>
          <w14:textFill>
            <w14:solidFill>
              <w14:schemeClr w14:val="tx1"/>
            </w14:solidFill>
          </w14:textFill>
        </w:rPr>
        <w:t>卫生院财务制度》、《三重一大会议制度》我单位实施“三重一大”事项集体决策制度，坚持全面贯彻落实中央八项规定、县党政部门相关要求，以科学决策、民主决策为目的，以落实党的民主集中制为原则，提高认识，明确责任，完善机制，推动落实。我单位实施“三重一大”事项集体决策制度，由院长、副院长负直接责任；分管工作人员有向主要领导建议执行“三重一大”集体决策制度的重要领导责任；纪检干事负有实施“三重一大”制度的监督、协调责任。院务会成员决定集体研究决策方案，并主持召开院务会，按要求把握好集体决策的程序。</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（三）项目资金分配</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1.部门（单位）预算编制及分配依据</w:t>
      </w:r>
    </w:p>
    <w:p>
      <w:pPr>
        <w:widowControl/>
        <w:spacing w:line="520" w:lineRule="atLeast"/>
        <w:ind w:firstLine="960" w:firstLineChars="3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基本支出根据单位的人员、日常支出实际情况进行预算编制，并根据财政部门预算批复、预期绩效目标进行相应分配；由财政部门按照进度每月分期拨付，人员支出按照工资计划发放工资；资金支出时按照我单位内控体系中设定的流程进行申报审批。</w:t>
      </w:r>
    </w:p>
    <w:p>
      <w:pPr>
        <w:widowControl/>
        <w:numPr>
          <w:ilvl w:val="0"/>
          <w:numId w:val="2"/>
        </w:numPr>
        <w:spacing w:line="520" w:lineRule="atLeast"/>
        <w:ind w:firstLine="960" w:firstLineChars="3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年版））》规定及本单位内控制度，组织人员制定并申报采购计划，按批复采购方式进行；属于非政府采购的项目，按照“三重一大”制度规定重大项目支出上院务会研究决定。</w:t>
      </w:r>
    </w:p>
    <w:p>
      <w:pPr>
        <w:widowControl/>
        <w:numPr>
          <w:ilvl w:val="0"/>
          <w:numId w:val="2"/>
        </w:numPr>
        <w:spacing w:line="520" w:lineRule="atLeast"/>
        <w:ind w:firstLine="960" w:firstLineChars="3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本年度本单位预算安排的重点项目0个，预算安排的重点项目支出金额为0万元，部门项目总支出金额为0万元，则重点项目支出占项目总支出的比率为0%。</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2.分配结果</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Hans"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Hans" w:bidi="ar"/>
          <w14:textFill>
            <w14:solidFill>
              <w14:schemeClr w14:val="tx1"/>
            </w14:solidFill>
          </w14:textFill>
        </w:rPr>
        <w:t>与绩效目标的一致性</w:t>
      </w:r>
      <w:r>
        <w:rPr>
          <w:rStyle w:val="10"/>
          <w:rFonts w:hint="eastAsia" w:ascii="仿宋_GB2312" w:hAnsi="仿宋_GB2312" w:eastAsia="仿宋_GB2312" w:cs="仿宋_GB2312"/>
          <w:b w:val="0"/>
          <w:color w:val="000000" w:themeColor="text1"/>
          <w:sz w:val="32"/>
          <w:szCs w:val="32"/>
          <w:highlight w:val="none"/>
          <w:lang w:eastAsia="zh-Hans" w:bidi="ar"/>
          <w14:textFill>
            <w14:solidFill>
              <w14:schemeClr w14:val="tx1"/>
            </w14:solidFill>
          </w14:textFill>
        </w:rPr>
        <w:t>，</w:t>
      </w:r>
      <w:r>
        <w:rPr>
          <w:rStyle w:val="10"/>
          <w:rFonts w:hint="eastAsia" w:ascii="仿宋_GB2312" w:hAnsi="仿宋_GB2312" w:eastAsia="仿宋_GB2312" w:cs="仿宋_GB2312"/>
          <w:b w:val="0"/>
          <w:color w:val="000000" w:themeColor="text1"/>
          <w:sz w:val="32"/>
          <w:szCs w:val="32"/>
          <w:highlight w:val="none"/>
          <w:lang w:val="en-US" w:eastAsia="zh-Hans" w:bidi="ar"/>
          <w14:textFill>
            <w14:solidFill>
              <w14:schemeClr w14:val="tx1"/>
            </w14:solidFill>
          </w14:textFill>
        </w:rPr>
        <w:t>分配结果的合理性</w:t>
      </w:r>
      <w:r>
        <w:rPr>
          <w:rStyle w:val="10"/>
          <w:rFonts w:hint="eastAsia" w:ascii="仿宋_GB2312" w:hAnsi="仿宋_GB2312" w:eastAsia="仿宋_GB2312" w:cs="仿宋_GB2312"/>
          <w:b w:val="0"/>
          <w:color w:val="000000" w:themeColor="text1"/>
          <w:sz w:val="32"/>
          <w:szCs w:val="32"/>
          <w:highlight w:val="none"/>
          <w:lang w:eastAsia="zh-Hans" w:bidi="ar"/>
          <w14:textFill>
            <w14:solidFill>
              <w14:schemeClr w14:val="tx1"/>
            </w14:solidFill>
          </w14:textFill>
        </w:rPr>
        <w:t>。</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3.重点支出保障率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重点支出保障率用以反映和考核部门（单位）对履行主要职责或完成重点任务的保障程度。</w:t>
      </w:r>
    </w:p>
    <w:p>
      <w:pPr>
        <w:ind w:firstLine="560"/>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我单位本年主要实施人员工资、基本公共卫生项目、基本药物补助等重点项目，履行了</w:t>
      </w:r>
      <w:r>
        <w:rPr>
          <w:rFonts w:hint="eastAsia" w:ascii="仿宋_GB2312" w:hAnsi="仿宋_GB2312" w:eastAsia="仿宋_GB2312" w:cs="仿宋_GB2312"/>
          <w:color w:val="000000" w:themeColor="text1"/>
          <w:sz w:val="32"/>
          <w:szCs w:val="32"/>
          <w14:textFill>
            <w14:solidFill>
              <w14:schemeClr w14:val="tx1"/>
            </w14:solidFill>
          </w14:textFill>
        </w:rPr>
        <w:t>基本医疗卫生服务工作</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本乡农村居民健康档案规范建档、管理及服务</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提供并组织实施本乡预防接种服务，落实国家免疫规划。及时发现、登记并报告本乡内发现的传染病病例和疑似病例，参与现场疫情处理</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等基本公共卫生主要职责。</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本年度预算安排的重点项目支出0万元，项目总支出0万元，重点支出保障率为0%。</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（四）部门单位整体支出规模</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1.预算执行情况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（1）年初预算执行情况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我单位年初预算数为</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579.52</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万元，实际预算执行数</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579.52</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万元，预算执行率为100%。</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（2）全年预算执行情况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全年预算数为1032.18万元，全年实际支出资金930.95万元，预算执行率为90.19%。</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2.预算调整情况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我单位年初批复预算数579.52万元，年中调整数452.66万元，调整后全年预算数1032.18万元，预算调整率78.10%。</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 xml:space="preserve">3.政府采购执行情况 </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我单位本年度需政府采购的预算数为0万元。</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（五）评价使用方法和主要内容、涉及范围</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1.评价使用方法</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pPr>
      <w:bookmarkStart w:id="1" w:name="_Hlk49856735"/>
      <w:r>
        <w:rPr>
          <w:rStyle w:val="10"/>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本次评价主要采取比较法和调查法。一是比较法。对项目支出情况及建设后的产出及效果与项目实施计划目标进行比较，分析预计目标的完成程度。</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二是</w:t>
      </w:r>
      <w:r>
        <w:rPr>
          <w:rStyle w:val="10"/>
          <w:rFonts w:hint="eastAsia" w:ascii="仿宋_GB2312" w:hAnsi="仿宋_GB2312" w:eastAsia="仿宋_GB2312" w:cs="仿宋_GB2312"/>
          <w:b w:val="0"/>
          <w:color w:val="000000" w:themeColor="text1"/>
          <w:sz w:val="32"/>
          <w:szCs w:val="32"/>
          <w:highlight w:val="none"/>
          <w:lang w:val="en-US" w:eastAsia="zh-Hans" w:bidi="ar"/>
          <w14:textFill>
            <w14:solidFill>
              <w14:schemeClr w14:val="tx1"/>
            </w14:solidFill>
          </w14:textFill>
        </w:rPr>
        <w:t>公众评判法</w:t>
      </w:r>
      <w:r>
        <w:rPr>
          <w:rStyle w:val="10"/>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。通过专家评估、公众问卷及抽样调查等方式进行评判的方法。问卷调查是针对项目区利益相关方实施的调查，并对调查结果进行统计、分析和评定。</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2.评价对象及主要内容</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评价的对象及主要内容为:</w:t>
      </w: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一是</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部门单位整体管理及使用情况，具体涉及预算管理、基本支出和专项支出的管理及使用情况；</w:t>
      </w: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二是</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部门单位整体支出绩效情况，具体涉及部门单位整体支出绩效目标的实现程度，包括是否达到预定产出、效果和效益效率等；</w:t>
      </w: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三是</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部门单位专项组织实施情况，具体涉及专项组织情况分析和相关管理情况；</w:t>
      </w: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四是</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资产管理情况，具体涉及资产管理规范性和资产变动情况</w:t>
      </w:r>
      <w:r>
        <w:rPr>
          <w:rStyle w:val="10"/>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3.涉及的范围</w:t>
      </w:r>
      <w:bookmarkEnd w:id="1"/>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评价范围是对本单位整体支出从年度总体绩效目标、产出指标、效益指标、满意度指标等方面进行了全方位、多角度综合评价分析。</w:t>
      </w:r>
    </w:p>
    <w:p>
      <w:pPr>
        <w:pStyle w:val="11"/>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outlineLvl w:val="0"/>
        <w:rPr>
          <w:rFonts w:hint="eastAsia" w:ascii="仿宋_GB2312" w:hAnsi="仿宋_GB2312" w:eastAsia="仿宋_GB2312" w:cs="仿宋_GB2312"/>
          <w:b/>
          <w:bCs w:val="0"/>
          <w:color w:val="000000" w:themeColor="text1"/>
          <w:sz w:val="32"/>
          <w:szCs w:val="32"/>
          <w:highlight w:val="none"/>
          <w:lang w:bidi="ar"/>
          <w14:textFill>
            <w14:solidFill>
              <w14:schemeClr w14:val="tx1"/>
            </w14:solidFill>
          </w14:textFill>
        </w:rPr>
      </w:pPr>
      <w:bookmarkStart w:id="2" w:name="_Toc32535_WPSOffice_Level1"/>
      <w:r>
        <w:rPr>
          <w:rFonts w:hint="eastAsia" w:ascii="仿宋_GB2312" w:hAnsi="仿宋_GB2312" w:eastAsia="仿宋_GB2312" w:cs="仿宋_GB2312"/>
          <w:b/>
          <w:bCs w:val="0"/>
          <w:color w:val="000000" w:themeColor="text1"/>
          <w:sz w:val="32"/>
          <w:szCs w:val="32"/>
          <w:highlight w:val="none"/>
          <w:lang w:bidi="ar"/>
          <w14:textFill>
            <w14:solidFill>
              <w14:schemeClr w14:val="tx1"/>
            </w14:solidFill>
          </w14:textFill>
        </w:rPr>
        <w:t>部门单位整体支出管理及使用情况</w:t>
      </w:r>
      <w:bookmarkEnd w:id="2"/>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（一）预算管理情况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1.管理制度健全性</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单位为加强预算管理，规范财务行为，已制定《阿克陶县皮拉勒乡恰瓦克卫生院部门单位预算绩效管理工作实施办法》，《阿克陶县皮拉勒乡恰瓦克卫生院财务管理制度》等健全完整的各项管理制度，有效保障了我单位高效的履行工作职能，较好的促进事业发展。</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2.资金使用合规性和安全性</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3.预决算信息公开性</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按照</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阿克陶县</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财政局预决算信息公开工作要求，我单位在</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阿克陶县人民</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政府信息网</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财政信息公开</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（二）基本支出和使用情况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1.基本支出和使用情况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2021</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年</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本单位</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基本支出</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全年</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预算总额</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884.11</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万元，其中</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人员经费</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613.16</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万元，公用经费</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270.95</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万元。实际支出</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782.88</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万元，</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基本支出</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预算执行率</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88.56</w:t>
      </w:r>
      <w:bookmarkStart w:id="8" w:name="_GoBack"/>
      <w:bookmarkEnd w:id="8"/>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2.三公经费控制情况</w:t>
      </w:r>
    </w:p>
    <w:p>
      <w:pPr>
        <w:pStyle w:val="11"/>
        <w:snapToGrid w:val="0"/>
        <w:spacing w:line="540" w:lineRule="exact"/>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我单位坚决贯彻落实中央、自治区、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阿克陶</w:t>
      </w:r>
      <w:r>
        <w:rPr>
          <w:rFonts w:hint="eastAsia" w:ascii="仿宋_GB2312" w:hAnsi="仿宋_GB2312" w:eastAsia="仿宋_GB2312" w:cs="仿宋_GB2312"/>
          <w:bCs/>
          <w:color w:val="000000" w:themeColor="text1"/>
          <w:sz w:val="32"/>
          <w:szCs w:val="32"/>
          <w:highlight w:val="none"/>
          <w:lang w:val="en-US" w:eastAsia="zh-Hans" w:bidi="ar"/>
          <w14:textFill>
            <w14:solidFill>
              <w14:schemeClr w14:val="tx1"/>
            </w14:solidFill>
          </w14:textFill>
        </w:rPr>
        <w:t>县</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厉行勤俭办公的工作要求，提倡本单位全体干部职工，勤俭节约，切实降低行政运行成本，确保每年“三公经费”只减不增。202</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1</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年“三公经费”预算为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万元，实际支出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万元，“三公经费”控制率为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%，其中：因公出国（境）费预算为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万元，实际支出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万元；公务接待费预算为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万元，实际支出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万元；公务用车购置费预算为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万元，实际支出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万元；公务用车运行维护费预算为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万元，实际支出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万元，公务用车运行维护费控制率</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%，符合财政部门本年预算要求和相关管理制度要求。</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（三）专项支出管理和使用情况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专项资金的使用符合国家法规和财务管理制度，专项资金拨付有完整的审批程序和手续，符合项目预算批复或合同规定的用途，不存在截留、挤占、挪用、虚列支出等情况。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2021</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年</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本单位安排</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专项支出</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年初</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预算总额</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148.07万元</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，实际支出</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148.07</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万元，</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专项支出</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预算执行率</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100%</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2021</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年</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本单位</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共有</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0</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个资金项目，其中</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0</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个属经常性项目、</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0</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个属当年度新增项目，已完成项目</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0</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个、未完成项目</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0</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个。</w:t>
      </w:r>
    </w:p>
    <w:p>
      <w:pPr>
        <w:keepNext w:val="0"/>
        <w:keepLines w:val="0"/>
        <w:pageBreakBefore w:val="0"/>
        <w:widowControl w:val="0"/>
        <w:kinsoku/>
        <w:wordWrap/>
        <w:overflowPunct/>
        <w:topLinePunct w:val="0"/>
        <w:autoSpaceDE/>
        <w:autoSpaceDN/>
        <w:bidi w:val="0"/>
        <w:adjustRightInd/>
        <w:snapToGrid w:val="0"/>
        <w:spacing w:line="540" w:lineRule="exact"/>
        <w:ind w:left="648"/>
        <w:jc w:val="both"/>
        <w:textAlignment w:val="auto"/>
        <w:outlineLvl w:val="0"/>
        <w:rPr>
          <w:rFonts w:hint="eastAsia" w:ascii="仿宋_GB2312" w:hAnsi="仿宋_GB2312" w:eastAsia="仿宋_GB2312" w:cs="仿宋_GB2312"/>
          <w:b/>
          <w:bCs w:val="0"/>
          <w:color w:val="000000" w:themeColor="text1"/>
          <w:sz w:val="32"/>
          <w:szCs w:val="32"/>
          <w:highlight w:val="none"/>
          <w:lang w:bidi="ar"/>
          <w14:textFill>
            <w14:solidFill>
              <w14:schemeClr w14:val="tx1"/>
            </w14:solidFill>
          </w14:textFill>
        </w:rPr>
      </w:pPr>
      <w:bookmarkStart w:id="3" w:name="_Toc1734_WPSOffice_Level1"/>
      <w:r>
        <w:rPr>
          <w:rFonts w:hint="eastAsia" w:ascii="仿宋_GB2312" w:hAnsi="仿宋_GB2312" w:eastAsia="仿宋_GB2312" w:cs="仿宋_GB2312"/>
          <w:b/>
          <w:bCs w:val="0"/>
          <w:color w:val="000000" w:themeColor="text1"/>
          <w:sz w:val="32"/>
          <w:szCs w:val="32"/>
          <w:highlight w:val="none"/>
          <w:lang w:bidi="ar"/>
          <w14:textFill>
            <w14:solidFill>
              <w14:schemeClr w14:val="tx1"/>
            </w14:solidFill>
          </w14:textFill>
        </w:rPr>
        <w:t>三、部门单位专项组织实施情况</w:t>
      </w:r>
      <w:bookmarkEnd w:id="3"/>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本年我单位供实施0个项目，金额0万元</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本年我单位实施专项项目0个，涉及金额0万元</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val="0"/>
          <w:color w:val="000000" w:themeColor="text1"/>
          <w:spacing w:val="-4"/>
          <w:sz w:val="32"/>
          <w:szCs w:val="32"/>
          <w:highlight w:val="none"/>
          <w:lang w:val="en-US" w:eastAsia="zh-CN"/>
          <w14:textFill>
            <w14:solidFill>
              <w14:schemeClr w14:val="tx1"/>
            </w14:solidFill>
          </w14:textFill>
        </w:rPr>
        <w:t>（一）阿克陶县皮拉勒乡恰瓦克卫生院项目专项组织情况分析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1.前期准备</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我单位成立专项支出绩效评价小组，</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成员如下：</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汗左拉·阿卜杜</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任评价组组长，绩效评价工作职责为负责全盘工作。</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布阿衣夏木·艾则孜</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任评价组副组长，绩效评价工作职责为为对项目实施情况进行实地调查。</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阿里米古丽·艾山</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任评价组成员，绩效评价工作职责为负责资料审核、填报等工作。</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通过与相关成员前期沟通，明确评价目标、识别重要评价事项和履行的评价责任。制定文件清单，了解项目基本情况，确认部门整体的绩效指标，梳理部门内部管理制度，确定当年整体绩效评价重点。</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2.组织实施</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val="0"/>
          <w:color w:val="000000" w:themeColor="text1"/>
          <w:spacing w:val="-4"/>
          <w:sz w:val="32"/>
          <w:szCs w:val="32"/>
          <w:highlight w:val="none"/>
          <w:lang w:val="en-US" w:eastAsia="zh-CN"/>
          <w14:textFill>
            <w14:solidFill>
              <w14:schemeClr w14:val="tx1"/>
            </w14:solidFill>
          </w14:textFill>
        </w:rPr>
        <w:t>（二）阿克陶县皮拉勒乡恰瓦克卫生院项目专项组织情况分析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1.前期准备</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我单位成立专项支出绩效评价小组，</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成员如下：</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汗左拉·阿卜杜</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任评价组组长，绩效评价工作职责为负责全盘工作。</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布阿衣夏木·艾则孜</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任评价组副组长，绩效评价工作职责为为对项目实施情况进行实地调查。</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阿里米古丽·艾山</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任评价组成员，绩效评价工作职责为负责资料审核、填报等工作。</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通过与相关成员前期沟通，明确评价目标、识别重要评价事项和履行的评价责任。制定文件清单，了解项目基本情况，确认部门整体的绩效指标，梳理部门内部管理制度，确定当年整体绩效评价重点。</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2.组织实施</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（二）专项管理情况分析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1.项目资金情况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该项目预算资金0万元，实际到位0万元，实际支出0万元。到位足额及时，预算编制依据充分，预算编制准确，资金不存在截留、挪用，支付审批合规、不存在用途改变、范围超支和虚列项目支出等情况；本项目严格按照《阿克陶县皮拉勒乡恰瓦克卫生院财务管理制度》执行项目资金，实行专账核算、逐级审批。认真落实项目资金的使用各项管理制度，确保专款专用，及时拨付到位。</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2.项目实施情况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项目组织情况：</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项目管理情况：</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根据《项目绩效管理办法》及单位相关项目管理制度的规定，对项目的实施进行监督管理。建立健全项目后续各项监督管理制度，确保项目正常运转，长期发挥效益。</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项目监管情况：</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不定期对项目进度和质量等进行监督检查，并且组织开展多种形式的监督检查，以加强日常监管为主，自查、随机抽查、专项检查等方式进行。对检查中发现的问题，及时纠正。</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3.项目绩效情况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成本控制情况：</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严格按照相关的专项资金管理办法，实行多重审批控制专项经费的支出。</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成本节约情况：</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项目根据实际情况做出合理预算，支出严格控制在预算范围内，本着节约成本，防止资源浪费的原则将项目成效最大化。</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4.项目效率性</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项目实施进度：</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项目实施紧扣各个环节，逐步推进，及时与职能部门跟踪项目进展，加强项目督办，充分调动职能部门的积极性，加大项目投入工作的力度，加快项目实施进度。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项目完成质量：</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项目严格按照年度预期目标执行，项目完成质量达标。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5.项目效益性</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预期目标完成程度：</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按预定目标完成了年初所设定的各项指标。专项经费实际支出未超出预算规定，保障了专项工作的开展。</w:t>
      </w:r>
    </w:p>
    <w:p>
      <w:pPr>
        <w:pStyle w:val="11"/>
        <w:keepNext w:val="0"/>
        <w:keepLines w:val="0"/>
        <w:pageBreakBefore w:val="0"/>
        <w:widowControl w:val="0"/>
        <w:kinsoku/>
        <w:wordWrap/>
        <w:overflowPunct/>
        <w:topLinePunct w:val="0"/>
        <w:autoSpaceDE/>
        <w:autoSpaceDN/>
        <w:bidi w:val="0"/>
        <w:adjustRightInd/>
        <w:snapToGrid w:val="0"/>
        <w:spacing w:line="540" w:lineRule="exact"/>
        <w:ind w:left="319" w:leftChars="152" w:firstLine="313" w:firstLineChars="100"/>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项目实施对效益的影响：</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项目的实施有效提升了培训人员的爱国主义意识，持续保障了培训工作的顺利开展。</w:t>
      </w:r>
    </w:p>
    <w:p>
      <w:pPr>
        <w:pStyle w:val="11"/>
        <w:keepNext w:val="0"/>
        <w:keepLines w:val="0"/>
        <w:pageBreakBefore w:val="0"/>
        <w:widowControl w:val="0"/>
        <w:numPr>
          <w:ilvl w:val="0"/>
          <w:numId w:val="3"/>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bookmarkStart w:id="4" w:name="_Toc27846_WPSOffice_Level1"/>
      <w:r>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资产管理情况</w:t>
      </w:r>
      <w:bookmarkEnd w:id="4"/>
    </w:p>
    <w:p>
      <w:pPr>
        <w:pStyle w:val="11"/>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eastAsia="zh-CN"/>
          <w14:textFill>
            <w14:solidFill>
              <w14:schemeClr w14:val="tx1"/>
            </w14:solidFill>
          </w14:textFill>
        </w:rPr>
        <w:t>（</w:t>
      </w: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一）资产管理规范性</w:t>
      </w:r>
    </w:p>
    <w:p>
      <w:pPr>
        <w:pStyle w:val="11"/>
        <w:snapToGrid w:val="0"/>
        <w:spacing w:line="540" w:lineRule="exact"/>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我单位202</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年资产合计数为</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1348.32</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万元，比上年增加</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712.6</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万元，主要原因是上级部门拨付有新冠肺炎疫苗补助，货币资金增加，其中：货币资金</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171.09</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万元，比上年增加</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65.2</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万元；财政应返还额度</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万元，比上年相比无变化；房</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屋</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118.5</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平方米</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160.76</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万元，比上年相比无变化；车辆</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7</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辆</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66.76</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元，与上年相比无变化；在建工程</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万元，与上年持平；办公设备及家具</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万元，与上年相比无变化。我单位本年无资产处置情况，资产配置合理，使用规范，安全完整。</w:t>
      </w:r>
    </w:p>
    <w:p>
      <w:pPr>
        <w:pStyle w:val="11"/>
        <w:numPr>
          <w:ilvl w:val="0"/>
          <w:numId w:val="0"/>
        </w:numPr>
        <w:snapToGrid w:val="0"/>
        <w:spacing w:line="540" w:lineRule="exact"/>
        <w:ind w:firstLine="640" w:firstLineChars="200"/>
        <w:rPr>
          <w:rFonts w:hint="eastAsia" w:ascii="仿宋_GB2312" w:hAnsi="仿宋_GB2312" w:eastAsia="仿宋_GB2312" w:cs="仿宋_GB2312"/>
          <w:bCs/>
          <w:color w:val="000000" w:themeColor="text1"/>
          <w:sz w:val="32"/>
          <w:szCs w:val="32"/>
          <w:lang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资产管理情况。</w:t>
      </w:r>
    </w:p>
    <w:p>
      <w:pPr>
        <w:pStyle w:val="11"/>
        <w:numPr>
          <w:ilvl w:val="0"/>
          <w:numId w:val="0"/>
        </w:numPr>
        <w:snapToGrid w:val="0"/>
        <w:spacing w:line="540" w:lineRule="exact"/>
        <w:ind w:firstLine="640" w:firstLineChars="200"/>
        <w:rPr>
          <w:rFonts w:hint="eastAsia" w:ascii="仿宋_GB2312" w:hAnsi="仿宋_GB2312" w:eastAsia="仿宋_GB2312" w:cs="仿宋_GB2312"/>
          <w:bCs/>
          <w:color w:val="000000" w:themeColor="text1"/>
          <w:sz w:val="32"/>
          <w:szCs w:val="32"/>
          <w:lang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1"/>
        <w:snapToGrid w:val="0"/>
        <w:spacing w:line="540" w:lineRule="exact"/>
        <w:rPr>
          <w:rFonts w:hint="eastAsia" w:ascii="仿宋_GB2312" w:hAnsi="仿宋_GB2312" w:eastAsia="仿宋_GB2312" w:cs="仿宋_GB2312"/>
          <w:bCs/>
          <w:color w:val="000000" w:themeColor="text1"/>
          <w:sz w:val="32"/>
          <w:szCs w:val="32"/>
          <w:lang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固定资产利用情况。</w:t>
      </w:r>
    </w:p>
    <w:p>
      <w:pPr>
        <w:pStyle w:val="11"/>
        <w:snapToGrid w:val="0"/>
        <w:spacing w:line="540" w:lineRule="exact"/>
        <w:rPr>
          <w:rFonts w:hint="eastAsia" w:ascii="仿宋_GB2312" w:hAnsi="仿宋_GB2312" w:eastAsia="仿宋_GB2312" w:cs="仿宋_GB2312"/>
          <w:bCs/>
          <w:color w:val="000000" w:themeColor="text1"/>
          <w:sz w:val="32"/>
          <w:szCs w:val="32"/>
          <w:lang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我单位固定资产</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1001.06</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万元,其中:</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套房屋</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160.76</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7</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辆车</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66.76</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19</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个专用设备</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1.4</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个办公设备</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万元。目前正在使用的固定资产总额</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1001.06</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万元，固定资产利用率为</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w:t>
      </w:r>
    </w:p>
    <w:p>
      <w:pPr>
        <w:pStyle w:val="11"/>
        <w:snapToGrid w:val="0"/>
        <w:spacing w:line="540" w:lineRule="exact"/>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3.</w:t>
      </w: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流动资产管理情况。</w:t>
      </w:r>
    </w:p>
    <w:p>
      <w:pPr>
        <w:pStyle w:val="11"/>
        <w:snapToGrid w:val="0"/>
        <w:spacing w:line="540" w:lineRule="exact"/>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1"/>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eastAsia="zh-CN"/>
          <w14:textFill>
            <w14:solidFill>
              <w14:schemeClr w14:val="tx1"/>
            </w14:solidFill>
          </w14:textFill>
        </w:rPr>
        <w:t>（</w:t>
      </w: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二）固定资产利用率</w:t>
      </w:r>
    </w:p>
    <w:p>
      <w:pPr>
        <w:pStyle w:val="11"/>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截止本年度固定资产账面净值621.65万元，年末实际在用固定资产621.65万元，固定资产利用率为100%。</w:t>
      </w:r>
    </w:p>
    <w:p>
      <w:pPr>
        <w:pStyle w:val="11"/>
        <w:keepNext w:val="0"/>
        <w:keepLines w:val="0"/>
        <w:pageBreakBefore w:val="0"/>
        <w:widowControl w:val="0"/>
        <w:numPr>
          <w:ilvl w:val="0"/>
          <w:numId w:val="3"/>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bookmarkStart w:id="5" w:name="_Toc13582_WPSOffice_Level1"/>
      <w:r>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部门单位整体支出绩效情况</w:t>
      </w:r>
      <w:bookmarkEnd w:id="5"/>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部门单位整体支出</w:t>
      </w:r>
      <w:r>
        <w:rPr>
          <w:rStyle w:val="10"/>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自评表，</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共设置一级指标3个，二级指标</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7</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个，三级指标</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14</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eastAsia="zh-CN"/>
          <w14:textFill>
            <w14:solidFill>
              <w14:schemeClr w14:val="tx1"/>
            </w14:solidFill>
          </w14:textFill>
        </w:rPr>
        <w:t>（</w:t>
      </w: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一）</w:t>
      </w:r>
      <w:r>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产出指标完成情况分析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1.产出</w:t>
      </w:r>
      <w:r>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数量</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保障人员人数指标，预期指标是大于等于</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34</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人，实际完成值是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34</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人，指标完成率是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药占比（%）指标，预期指标是大于等于</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43.17</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%，实际完成值是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43.17</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%，指标完成率是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每职工平均诊疗人数（人/次）指标，预期指标是大于等于</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373</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人，实际完成值是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373</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人，指标完成率是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数量指标共计</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3</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3</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个，达到预期目标，数量指标完成。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2.产出</w:t>
      </w:r>
      <w:r>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质量</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工资足额发放率（%）</w:t>
      </w: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指标，预期指标是等于</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%，实际完成值是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%，指标完成率是100%，达到质量提升及标准。</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绩效考核合格率（%）</w:t>
      </w: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指标，预期指标是等于</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99</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%，实际完成值是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%，指标完成率是100%，达到质量提升及标准</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质量指标共计</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达到质量提升及标准。</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质量指标完成。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3.产出进</w:t>
      </w:r>
      <w:r>
        <w:rPr>
          <w:rStyle w:val="10"/>
          <w:rFonts w:hint="eastAsia" w:ascii="仿宋_GB2312" w:hAnsi="仿宋_GB2312" w:eastAsia="仿宋_GB2312" w:cs="仿宋_GB2312"/>
          <w:b/>
          <w:bCs/>
          <w:i w:val="0"/>
          <w:iCs w:val="0"/>
          <w:color w:val="000000" w:themeColor="text1"/>
          <w:spacing w:val="-4"/>
          <w:sz w:val="32"/>
          <w:szCs w:val="32"/>
          <w:highlight w:val="none"/>
          <w14:textFill>
            <w14:solidFill>
              <w14:schemeClr w14:val="tx1"/>
            </w14:solidFill>
          </w14:textFill>
        </w:rPr>
        <w:t>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工资发放及时率（%）</w:t>
      </w: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指标，预期指标是等于100%，实际完成值是100%，指标完成率是100%，达到预期目标。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时效指标共计</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个，达达到预期目标，数量指标完成。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4.产出成本</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人员经费</w:t>
      </w:r>
      <w:r>
        <w:rPr>
          <w:rStyle w:val="10"/>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指标，预期指标是小于等于</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579.52</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万元，实际完成值是</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579.52</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万元，指标完成率是</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，达到</w:t>
      </w:r>
      <w:r>
        <w:rPr>
          <w:rStyle w:val="10"/>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成本控制及改善</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成本指标共计</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1</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1</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个，达到</w:t>
      </w:r>
      <w:r>
        <w:rPr>
          <w:rStyle w:val="10"/>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成本控制及改善</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目标，成本指标完成。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（二）效益指标完成情况分析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1.项目实施的经济效益分析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无。</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2.项目实施的社会效益分析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业务保障能力提升情况</w:t>
      </w: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指标，预期指标是有效提升，实际完成值是有效提升，指标完成率是100%，达到单位履职能力对社会带来的影响预期目标。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提升公共卫生服务水平</w:t>
      </w: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指标，预期指标是有效提升，实际完成值是有效提升，指标完成率是100%，达到单位履职能力对社会带来的影响预期目标。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“接受治疗的患者满意度（%）”</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指标，预期指标是有效提升，实际完成值是有效提升，指标完成率是98%，达到单位履职能力对社会带来的影响预期目标。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936" w:firstLineChars="300"/>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社会效益指标共计</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3</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3</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达到单位履职能力对社会带来的影响预期目标</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，社会效益指标完成。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3.项目实施的生态效益分析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无。</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4.项目实施的可持续影响分析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提高职工工作积极性指标，预期指标是持续保障，实际完成值是有效提高，指标完成率是100%，实现部门绩效长效机制建设，提高工作效率目标。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促进卫生事业可持续发展指标，预期指标是持续保障，实际完成值是有效促进，指标完成率是100%，实现部门绩效长效机制建设，提高工作效率目标。</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可持续影响</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指标共计</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2</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2</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个，达到预期目标，</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可持续影响</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（三）满意度指标完成情况分析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按计划完成项目实施，已做满意度调查抽样问卷，具体如下：</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受益职工满意度(%)指标，预期指标是大于等于98%，实际完成值是100%，指标完成率是100%，达到部门（单位）服务对象对部门履职效果的满意度。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受益患者满意度(%)指标，预期指标是大于等于96%，实际完成值是100%，指标完成率是100%，达到部门（单位）服务对象对部门履职效果的满意度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满意度指标共计</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2</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2</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达到部门（单位）服务对象对部门履职效果的满意度</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，服务对象满意度指标完成。</w:t>
      </w:r>
    </w:p>
    <w:p>
      <w:pPr>
        <w:pStyle w:val="11"/>
        <w:keepNext w:val="0"/>
        <w:keepLines w:val="0"/>
        <w:pageBreakBefore w:val="0"/>
        <w:widowControl w:val="0"/>
        <w:numPr>
          <w:ilvl w:val="0"/>
          <w:numId w:val="3"/>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bookmarkStart w:id="6" w:name="_Toc22800_WPSOffice_Level1"/>
      <w:r>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存在的主要问题</w:t>
      </w:r>
      <w:bookmarkEnd w:id="6"/>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0"/>
          <w:rFonts w:hint="eastAsia" w:ascii="仿宋_GB2312" w:hAnsi="仿宋_GB2312" w:eastAsia="仿宋_GB2312" w:cs="仿宋_GB2312"/>
          <w:b w:val="0"/>
          <w:bCs w:val="0"/>
          <w:color w:val="000000" w:themeColor="text1"/>
          <w:spacing w:val="-4"/>
          <w:kern w:val="2"/>
          <w:sz w:val="32"/>
          <w:szCs w:val="32"/>
          <w:highlight w:val="none"/>
          <w:lang w:val="en-US" w:eastAsia="zh-CN" w:bidi="ar-SA"/>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kern w:val="2"/>
          <w:sz w:val="32"/>
          <w:szCs w:val="32"/>
          <w:highlight w:val="none"/>
          <w:lang w:val="en-US" w:eastAsia="zh-CN" w:bidi="ar-SA"/>
          <w14:textFill>
            <w14:solidFill>
              <w14:schemeClr w14:val="tx1"/>
            </w14:solidFill>
          </w14:textFill>
        </w:rPr>
        <w:t>部分业务人员绩效管理意识有待增强，未能全面深入认识理解绩效管理工作的意义。绩效管理经验不足，预算绩效管理工作有待进一步落实。</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0"/>
          <w:rFonts w:hint="eastAsia" w:ascii="仿宋_GB2312" w:hAnsi="仿宋_GB2312" w:eastAsia="仿宋_GB2312" w:cs="仿宋_GB2312"/>
          <w:b w:val="0"/>
          <w:bCs w:val="0"/>
          <w:color w:val="000000" w:themeColor="text1"/>
          <w:spacing w:val="-4"/>
          <w:kern w:val="2"/>
          <w:sz w:val="32"/>
          <w:szCs w:val="32"/>
          <w:highlight w:val="none"/>
          <w:lang w:val="en-US" w:eastAsia="zh-CN" w:bidi="ar-SA"/>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kern w:val="2"/>
          <w:sz w:val="32"/>
          <w:szCs w:val="32"/>
          <w:highlight w:val="none"/>
          <w:lang w:val="en-US" w:eastAsia="zh-CN" w:bidi="ar-SA"/>
          <w14:textFill>
            <w14:solidFill>
              <w14:schemeClr w14:val="tx1"/>
            </w14:solidFill>
          </w14:textFill>
        </w:rPr>
        <w:t>绩效指标的明确性、可衡量性、相关性还需进一步提升。预算精细化管理还需完善，预算编制管理水平仍有进一步提升的空间。</w:t>
      </w:r>
    </w:p>
    <w:p>
      <w:pPr>
        <w:pStyle w:val="11"/>
        <w:keepNext w:val="0"/>
        <w:keepLines w:val="0"/>
        <w:pageBreakBefore w:val="0"/>
        <w:widowControl w:val="0"/>
        <w:numPr>
          <w:ilvl w:val="0"/>
          <w:numId w:val="3"/>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bookmarkStart w:id="7" w:name="_Toc29546_WPSOffice_Level1"/>
      <w:r>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改进措施和建议</w:t>
      </w:r>
      <w:bookmarkEnd w:id="7"/>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（一）改进措施</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加大绩效工作宣传力度，强化绩效理念。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完善绩效指标，提高整体绩效目标质量。提升预算精细化管理水平。</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继续完善预算绩效管理相关工作制度，建立全过程预算绩效管理链条，有效贯彻落实全面实施绩效管理的精神。</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二）建议</w:t>
      </w:r>
    </w:p>
    <w:p>
      <w:pPr>
        <w:pStyle w:val="16"/>
        <w:snapToGrid w:val="0"/>
        <w:spacing w:line="540" w:lineRule="exact"/>
        <w:ind w:firstLine="624"/>
        <w:rPr>
          <w:rStyle w:val="10"/>
          <w:rFonts w:ascii="仿宋_GB2312" w:hAnsi="仿宋_GB2312" w:eastAsia="仿宋_GB2312" w:cs="仿宋_GB2312"/>
          <w:b w:val="0"/>
          <w:bCs w:val="0"/>
          <w:color w:val="auto"/>
          <w:spacing w:val="-4"/>
          <w:sz w:val="32"/>
          <w:szCs w:val="32"/>
        </w:rPr>
      </w:pPr>
      <w:r>
        <w:rPr>
          <w:rStyle w:val="10"/>
          <w:rFonts w:hint="eastAsia" w:ascii="仿宋_GB2312" w:hAnsi="仿宋_GB2312" w:eastAsia="仿宋_GB2312" w:cs="仿宋_GB2312"/>
          <w:b w:val="0"/>
          <w:bCs w:val="0"/>
          <w:color w:val="auto"/>
          <w:spacing w:val="-4"/>
          <w:sz w:val="32"/>
          <w:szCs w:val="32"/>
        </w:rPr>
        <w:t>规范单位整体支出管理资料的收集整理，确保相关信息完整、可靠，客观公正地反映项目资金实际使用和产生的绩效状况，为今后该项目实施方向及管理方式的改进提供指导。</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加强预算绩效目标管理工作。明确预算项目绩效目标编制要求，分类别建立科学合理、细化量化、可比可测预算绩效指标体系，突出结果导向，重点考核实绩。</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借助第三方专业机构力量，贯彻落实全面预算绩效管理工作，建立全过程预算绩效管理链条，将绩效各个环节紧密贯通。</w:t>
      </w:r>
    </w:p>
    <w:p>
      <w:pPr>
        <w:snapToGrid w:val="0"/>
        <w:spacing w:line="540" w:lineRule="exact"/>
        <w:rPr>
          <w:rStyle w:val="10"/>
          <w:rFonts w:hint="eastAsia" w:ascii="仿宋_GB2312" w:hAnsi="仿宋_GB2312" w:eastAsia="仿宋_GB2312" w:cs="仿宋_GB2312"/>
          <w:b w:val="0"/>
          <w:color w:val="000000" w:themeColor="text1"/>
          <w:spacing w:val="-4"/>
          <w:sz w:val="32"/>
          <w:szCs w:val="32"/>
          <w:highlight w:val="none"/>
          <w14:textFill>
            <w14:solidFill>
              <w14:schemeClr w14:val="tx1"/>
            </w14:solidFill>
          </w14:textFill>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2010601030101010101"/>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F83438"/>
    <w:multiLevelType w:val="singleLevel"/>
    <w:tmpl w:val="1DF83438"/>
    <w:lvl w:ilvl="0" w:tentative="0">
      <w:start w:val="2"/>
      <w:numFmt w:val="decimal"/>
      <w:lvlText w:val="%1."/>
      <w:lvlJc w:val="left"/>
      <w:pPr>
        <w:tabs>
          <w:tab w:val="left" w:pos="312"/>
        </w:tabs>
      </w:pPr>
    </w:lvl>
  </w:abstractNum>
  <w:abstractNum w:abstractNumId="1">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84215"/>
    <w:rsid w:val="00FC61FF"/>
    <w:rsid w:val="00FF2ACD"/>
    <w:rsid w:val="012008EE"/>
    <w:rsid w:val="013931E4"/>
    <w:rsid w:val="01CC583F"/>
    <w:rsid w:val="04FF0482"/>
    <w:rsid w:val="05062887"/>
    <w:rsid w:val="058552E6"/>
    <w:rsid w:val="05F70F85"/>
    <w:rsid w:val="084208C4"/>
    <w:rsid w:val="08C850EA"/>
    <w:rsid w:val="098A3C0A"/>
    <w:rsid w:val="0A002B68"/>
    <w:rsid w:val="0A9A7091"/>
    <w:rsid w:val="10FE60D7"/>
    <w:rsid w:val="175D58E3"/>
    <w:rsid w:val="18061B60"/>
    <w:rsid w:val="18F56002"/>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2FAF0F27"/>
    <w:rsid w:val="31B83F5F"/>
    <w:rsid w:val="328E2AB6"/>
    <w:rsid w:val="329B12EA"/>
    <w:rsid w:val="33A83F87"/>
    <w:rsid w:val="35377D8A"/>
    <w:rsid w:val="355C2B3F"/>
    <w:rsid w:val="35F12468"/>
    <w:rsid w:val="36851B5C"/>
    <w:rsid w:val="37D360CA"/>
    <w:rsid w:val="38CB5066"/>
    <w:rsid w:val="3AAE414F"/>
    <w:rsid w:val="3F301058"/>
    <w:rsid w:val="40B45B95"/>
    <w:rsid w:val="417A34F9"/>
    <w:rsid w:val="418810F4"/>
    <w:rsid w:val="41A37673"/>
    <w:rsid w:val="42C30950"/>
    <w:rsid w:val="45A65C7F"/>
    <w:rsid w:val="468C2A4A"/>
    <w:rsid w:val="46AD2493"/>
    <w:rsid w:val="46EC7F14"/>
    <w:rsid w:val="48AF4C7F"/>
    <w:rsid w:val="4A81677A"/>
    <w:rsid w:val="4DA177B2"/>
    <w:rsid w:val="4DF36D4F"/>
    <w:rsid w:val="501B7C76"/>
    <w:rsid w:val="504D5CCF"/>
    <w:rsid w:val="509A5C1D"/>
    <w:rsid w:val="5329054B"/>
    <w:rsid w:val="533A7469"/>
    <w:rsid w:val="53526129"/>
    <w:rsid w:val="55F758AF"/>
    <w:rsid w:val="565F61A9"/>
    <w:rsid w:val="57232FC4"/>
    <w:rsid w:val="572D2326"/>
    <w:rsid w:val="57365691"/>
    <w:rsid w:val="590D04C3"/>
    <w:rsid w:val="59EE1E48"/>
    <w:rsid w:val="5A2C1211"/>
    <w:rsid w:val="5A490F5C"/>
    <w:rsid w:val="5BD21464"/>
    <w:rsid w:val="5BDE2B83"/>
    <w:rsid w:val="5E4C2F00"/>
    <w:rsid w:val="5F5278EF"/>
    <w:rsid w:val="61635F72"/>
    <w:rsid w:val="618606C5"/>
    <w:rsid w:val="61DD3E1F"/>
    <w:rsid w:val="63E114D3"/>
    <w:rsid w:val="6AD46D46"/>
    <w:rsid w:val="6DE07909"/>
    <w:rsid w:val="6E58438A"/>
    <w:rsid w:val="6E9D5508"/>
    <w:rsid w:val="71EB22B3"/>
    <w:rsid w:val="72010FA6"/>
    <w:rsid w:val="748A4F72"/>
    <w:rsid w:val="75664078"/>
    <w:rsid w:val="761E4132"/>
    <w:rsid w:val="78061A79"/>
    <w:rsid w:val="7BC003CA"/>
    <w:rsid w:val="7CBF4BB4"/>
    <w:rsid w:val="7E5D346D"/>
    <w:rsid w:val="7FDB1E88"/>
    <w:rsid w:val="FFDF92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0"/>
    <w:pPr>
      <w:spacing w:before="240" w:after="240" w:line="360" w:lineRule="auto"/>
      <w:jc w:val="center"/>
    </w:pPr>
    <w:rPr>
      <w:b/>
      <w:sz w:val="44"/>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bCs/>
    </w:rPr>
  </w:style>
  <w:style w:type="paragraph" w:customStyle="1" w:styleId="11">
    <w:name w:val="List Paragraph"/>
    <w:basedOn w:val="1"/>
    <w:unhideWhenUsed/>
    <w:qFormat/>
    <w:uiPriority w:val="99"/>
    <w:pPr>
      <w:ind w:firstLine="420" w:firstLineChars="200"/>
    </w:pPr>
  </w:style>
  <w:style w:type="character" w:customStyle="1" w:styleId="12">
    <w:name w:val="页脚 字符"/>
    <w:basedOn w:val="9"/>
    <w:link w:val="5"/>
    <w:qFormat/>
    <w:uiPriority w:val="99"/>
    <w:rPr>
      <w:sz w:val="18"/>
      <w:szCs w:val="18"/>
    </w:rPr>
  </w:style>
  <w:style w:type="character" w:customStyle="1" w:styleId="13">
    <w:name w:val="页眉 字符"/>
    <w:basedOn w:val="9"/>
    <w:link w:val="6"/>
    <w:qFormat/>
    <w:uiPriority w:val="99"/>
    <w:rPr>
      <w:sz w:val="18"/>
      <w:szCs w:val="18"/>
    </w:rPr>
  </w:style>
  <w:style w:type="paragraph" w:customStyle="1" w:styleId="14">
    <w:name w:val="WPSOffice手动目录 1"/>
    <w:qFormat/>
    <w:uiPriority w:val="0"/>
    <w:pPr>
      <w:ind w:leftChars="0"/>
    </w:pPr>
    <w:rPr>
      <w:rFonts w:asciiTheme="minorHAnsi" w:hAnsiTheme="minorHAnsi" w:eastAsiaTheme="minorEastAsia" w:cstheme="minorBidi"/>
      <w:sz w:val="20"/>
      <w:szCs w:val="20"/>
    </w:rPr>
  </w:style>
  <w:style w:type="paragraph" w:customStyle="1" w:styleId="15">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6">
    <w:name w:val="列表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Users\apple\Library\Containers\com.kingsoft.wpsoffice.mac\Data\E:\2021&#23731;&#26222;&#28246;&#36130;&#25919;&#32489;&#25928;&#35780;&#20215;\2021&#24180;&#39033;&#30446;&#25972;&#20307;&#25253;&#21578;\&#25972;&#20307;&#33258;&#35780;&#25253;&#21578;&#23548;&#20986;.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整体自评报告导出.dotx</Template>
  <Company>市直单位</Company>
  <Pages>13</Pages>
  <Words>5243</Words>
  <Characters>5551</Characters>
  <Lines>7</Lines>
  <Paragraphs>2</Paragraphs>
  <TotalTime>6</TotalTime>
  <ScaleCrop>false</ScaleCrop>
  <LinksUpToDate>false</LinksUpToDate>
  <CharactersWithSpaces>5563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JeremyGrande</cp:lastModifiedBy>
  <dcterms:modified xsi:type="dcterms:W3CDTF">2022-03-28T11:58:28Z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0603153C6F2B4B0BA5F4D4974FD53E28</vt:lpwstr>
  </property>
</Properties>
</file>