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napToGrid w:val="0"/>
        <w:spacing w:line="480" w:lineRule="auto"/>
        <w:jc w:val="left"/>
        <w:rPr>
          <w:rFonts w:ascii="仿宋_GB2312" w:hAnsi="仿宋_GB2312" w:eastAsia="仿宋_GB2312" w:cs="仿宋_GB2312"/>
          <w:color w:val="333333"/>
          <w:sz w:val="32"/>
          <w:szCs w:val="32"/>
          <w:lang w:bidi="ar"/>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rPr>
          <w:rFonts w:ascii="仿宋_GB2312" w:hAnsi="仿宋_GB2312" w:eastAsia="仿宋_GB2312" w:cs="仿宋_GB2312"/>
          <w:b/>
          <w:kern w:val="0"/>
          <w:sz w:val="32"/>
          <w:szCs w:val="32"/>
        </w:rPr>
      </w:pP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阿克陶县阿克陶镇学校整体支出绩效</w:t>
      </w:r>
    </w:p>
    <w:p>
      <w:pPr>
        <w:spacing w:line="540" w:lineRule="exact"/>
        <w:jc w:val="center"/>
        <w:outlineLvl w:val="0"/>
        <w:rPr>
          <w:rFonts w:ascii="方正小标宋简体" w:hAnsi="方正小标宋简体" w:eastAsia="方正小标宋简体" w:cs="方正小标宋简体"/>
          <w:b/>
          <w:kern w:val="0"/>
          <w:sz w:val="44"/>
          <w:szCs w:val="44"/>
        </w:rPr>
      </w:pPr>
      <w:r>
        <w:rPr>
          <w:rFonts w:hint="eastAsia" w:ascii="方正小标宋简体" w:hAnsi="方正小标宋简体" w:eastAsia="方正小标宋简体" w:cs="方正小标宋简体"/>
          <w:b/>
          <w:kern w:val="0"/>
          <w:sz w:val="44"/>
          <w:szCs w:val="44"/>
        </w:rPr>
        <w:t>自评报告</w:t>
      </w:r>
    </w:p>
    <w:p>
      <w:pPr>
        <w:spacing w:line="540" w:lineRule="exact"/>
        <w:jc w:val="center"/>
        <w:rPr>
          <w:rFonts w:ascii="仿宋_GB2312" w:hAnsi="仿宋_GB2312" w:eastAsia="仿宋_GB2312" w:cs="仿宋_GB2312"/>
          <w:b/>
          <w:kern w:val="0"/>
          <w:sz w:val="32"/>
          <w:szCs w:val="32"/>
        </w:rPr>
      </w:pPr>
    </w:p>
    <w:p>
      <w:pPr>
        <w:spacing w:line="540"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2021  年度）</w:t>
      </w: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jc w:val="center"/>
        <w:rPr>
          <w:rFonts w:ascii="仿宋_GB2312" w:hAnsi="仿宋_GB2312" w:eastAsia="仿宋_GB2312" w:cs="仿宋_GB2312"/>
          <w:kern w:val="0"/>
          <w:sz w:val="32"/>
          <w:szCs w:val="32"/>
        </w:rPr>
      </w:pPr>
    </w:p>
    <w:p>
      <w:pPr>
        <w:spacing w:line="540" w:lineRule="exact"/>
        <w:rPr>
          <w:rFonts w:ascii="仿宋_GB2312" w:hAnsi="仿宋_GB2312" w:eastAsia="仿宋_GB2312" w:cs="仿宋_GB2312"/>
          <w:kern w:val="0"/>
          <w:sz w:val="32"/>
          <w:szCs w:val="32"/>
        </w:rPr>
      </w:pPr>
    </w:p>
    <w:p>
      <w:pPr>
        <w:spacing w:line="70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部门单位名称（公章）：阿克陶县阿克陶镇学校</w:t>
      </w:r>
    </w:p>
    <w:p>
      <w:pPr>
        <w:spacing w:line="700"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填报时间：2022年3月29日</w:t>
      </w:r>
    </w:p>
    <w:p>
      <w:pPr>
        <w:pStyle w:val="2"/>
        <w:rPr>
          <w:rFonts w:ascii="仿宋_GB2312" w:hAnsi="仿宋_GB2312" w:eastAsia="仿宋_GB2312" w:cs="仿宋_GB2312"/>
          <w:kern w:val="0"/>
        </w:rPr>
      </w:pPr>
    </w:p>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0" w:name="_Toc23945_WPSOffice_Level1"/>
      <w:r>
        <w:rPr>
          <w:rFonts w:hint="eastAsia" w:ascii="仿宋_GB2312" w:hAnsi="仿宋_GB2312" w:eastAsia="仿宋_GB2312" w:cs="仿宋_GB2312"/>
          <w:b/>
          <w:color w:val="333333"/>
          <w:sz w:val="32"/>
          <w:szCs w:val="32"/>
          <w:lang w:bidi="ar"/>
        </w:rPr>
        <w:t>基本概况</w:t>
      </w:r>
      <w:bookmarkEnd w:id="0"/>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（一）单位基本情况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1.部门主要职能</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Fonts w:hint="eastAsia" w:ascii="仿宋_GB2312" w:hAnsi="宋体" w:eastAsia="仿宋_GB2312" w:cs="宋体"/>
          <w:kern w:val="0"/>
          <w:sz w:val="32"/>
          <w:szCs w:val="32"/>
        </w:rPr>
        <w:t>宣传贯彻执行党和国家的教育方针、教育政策、教育法律和法规,贯彻执行上级教育行政部门的各项规章制度，教育目标和计划能够体现全面发展的培养目标，并做到层层分解，落实于各项活动之中。认真贯彻德智体美全面发展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中学生教育，再注重教学的同时紧抓德育教育。</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2.部门机构设置及人员构成</w:t>
      </w:r>
    </w:p>
    <w:p>
      <w:pPr>
        <w:widowControl/>
        <w:spacing w:line="560" w:lineRule="exact"/>
        <w:ind w:firstLine="640" w:firstLineChars="20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阿克陶县阿克陶镇学校无下属预算单位，下设</w:t>
      </w:r>
      <w:r>
        <w:rPr>
          <w:rFonts w:hint="eastAsia" w:ascii="仿宋_GB2312" w:hAnsi="黑体" w:eastAsia="仿宋_GB2312" w:cs="宋体"/>
          <w:bCs/>
          <w:kern w:val="0"/>
          <w:sz w:val="32"/>
          <w:szCs w:val="32"/>
          <w:lang w:val="en-US" w:eastAsia="zh-CN"/>
        </w:rPr>
        <w:t>21</w:t>
      </w:r>
      <w:r>
        <w:rPr>
          <w:rFonts w:hint="eastAsia" w:ascii="仿宋_GB2312" w:hAnsi="黑体" w:eastAsia="仿宋_GB2312" w:cs="宋体"/>
          <w:bCs/>
          <w:kern w:val="0"/>
          <w:sz w:val="32"/>
          <w:szCs w:val="32"/>
        </w:rPr>
        <w:t>个处室，分别是：</w:t>
      </w:r>
      <w:r>
        <w:rPr>
          <w:rFonts w:hint="eastAsia" w:ascii="仿宋_GB2312" w:hAnsi="宋体" w:eastAsia="仿宋_GB2312" w:cs="宋体"/>
          <w:kern w:val="0"/>
          <w:sz w:val="32"/>
          <w:szCs w:val="32"/>
        </w:rPr>
        <w:t>书记</w:t>
      </w:r>
      <w:r>
        <w:rPr>
          <w:rFonts w:hint="eastAsia" w:ascii="仿宋_GB2312" w:hAnsi="宋体" w:eastAsia="仿宋_GB2312" w:cs="宋体"/>
          <w:kern w:val="0"/>
          <w:sz w:val="32"/>
          <w:szCs w:val="32"/>
          <w:lang w:val="en-US" w:eastAsia="zh-CN"/>
        </w:rPr>
        <w:t>、</w:t>
      </w:r>
      <w:r>
        <w:rPr>
          <w:rFonts w:hint="eastAsia" w:ascii="仿宋_GB2312" w:hAnsi="宋体" w:eastAsia="仿宋_GB2312" w:cs="宋体"/>
          <w:kern w:val="0"/>
          <w:sz w:val="32"/>
          <w:szCs w:val="32"/>
        </w:rPr>
        <w:t>校长办公室，</w:t>
      </w:r>
      <w:r>
        <w:rPr>
          <w:rFonts w:hint="eastAsia" w:ascii="仿宋_GB2312" w:hAnsi="宋体" w:eastAsia="仿宋_GB2312" w:cs="宋体"/>
          <w:kern w:val="0"/>
          <w:sz w:val="32"/>
          <w:szCs w:val="32"/>
          <w:lang w:val="en-US" w:eastAsia="zh-CN"/>
        </w:rPr>
        <w:t>副书记、</w:t>
      </w:r>
      <w:r>
        <w:rPr>
          <w:rFonts w:hint="eastAsia" w:ascii="仿宋_GB2312" w:hAnsi="宋体" w:eastAsia="仿宋_GB2312" w:cs="宋体"/>
          <w:kern w:val="0"/>
          <w:sz w:val="32"/>
          <w:szCs w:val="32"/>
        </w:rPr>
        <w:t>副校长办公室，教务处，德育处，</w:t>
      </w:r>
      <w:r>
        <w:rPr>
          <w:rFonts w:hint="eastAsia" w:ascii="仿宋_GB2312" w:hAnsi="宋体" w:eastAsia="仿宋_GB2312" w:cs="宋体"/>
          <w:kern w:val="0"/>
          <w:sz w:val="32"/>
          <w:szCs w:val="32"/>
          <w:lang w:val="en-US" w:eastAsia="zh-CN"/>
        </w:rPr>
        <w:t>教研室，财务室，</w:t>
      </w:r>
      <w:r>
        <w:rPr>
          <w:rFonts w:hint="eastAsia" w:ascii="仿宋_GB2312" w:hAnsi="宋体" w:eastAsia="仿宋_GB2312" w:cs="宋体"/>
          <w:kern w:val="0"/>
          <w:sz w:val="32"/>
          <w:szCs w:val="32"/>
        </w:rPr>
        <w:t>教师办公室</w:t>
      </w:r>
      <w:r>
        <w:rPr>
          <w:rFonts w:hint="eastAsia" w:ascii="仿宋_GB2312" w:hAnsi="宋体" w:eastAsia="仿宋_GB2312" w:cs="宋体"/>
          <w:kern w:val="0"/>
          <w:sz w:val="32"/>
          <w:szCs w:val="32"/>
          <w:lang w:val="en-US" w:eastAsia="zh-CN"/>
        </w:rPr>
        <w:t>9</w:t>
      </w:r>
      <w:r>
        <w:rPr>
          <w:rFonts w:hint="eastAsia" w:ascii="仿宋_GB2312" w:hAnsi="宋体" w:eastAsia="仿宋_GB2312" w:cs="宋体"/>
          <w:kern w:val="0"/>
          <w:sz w:val="32"/>
          <w:szCs w:val="32"/>
        </w:rPr>
        <w:t>个，</w:t>
      </w:r>
      <w:r>
        <w:rPr>
          <w:rFonts w:hint="eastAsia" w:ascii="仿宋_GB2312" w:hAnsi="宋体" w:eastAsia="仿宋_GB2312" w:cs="宋体"/>
          <w:kern w:val="0"/>
          <w:sz w:val="32"/>
          <w:szCs w:val="32"/>
          <w:lang w:val="en-US" w:eastAsia="zh-CN"/>
        </w:rPr>
        <w:t>会议室2个，</w:t>
      </w:r>
      <w:r>
        <w:rPr>
          <w:rFonts w:hint="eastAsia" w:ascii="仿宋_GB2312" w:hAnsi="宋体" w:eastAsia="仿宋_GB2312" w:cs="宋体"/>
          <w:kern w:val="0"/>
          <w:sz w:val="32"/>
          <w:szCs w:val="32"/>
        </w:rPr>
        <w:t>体育室，保健室，心理咨询室，党员活动室。</w:t>
      </w:r>
    </w:p>
    <w:p>
      <w:pPr>
        <w:widowControl/>
        <w:spacing w:line="560" w:lineRule="exact"/>
        <w:ind w:firstLine="640"/>
        <w:jc w:val="left"/>
        <w:rPr>
          <w:rFonts w:ascii="仿宋_GB2312" w:hAnsi="宋体" w:eastAsia="仿宋_GB2312" w:cs="宋体"/>
          <w:kern w:val="0"/>
          <w:sz w:val="32"/>
          <w:szCs w:val="32"/>
        </w:rPr>
      </w:pPr>
      <w:r>
        <w:rPr>
          <w:rFonts w:hint="eastAsia" w:ascii="仿宋_GB2312" w:hAnsi="黑体" w:eastAsia="仿宋_GB2312" w:cs="宋体"/>
          <w:bCs/>
          <w:kern w:val="0"/>
          <w:sz w:val="32"/>
          <w:szCs w:val="32"/>
        </w:rPr>
        <w:t>阿克陶县阿克陶镇学校</w:t>
      </w:r>
      <w:r>
        <w:rPr>
          <w:rFonts w:hint="eastAsia" w:ascii="仿宋_GB2312" w:hAnsi="宋体" w:eastAsia="仿宋_GB2312" w:cs="宋体"/>
          <w:kern w:val="0"/>
          <w:sz w:val="32"/>
          <w:szCs w:val="32"/>
        </w:rPr>
        <w:t>编制数</w:t>
      </w:r>
      <w:r>
        <w:rPr>
          <w:rFonts w:hint="eastAsia" w:ascii="仿宋_GB2312" w:hAnsi="宋体" w:eastAsia="仿宋_GB2312" w:cs="宋体"/>
          <w:kern w:val="0"/>
          <w:sz w:val="32"/>
          <w:szCs w:val="32"/>
          <w:lang w:val="en-US" w:eastAsia="zh-CN"/>
        </w:rPr>
        <w:t>94</w:t>
      </w:r>
      <w:r>
        <w:rPr>
          <w:rFonts w:hint="eastAsia" w:ascii="仿宋_GB2312" w:hAnsi="宋体" w:eastAsia="仿宋_GB2312" w:cs="宋体"/>
          <w:kern w:val="0"/>
          <w:sz w:val="32"/>
          <w:szCs w:val="32"/>
        </w:rPr>
        <w:t>，实有人数</w:t>
      </w:r>
      <w:r>
        <w:rPr>
          <w:rFonts w:hint="eastAsia" w:ascii="仿宋_GB2312" w:hAnsi="宋体" w:eastAsia="仿宋_GB2312" w:cs="宋体"/>
          <w:kern w:val="0"/>
          <w:sz w:val="32"/>
          <w:szCs w:val="32"/>
          <w:lang w:val="en-US" w:eastAsia="zh-CN"/>
        </w:rPr>
        <w:t>206</w:t>
      </w:r>
      <w:r>
        <w:rPr>
          <w:rFonts w:hint="eastAsia" w:ascii="仿宋_GB2312" w:hAnsi="宋体" w:eastAsia="仿宋_GB2312" w:cs="宋体"/>
          <w:kern w:val="0"/>
          <w:sz w:val="32"/>
          <w:szCs w:val="32"/>
        </w:rPr>
        <w:t>人，其中：在职</w:t>
      </w:r>
      <w:r>
        <w:rPr>
          <w:rFonts w:hint="eastAsia" w:ascii="仿宋_GB2312" w:hAnsi="宋体" w:eastAsia="仿宋_GB2312" w:cs="宋体"/>
          <w:kern w:val="0"/>
          <w:sz w:val="32"/>
          <w:szCs w:val="32"/>
          <w:lang w:val="en-US" w:eastAsia="zh-CN"/>
        </w:rPr>
        <w:t>185</w:t>
      </w:r>
      <w:r>
        <w:rPr>
          <w:rFonts w:hint="eastAsia" w:ascii="仿宋_GB2312" w:hAnsi="宋体" w:eastAsia="仿宋_GB2312" w:cs="宋体"/>
          <w:kern w:val="0"/>
          <w:sz w:val="32"/>
          <w:szCs w:val="32"/>
        </w:rPr>
        <w:t>人，增加</w:t>
      </w:r>
      <w:r>
        <w:rPr>
          <w:rFonts w:hint="eastAsia" w:ascii="仿宋_GB2312" w:hAnsi="宋体" w:eastAsia="仿宋_GB2312" w:cs="宋体"/>
          <w:kern w:val="0"/>
          <w:sz w:val="32"/>
          <w:szCs w:val="32"/>
          <w:lang w:val="en-US" w:eastAsia="zh-CN"/>
        </w:rPr>
        <w:t>0</w:t>
      </w:r>
      <w:r>
        <w:rPr>
          <w:rFonts w:hint="eastAsia" w:ascii="仿宋_GB2312" w:hAnsi="宋体" w:eastAsia="仿宋_GB2312" w:cs="宋体"/>
          <w:kern w:val="0"/>
          <w:sz w:val="32"/>
          <w:szCs w:val="32"/>
        </w:rPr>
        <w:t>人； 退休</w:t>
      </w:r>
      <w:r>
        <w:rPr>
          <w:rFonts w:hint="eastAsia" w:ascii="仿宋_GB2312" w:hAnsi="宋体" w:eastAsia="仿宋_GB2312" w:cs="宋体"/>
          <w:kern w:val="0"/>
          <w:sz w:val="32"/>
          <w:szCs w:val="32"/>
          <w:lang w:val="en-US" w:eastAsia="zh-CN"/>
        </w:rPr>
        <w:t>21</w:t>
      </w:r>
      <w:r>
        <w:rPr>
          <w:rFonts w:hint="eastAsia" w:ascii="仿宋_GB2312" w:hAnsi="宋体" w:eastAsia="仿宋_GB2312" w:cs="宋体"/>
          <w:kern w:val="0"/>
          <w:sz w:val="32"/>
          <w:szCs w:val="32"/>
        </w:rPr>
        <w:t>人，增加0人；离休0人，增加0人。</w:t>
      </w:r>
    </w:p>
    <w:p>
      <w:pPr>
        <w:ind w:firstLine="56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绩效监控领导小组：</w:t>
      </w:r>
      <w:r>
        <w:rPr>
          <w:rFonts w:hint="eastAsia" w:ascii="仿宋_GB2312" w:hAnsi="黑体" w:eastAsia="仿宋_GB2312" w:cs="宋体"/>
          <w:bCs/>
          <w:kern w:val="0"/>
          <w:sz w:val="32"/>
          <w:szCs w:val="32"/>
        </w:rPr>
        <w:t>阿克陶县阿克陶镇学校</w:t>
      </w:r>
      <w:r>
        <w:rPr>
          <w:rStyle w:val="10"/>
          <w:rFonts w:hint="eastAsia" w:ascii="仿宋_GB2312" w:hAnsi="仿宋_GB2312" w:eastAsia="仿宋_GB2312" w:cs="仿宋_GB2312"/>
          <w:b w:val="0"/>
          <w:sz w:val="32"/>
          <w:szCs w:val="32"/>
          <w:lang w:bidi="ar"/>
        </w:rPr>
        <w:t>书记</w:t>
      </w:r>
      <w:r>
        <w:rPr>
          <w:rStyle w:val="10"/>
          <w:rFonts w:hint="eastAsia" w:ascii="仿宋_GB2312" w:hAnsi="仿宋_GB2312" w:eastAsia="仿宋_GB2312" w:cs="仿宋_GB2312"/>
          <w:b w:val="0"/>
          <w:sz w:val="32"/>
          <w:szCs w:val="32"/>
          <w:lang w:val="en-US" w:eastAsia="zh-CN" w:bidi="ar"/>
        </w:rPr>
        <w:t>罗波</w:t>
      </w:r>
      <w:r>
        <w:rPr>
          <w:rStyle w:val="10"/>
          <w:rFonts w:hint="eastAsia" w:ascii="仿宋_GB2312" w:hAnsi="仿宋_GB2312" w:eastAsia="仿宋_GB2312" w:cs="仿宋_GB2312"/>
          <w:b w:val="0"/>
          <w:sz w:val="32"/>
          <w:szCs w:val="32"/>
          <w:lang w:bidi="ar"/>
        </w:rPr>
        <w:t>任学校绩效监控领导小组组长，</w:t>
      </w:r>
      <w:r>
        <w:rPr>
          <w:rStyle w:val="10"/>
          <w:rFonts w:hint="eastAsia" w:ascii="仿宋_GB2312" w:hAnsi="仿宋_GB2312" w:eastAsia="仿宋_GB2312" w:cs="仿宋_GB2312"/>
          <w:b w:val="0"/>
          <w:sz w:val="32"/>
          <w:szCs w:val="32"/>
          <w:lang w:val="en-US" w:eastAsia="zh-CN" w:bidi="ar"/>
        </w:rPr>
        <w:t>校</w:t>
      </w:r>
      <w:r>
        <w:rPr>
          <w:rStyle w:val="10"/>
          <w:rFonts w:hint="eastAsia" w:ascii="仿宋_GB2312" w:hAnsi="仿宋_GB2312" w:eastAsia="仿宋_GB2312" w:cs="仿宋_GB2312"/>
          <w:b w:val="0"/>
          <w:sz w:val="32"/>
          <w:szCs w:val="32"/>
          <w:lang w:bidi="ar"/>
        </w:rPr>
        <w:t>长</w:t>
      </w:r>
      <w:r>
        <w:rPr>
          <w:rStyle w:val="10"/>
          <w:rFonts w:hint="eastAsia" w:ascii="仿宋_GB2312" w:hAnsi="仿宋_GB2312" w:eastAsia="仿宋_GB2312" w:cs="仿宋_GB2312"/>
          <w:b w:val="0"/>
          <w:sz w:val="32"/>
          <w:szCs w:val="32"/>
          <w:lang w:val="en-US" w:eastAsia="zh-CN" w:bidi="ar"/>
        </w:rPr>
        <w:t>热艳古丽·热合曼</w:t>
      </w:r>
      <w:r>
        <w:rPr>
          <w:rStyle w:val="10"/>
          <w:rFonts w:hint="eastAsia" w:ascii="仿宋_GB2312" w:hAnsi="仿宋_GB2312" w:eastAsia="仿宋_GB2312" w:cs="仿宋_GB2312"/>
          <w:b w:val="0"/>
          <w:sz w:val="32"/>
          <w:szCs w:val="32"/>
          <w:lang w:bidi="ar"/>
        </w:rPr>
        <w:t>任副组长，成员包括副校长</w:t>
      </w:r>
      <w:r>
        <w:rPr>
          <w:rStyle w:val="10"/>
          <w:rFonts w:hint="eastAsia" w:ascii="仿宋_GB2312" w:hAnsi="仿宋_GB2312" w:eastAsia="仿宋_GB2312" w:cs="仿宋_GB2312"/>
          <w:b w:val="0"/>
          <w:sz w:val="32"/>
          <w:szCs w:val="32"/>
          <w:lang w:val="en-US" w:eastAsia="zh-CN" w:bidi="ar"/>
        </w:rPr>
        <w:t>汗尼克孜·卡德尔</w:t>
      </w:r>
      <w:r>
        <w:rPr>
          <w:rStyle w:val="10"/>
          <w:rFonts w:hint="eastAsia" w:ascii="仿宋_GB2312" w:hAnsi="仿宋_GB2312" w:eastAsia="仿宋_GB2312" w:cs="仿宋_GB2312"/>
          <w:b w:val="0"/>
          <w:sz w:val="32"/>
          <w:szCs w:val="32"/>
          <w:lang w:bidi="ar"/>
        </w:rPr>
        <w:t>、教务主任</w:t>
      </w:r>
      <w:r>
        <w:rPr>
          <w:rStyle w:val="10"/>
          <w:rFonts w:hint="eastAsia" w:ascii="仿宋_GB2312" w:hAnsi="仿宋_GB2312" w:eastAsia="仿宋_GB2312" w:cs="仿宋_GB2312"/>
          <w:b w:val="0"/>
          <w:sz w:val="32"/>
          <w:szCs w:val="32"/>
          <w:lang w:val="en-US" w:eastAsia="zh-CN" w:bidi="ar"/>
        </w:rPr>
        <w:t>刘瑞</w:t>
      </w:r>
      <w:r>
        <w:rPr>
          <w:rStyle w:val="10"/>
          <w:rFonts w:hint="eastAsia" w:ascii="仿宋_GB2312" w:hAnsi="仿宋_GB2312" w:eastAsia="仿宋_GB2312" w:cs="仿宋_GB2312"/>
          <w:b w:val="0"/>
          <w:sz w:val="32"/>
          <w:szCs w:val="32"/>
          <w:lang w:bidi="ar"/>
        </w:rPr>
        <w:t>、工会主席</w:t>
      </w:r>
      <w:r>
        <w:rPr>
          <w:rStyle w:val="10"/>
          <w:rFonts w:hint="eastAsia" w:ascii="仿宋_GB2312" w:hAnsi="仿宋_GB2312" w:eastAsia="仿宋_GB2312" w:cs="仿宋_GB2312"/>
          <w:b w:val="0"/>
          <w:sz w:val="32"/>
          <w:szCs w:val="32"/>
          <w:lang w:val="en-US" w:eastAsia="zh-CN" w:bidi="ar"/>
        </w:rPr>
        <w:t>阿依提拉·依明</w:t>
      </w:r>
      <w:r>
        <w:rPr>
          <w:rStyle w:val="10"/>
          <w:rFonts w:hint="eastAsia" w:ascii="仿宋_GB2312" w:hAnsi="仿宋_GB2312" w:eastAsia="仿宋_GB2312" w:cs="仿宋_GB2312"/>
          <w:b w:val="0"/>
          <w:sz w:val="32"/>
          <w:szCs w:val="32"/>
          <w:lang w:bidi="ar"/>
        </w:rPr>
        <w:t>、教研室主任</w:t>
      </w:r>
      <w:r>
        <w:rPr>
          <w:rStyle w:val="10"/>
          <w:rFonts w:hint="eastAsia" w:ascii="仿宋_GB2312" w:hAnsi="仿宋_GB2312" w:eastAsia="仿宋_GB2312" w:cs="仿宋_GB2312"/>
          <w:b w:val="0"/>
          <w:sz w:val="32"/>
          <w:szCs w:val="32"/>
          <w:lang w:val="en-US" w:eastAsia="zh-CN" w:bidi="ar"/>
        </w:rPr>
        <w:t>马丽娜</w:t>
      </w:r>
      <w:r>
        <w:rPr>
          <w:rStyle w:val="10"/>
          <w:rFonts w:hint="eastAsia" w:ascii="仿宋_GB2312" w:hAnsi="仿宋_GB2312" w:eastAsia="仿宋_GB2312" w:cs="仿宋_GB2312"/>
          <w:b w:val="0"/>
          <w:sz w:val="32"/>
          <w:szCs w:val="32"/>
          <w:lang w:bidi="ar"/>
        </w:rPr>
        <w:t>，德育主任</w:t>
      </w:r>
      <w:r>
        <w:rPr>
          <w:rStyle w:val="10"/>
          <w:rFonts w:hint="eastAsia" w:ascii="仿宋_GB2312" w:hAnsi="仿宋_GB2312" w:eastAsia="仿宋_GB2312" w:cs="仿宋_GB2312"/>
          <w:b w:val="0"/>
          <w:sz w:val="32"/>
          <w:szCs w:val="32"/>
          <w:lang w:val="en-US" w:eastAsia="zh-CN" w:bidi="ar"/>
        </w:rPr>
        <w:t>刘俊宇</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3.年度重点工作</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1、组织开展师德师风建设集中教育活动，加强教师的思想作风建设，提高教师职业道德水平，增强广大教师敬业奉献的自豪感和敬业爱幼的责任感。</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2、坚持以人为本，管理育人的有效方法，加强对各岗位人员的检查与指导，发挥各岗位人员的优势和潜能，吸取教职员工的意见，以制度管人，让制度服人，朝着规范化、科学化的轨迹远行。</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3、注重安全管理，落实各项安全制度，排查和消除各种安全隐患。</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（二）决策过程</w:t>
      </w:r>
    </w:p>
    <w:p>
      <w:pPr>
        <w:ind w:firstLine="560"/>
        <w:rPr>
          <w:rStyle w:val="10"/>
          <w:rFonts w:ascii="仿宋_GB2312" w:hAnsi="仿宋_GB2312" w:eastAsia="仿宋_GB2312" w:cs="仿宋_GB2312"/>
          <w:b w:val="0"/>
          <w:sz w:val="32"/>
          <w:szCs w:val="32"/>
          <w:lang w:bidi="ar"/>
        </w:rPr>
      </w:pPr>
      <w:r>
        <w:rPr>
          <w:rFonts w:hint="eastAsia" w:ascii="仿宋_GB2312" w:hAnsi="黑体" w:eastAsia="仿宋_GB2312" w:cs="宋体"/>
          <w:bCs/>
          <w:kern w:val="0"/>
          <w:sz w:val="32"/>
          <w:szCs w:val="32"/>
        </w:rPr>
        <w:t>阿克陶县阿克陶镇学校</w:t>
      </w:r>
      <w:r>
        <w:rPr>
          <w:rStyle w:val="10"/>
          <w:rFonts w:hint="eastAsia" w:ascii="仿宋_GB2312" w:hAnsi="仿宋_GB2312" w:eastAsia="仿宋_GB2312" w:cs="仿宋_GB2312"/>
          <w:b w:val="0"/>
          <w:sz w:val="32"/>
          <w:szCs w:val="32"/>
          <w:lang w:bidi="ar"/>
        </w:rPr>
        <w:t>决策程序有明确的内控制度规范，并详述决策制度规范具体内容，用以反映决策程序的有效性。</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我单位决策机制根据事业单位内部控制体系建设相关要求，逐步完善《</w:t>
      </w:r>
      <w:r>
        <w:rPr>
          <w:rFonts w:hint="eastAsia" w:ascii="仿宋_GB2312" w:hAnsi="黑体" w:eastAsia="仿宋_GB2312" w:cs="宋体"/>
          <w:bCs/>
          <w:kern w:val="0"/>
          <w:sz w:val="32"/>
          <w:szCs w:val="32"/>
        </w:rPr>
        <w:t>阿克陶镇学校</w:t>
      </w:r>
      <w:r>
        <w:rPr>
          <w:rStyle w:val="10"/>
          <w:rFonts w:hint="eastAsia" w:ascii="仿宋_GB2312" w:hAnsi="仿宋_GB2312" w:eastAsia="仿宋_GB2312" w:cs="仿宋_GB2312"/>
          <w:b w:val="0"/>
          <w:sz w:val="32"/>
          <w:szCs w:val="32"/>
          <w:lang w:bidi="ar"/>
        </w:rPr>
        <w:t>财经领导小组会议制度》、《三重一大会议制度》根据制度规定“重大事项实行书记负责制，由园领导班子会议集体研究决定，在研究决定之前，征求教代会和教师代表意见。不以传阅，会签或个别征求意见等形式代替集体议事和会议决定”进行单位事项决策。</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（三）项目资金分配</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1.部门（单位）预算编制及分配依据</w:t>
      </w:r>
    </w:p>
    <w:p>
      <w:pPr>
        <w:ind w:firstLine="56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基本支出根据部门（单位）预算编制进行预算编制，并根据财政部门预算批复、预期绩效目标进行相应分配；由财政部门按照进度每月分期拨付，人员支出按照工资计划发放工资；资金支出时按照我单位内控体系中设定的流程进行申报审批。</w:t>
      </w:r>
    </w:p>
    <w:p>
      <w:pPr>
        <w:ind w:firstLine="56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sz w:val="32"/>
          <w:szCs w:val="32"/>
          <w:lang w:bidi="ar"/>
        </w:rPr>
        <w:t>预算批复的项目支出属于政府采购的，严格按照《中华人民共和国政府采购法》、自治区财政部门印发的《地方预算单位政府集中采购目录及标准指引（2020 年版））》规定及本单位内控制度，组织人员制定并申报采购计划，按批复采购方式进行；属于非政府采购的项目，按照“三重一大”制度规定重大项目支出上党组会研究决定。</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2.分配结果</w:t>
      </w:r>
    </w:p>
    <w:p>
      <w:pPr>
        <w:pStyle w:val="12"/>
        <w:snapToGrid w:val="0"/>
        <w:spacing w:line="540" w:lineRule="exact"/>
        <w:ind w:left="638" w:leftChars="304" w:firstLine="0" w:firstLineChars="0"/>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 w:val="0"/>
          <w:sz w:val="32"/>
          <w:szCs w:val="32"/>
          <w:lang w:bidi="ar"/>
        </w:rPr>
        <w:t>我单位资金分配与绩效目标一致，符合绩效目标合理性。</w:t>
      </w:r>
      <w:r>
        <w:rPr>
          <w:rStyle w:val="10"/>
          <w:rFonts w:hint="eastAsia" w:ascii="仿宋_GB2312" w:hAnsi="仿宋_GB2312" w:eastAsia="仿宋_GB2312" w:cs="仿宋_GB2312"/>
          <w:bCs w:val="0"/>
          <w:color w:val="333333"/>
          <w:sz w:val="32"/>
          <w:szCs w:val="32"/>
          <w:lang w:bidi="ar"/>
        </w:rPr>
        <w:t>3.重点支出保障率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重点支出保障率用以反映和考核部门（单位）对履行主要职责或完成重点任务的保障程度。</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我单位本年主要实施0个重点项目，履行了保障教育教学正常开展等主要职责。</w:t>
      </w:r>
    </w:p>
    <w:p>
      <w:pPr>
        <w:pStyle w:val="12"/>
        <w:snapToGrid w:val="0"/>
        <w:spacing w:line="540" w:lineRule="exact"/>
        <w:ind w:firstLine="640"/>
        <w:outlineLvl w:val="1"/>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本年度预算安排的重点项目支出0万元，项目总支出0万元，重点支出保障率为0%。</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（四）部门单位整体支出规模</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1.预算执行情况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（1）年初预算执行情况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我单位年初预算数为3280.42万元，实际预算执行数3280.42万元，预算执行率为100%。</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（2）全年预算执行情况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全年预算数为</w:t>
      </w:r>
      <w:r>
        <w:rPr>
          <w:rStyle w:val="10"/>
          <w:rFonts w:hint="eastAsia" w:ascii="仿宋_GB2312" w:hAnsi="仿宋_GB2312" w:eastAsia="仿宋_GB2312" w:cs="仿宋_GB2312"/>
          <w:b w:val="0"/>
          <w:sz w:val="32"/>
          <w:szCs w:val="32"/>
          <w:lang w:val="en-US" w:eastAsia="zh-CN" w:bidi="ar"/>
        </w:rPr>
        <w:t>3801.74</w:t>
      </w:r>
      <w:r>
        <w:rPr>
          <w:rStyle w:val="10"/>
          <w:rFonts w:hint="eastAsia" w:ascii="仿宋_GB2312" w:hAnsi="仿宋_GB2312" w:eastAsia="仿宋_GB2312" w:cs="仿宋_GB2312"/>
          <w:b w:val="0"/>
          <w:sz w:val="32"/>
          <w:szCs w:val="32"/>
          <w:lang w:bidi="ar"/>
        </w:rPr>
        <w:t>万元，全年实际支出资金</w:t>
      </w:r>
      <w:r>
        <w:rPr>
          <w:rStyle w:val="10"/>
          <w:rFonts w:hint="eastAsia" w:ascii="仿宋_GB2312" w:hAnsi="仿宋_GB2312" w:eastAsia="仿宋_GB2312" w:cs="仿宋_GB2312"/>
          <w:b w:val="0"/>
          <w:sz w:val="32"/>
          <w:szCs w:val="32"/>
          <w:lang w:val="en-US" w:eastAsia="zh-CN" w:bidi="ar"/>
        </w:rPr>
        <w:t>3801.74</w:t>
      </w:r>
      <w:r>
        <w:rPr>
          <w:rStyle w:val="10"/>
          <w:rFonts w:hint="eastAsia" w:ascii="仿宋_GB2312" w:hAnsi="仿宋_GB2312" w:eastAsia="仿宋_GB2312" w:cs="仿宋_GB2312"/>
          <w:b w:val="0"/>
          <w:sz w:val="32"/>
          <w:szCs w:val="32"/>
          <w:lang w:bidi="ar"/>
        </w:rPr>
        <w:t>万元，预算执行率为</w:t>
      </w:r>
      <w:r>
        <w:rPr>
          <w:rStyle w:val="10"/>
          <w:rFonts w:hint="eastAsia" w:ascii="仿宋_GB2312" w:hAnsi="仿宋_GB2312" w:eastAsia="仿宋_GB2312" w:cs="仿宋_GB2312"/>
          <w:b w:val="0"/>
          <w:sz w:val="32"/>
          <w:szCs w:val="32"/>
          <w:lang w:val="en-US" w:eastAsia="zh-CN" w:bidi="ar"/>
        </w:rPr>
        <w:t>100</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2.预算调整情况</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Style w:val="10"/>
          <w:rFonts w:hint="eastAsia" w:ascii="仿宋_GB2312" w:hAnsi="仿宋_GB2312" w:eastAsia="仿宋_GB2312" w:cs="仿宋_GB2312"/>
          <w:b w:val="0"/>
          <w:sz w:val="32"/>
          <w:szCs w:val="32"/>
          <w:lang w:bidi="ar"/>
        </w:rPr>
        <w:t>我单位年初批复预算数3280.42万元，年中调整数</w:t>
      </w:r>
      <w:r>
        <w:rPr>
          <w:rStyle w:val="10"/>
          <w:rFonts w:hint="eastAsia" w:ascii="仿宋_GB2312" w:hAnsi="仿宋_GB2312" w:eastAsia="仿宋_GB2312" w:cs="仿宋_GB2312"/>
          <w:b w:val="0"/>
          <w:sz w:val="32"/>
          <w:szCs w:val="32"/>
          <w:lang w:val="en-US" w:eastAsia="zh-CN" w:bidi="ar"/>
        </w:rPr>
        <w:t>174.27</w:t>
      </w:r>
      <w:r>
        <w:rPr>
          <w:rStyle w:val="10"/>
          <w:rFonts w:hint="eastAsia" w:ascii="仿宋_GB2312" w:hAnsi="仿宋_GB2312" w:eastAsia="仿宋_GB2312" w:cs="仿宋_GB2312"/>
          <w:b w:val="0"/>
          <w:sz w:val="32"/>
          <w:szCs w:val="32"/>
          <w:lang w:bidi="ar"/>
        </w:rPr>
        <w:t>万元，调整后全年预算数</w:t>
      </w:r>
      <w:r>
        <w:rPr>
          <w:rStyle w:val="10"/>
          <w:rFonts w:hint="eastAsia" w:ascii="仿宋_GB2312" w:hAnsi="仿宋_GB2312" w:eastAsia="仿宋_GB2312" w:cs="仿宋_GB2312"/>
          <w:b w:val="0"/>
          <w:sz w:val="32"/>
          <w:szCs w:val="32"/>
          <w:lang w:val="en-US" w:eastAsia="zh-CN" w:bidi="ar"/>
        </w:rPr>
        <w:t>3801.74</w:t>
      </w:r>
      <w:r>
        <w:rPr>
          <w:rStyle w:val="10"/>
          <w:rFonts w:hint="eastAsia" w:ascii="仿宋_GB2312" w:hAnsi="仿宋_GB2312" w:eastAsia="仿宋_GB2312" w:cs="仿宋_GB2312"/>
          <w:b w:val="0"/>
          <w:sz w:val="32"/>
          <w:szCs w:val="32"/>
          <w:lang w:bidi="ar"/>
        </w:rPr>
        <w:t>万元，预算调整率</w:t>
      </w:r>
      <w:r>
        <w:rPr>
          <w:rStyle w:val="10"/>
          <w:rFonts w:hint="eastAsia" w:ascii="仿宋_GB2312" w:hAnsi="仿宋_GB2312" w:eastAsia="仿宋_GB2312" w:cs="仿宋_GB2312"/>
          <w:b w:val="0"/>
          <w:sz w:val="32"/>
          <w:szCs w:val="32"/>
          <w:lang w:val="en-US" w:eastAsia="zh-CN" w:bidi="ar"/>
        </w:rPr>
        <w:t>5.3</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 xml:space="preserve">3.政府采购执行情况 </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我单位本年度需政府采购的预算数为0万元。</w:t>
      </w:r>
    </w:p>
    <w:p>
      <w:pPr>
        <w:pStyle w:val="12"/>
        <w:snapToGrid w:val="0"/>
        <w:spacing w:line="540" w:lineRule="exact"/>
        <w:ind w:firstLine="643"/>
        <w:outlineLvl w:val="1"/>
        <w:rPr>
          <w:rStyle w:val="10"/>
          <w:rFonts w:ascii="仿宋_GB2312" w:hAnsi="仿宋_GB2312" w:eastAsia="仿宋_GB2312" w:cs="仿宋_GB2312"/>
          <w:bCs w:val="0"/>
          <w:sz w:val="32"/>
          <w:szCs w:val="32"/>
          <w:lang w:bidi="ar"/>
        </w:rPr>
      </w:pPr>
      <w:r>
        <w:rPr>
          <w:rStyle w:val="10"/>
          <w:rFonts w:hint="eastAsia" w:ascii="仿宋_GB2312" w:hAnsi="仿宋_GB2312" w:eastAsia="仿宋_GB2312" w:cs="仿宋_GB2312"/>
          <w:bCs w:val="0"/>
          <w:sz w:val="32"/>
          <w:szCs w:val="32"/>
          <w:lang w:bidi="ar"/>
        </w:rPr>
        <w:t>（五）评价使用方法和主要内容、涉及范围</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1.评价使用方法</w:t>
      </w:r>
    </w:p>
    <w:p>
      <w:pPr>
        <w:pStyle w:val="12"/>
        <w:snapToGrid w:val="0"/>
        <w:spacing w:line="540" w:lineRule="exact"/>
        <w:ind w:firstLine="640"/>
        <w:rPr>
          <w:rStyle w:val="10"/>
          <w:rFonts w:ascii="仿宋_GB2312" w:hAnsi="仿宋_GB2312" w:eastAsia="仿宋_GB2312" w:cs="仿宋_GB2312"/>
          <w:b w:val="0"/>
          <w:sz w:val="32"/>
          <w:szCs w:val="32"/>
          <w:lang w:bidi="ar"/>
        </w:rPr>
      </w:pPr>
      <w:bookmarkStart w:id="1" w:name="_Hlk49856735"/>
      <w:r>
        <w:rPr>
          <w:rStyle w:val="10"/>
          <w:rFonts w:hint="eastAsia" w:ascii="仿宋_GB2312" w:hAnsi="仿宋_GB2312" w:eastAsia="仿宋_GB2312" w:cs="仿宋_GB2312"/>
          <w:b w:val="0"/>
          <w:sz w:val="32"/>
          <w:szCs w:val="32"/>
          <w:lang w:bidi="ar"/>
        </w:rPr>
        <w:t>本次评价主要采取比较法和调查法。一是比较法。对项目支出情况及建设后的产出及效果与项目实施计划目标进行比较，分析预计目标的完成程度。二是</w:t>
      </w:r>
      <w:r>
        <w:rPr>
          <w:rStyle w:val="10"/>
          <w:rFonts w:hint="eastAsia" w:ascii="仿宋_GB2312" w:hAnsi="仿宋_GB2312" w:eastAsia="仿宋_GB2312" w:cs="仿宋_GB2312"/>
          <w:b w:val="0"/>
          <w:sz w:val="32"/>
          <w:szCs w:val="32"/>
          <w:lang w:eastAsia="zh-Hans" w:bidi="ar"/>
        </w:rPr>
        <w:t>公众评判法</w:t>
      </w:r>
      <w:r>
        <w:rPr>
          <w:rStyle w:val="10"/>
          <w:rFonts w:hint="eastAsia" w:ascii="仿宋_GB2312" w:hAnsi="仿宋_GB2312" w:eastAsia="仿宋_GB2312" w:cs="仿宋_GB2312"/>
          <w:b w:val="0"/>
          <w:sz w:val="32"/>
          <w:szCs w:val="32"/>
          <w:lang w:bidi="ar"/>
        </w:rPr>
        <w:t>。通过专家评估、公众问卷及抽样调查等方式进行评判的方法。问卷调查是针对项目区利益相关方实施的调查，并对调查结果进行统计、分析和评定。</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2.评价对象及主要内容</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color w:val="333333"/>
          <w:sz w:val="32"/>
          <w:szCs w:val="32"/>
          <w:lang w:bidi="ar"/>
        </w:rPr>
        <w:t>评价的对象及主要内容为:</w:t>
      </w:r>
      <w:r>
        <w:rPr>
          <w:rStyle w:val="10"/>
          <w:rFonts w:hint="eastAsia" w:ascii="仿宋_GB2312" w:hAnsi="仿宋_GB2312" w:eastAsia="仿宋_GB2312" w:cs="仿宋_GB2312"/>
          <w:bCs w:val="0"/>
          <w:color w:val="333333"/>
          <w:sz w:val="32"/>
          <w:szCs w:val="32"/>
          <w:lang w:bidi="ar"/>
        </w:rPr>
        <w:t>一是</w:t>
      </w:r>
      <w:r>
        <w:rPr>
          <w:rStyle w:val="10"/>
          <w:rFonts w:hint="eastAsia" w:ascii="仿宋_GB2312" w:hAnsi="仿宋_GB2312" w:eastAsia="仿宋_GB2312" w:cs="仿宋_GB2312"/>
          <w:b w:val="0"/>
          <w:color w:val="333333"/>
          <w:sz w:val="32"/>
          <w:szCs w:val="32"/>
          <w:lang w:bidi="ar"/>
        </w:rPr>
        <w:t>部门单位整体管理及使用情况，具体涉及预算管理、基本支出和专项支出的管理及使用情况；</w:t>
      </w:r>
      <w:r>
        <w:rPr>
          <w:rStyle w:val="10"/>
          <w:rFonts w:hint="eastAsia" w:ascii="仿宋_GB2312" w:hAnsi="仿宋_GB2312" w:eastAsia="仿宋_GB2312" w:cs="仿宋_GB2312"/>
          <w:bCs w:val="0"/>
          <w:color w:val="333333"/>
          <w:sz w:val="32"/>
          <w:szCs w:val="32"/>
          <w:lang w:bidi="ar"/>
        </w:rPr>
        <w:t>二是</w:t>
      </w:r>
      <w:r>
        <w:rPr>
          <w:rStyle w:val="10"/>
          <w:rFonts w:hint="eastAsia" w:ascii="仿宋_GB2312" w:hAnsi="仿宋_GB2312" w:eastAsia="仿宋_GB2312" w:cs="仿宋_GB2312"/>
          <w:b w:val="0"/>
          <w:color w:val="333333"/>
          <w:sz w:val="32"/>
          <w:szCs w:val="32"/>
          <w:lang w:bidi="ar"/>
        </w:rPr>
        <w:t>部门单位整体支出绩效情况，具体涉及部门单位整体支出绩效目标的实现程度，包括是否达到预定产出、效果和效益效率等；</w:t>
      </w:r>
      <w:r>
        <w:rPr>
          <w:rStyle w:val="10"/>
          <w:rFonts w:hint="eastAsia" w:ascii="仿宋_GB2312" w:hAnsi="仿宋_GB2312" w:eastAsia="仿宋_GB2312" w:cs="仿宋_GB2312"/>
          <w:bCs w:val="0"/>
          <w:color w:val="333333"/>
          <w:sz w:val="32"/>
          <w:szCs w:val="32"/>
          <w:lang w:bidi="ar"/>
        </w:rPr>
        <w:t>三是</w:t>
      </w:r>
      <w:r>
        <w:rPr>
          <w:rStyle w:val="10"/>
          <w:rFonts w:hint="eastAsia" w:ascii="仿宋_GB2312" w:hAnsi="仿宋_GB2312" w:eastAsia="仿宋_GB2312" w:cs="仿宋_GB2312"/>
          <w:b w:val="0"/>
          <w:color w:val="333333"/>
          <w:sz w:val="32"/>
          <w:szCs w:val="32"/>
          <w:lang w:bidi="ar"/>
        </w:rPr>
        <w:t>部门单位专项组织实施情况，具体涉及专项组织情况分析和相关管理情况；</w:t>
      </w:r>
      <w:r>
        <w:rPr>
          <w:rStyle w:val="10"/>
          <w:rFonts w:hint="eastAsia" w:ascii="仿宋_GB2312" w:hAnsi="仿宋_GB2312" w:eastAsia="仿宋_GB2312" w:cs="仿宋_GB2312"/>
          <w:bCs w:val="0"/>
          <w:color w:val="333333"/>
          <w:sz w:val="32"/>
          <w:szCs w:val="32"/>
          <w:lang w:bidi="ar"/>
        </w:rPr>
        <w:t>四是</w:t>
      </w:r>
      <w:r>
        <w:rPr>
          <w:rStyle w:val="10"/>
          <w:rFonts w:hint="eastAsia" w:ascii="仿宋_GB2312" w:hAnsi="仿宋_GB2312" w:eastAsia="仿宋_GB2312" w:cs="仿宋_GB2312"/>
          <w:b w:val="0"/>
          <w:color w:val="333333"/>
          <w:sz w:val="32"/>
          <w:szCs w:val="32"/>
          <w:lang w:bidi="ar"/>
        </w:rPr>
        <w:t>资产管理情况，具体涉及资产管理规范性和资产变动情况。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3.涉及的范围</w:t>
      </w:r>
      <w:bookmarkEnd w:id="1"/>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评价范围是对本单位整体支出从年度总体绩效目标、产出指标、效益指标、满意度指标等方面进行了全方位、多角度综合评价分析。</w:t>
      </w:r>
    </w:p>
    <w:p>
      <w:pPr>
        <w:pStyle w:val="12"/>
        <w:numPr>
          <w:ilvl w:val="0"/>
          <w:numId w:val="1"/>
        </w:numPr>
        <w:snapToGrid w:val="0"/>
        <w:spacing w:line="540" w:lineRule="exact"/>
        <w:ind w:firstLineChars="0"/>
        <w:outlineLvl w:val="0"/>
        <w:rPr>
          <w:rFonts w:ascii="仿宋_GB2312" w:hAnsi="仿宋_GB2312" w:eastAsia="仿宋_GB2312" w:cs="仿宋_GB2312"/>
          <w:b/>
          <w:color w:val="333333"/>
          <w:sz w:val="32"/>
          <w:szCs w:val="32"/>
          <w:lang w:bidi="ar"/>
        </w:rPr>
      </w:pPr>
      <w:bookmarkStart w:id="2" w:name="_Toc32535_WPSOffice_Level1"/>
      <w:r>
        <w:rPr>
          <w:rFonts w:hint="eastAsia" w:ascii="仿宋_GB2312" w:hAnsi="仿宋_GB2312" w:eastAsia="仿宋_GB2312" w:cs="仿宋_GB2312"/>
          <w:b/>
          <w:color w:val="333333"/>
          <w:sz w:val="32"/>
          <w:szCs w:val="32"/>
          <w:lang w:bidi="ar"/>
        </w:rPr>
        <w:t>部门单位整体支出管理及使用情况</w:t>
      </w:r>
      <w:bookmarkEnd w:id="2"/>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（一）预算管理情况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1.管理制度健全性</w:t>
      </w:r>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本单位为加强预算管理，规范财务行为，已制定《阿克陶县</w:t>
      </w:r>
      <w:r>
        <w:rPr>
          <w:rStyle w:val="10"/>
          <w:rFonts w:hint="eastAsia" w:ascii="仿宋_GB2312" w:hAnsi="仿宋_GB2312" w:eastAsia="仿宋_GB2312" w:cs="仿宋_GB2312"/>
          <w:b w:val="0"/>
          <w:color w:val="333333"/>
          <w:sz w:val="32"/>
          <w:szCs w:val="32"/>
          <w:lang w:val="en-US" w:eastAsia="zh-CN" w:bidi="ar"/>
        </w:rPr>
        <w:t>阿克陶镇学校</w:t>
      </w:r>
      <w:r>
        <w:rPr>
          <w:rStyle w:val="10"/>
          <w:rFonts w:hint="eastAsia" w:ascii="仿宋_GB2312" w:hAnsi="仿宋_GB2312" w:eastAsia="仿宋_GB2312" w:cs="仿宋_GB2312"/>
          <w:b w:val="0"/>
          <w:color w:val="333333"/>
          <w:sz w:val="32"/>
          <w:szCs w:val="32"/>
          <w:lang w:bidi="ar"/>
        </w:rPr>
        <w:t>预算绩效管理工作实施办法》，《阿克陶县</w:t>
      </w:r>
      <w:r>
        <w:rPr>
          <w:rStyle w:val="10"/>
          <w:rFonts w:hint="eastAsia" w:ascii="仿宋_GB2312" w:hAnsi="仿宋_GB2312" w:eastAsia="仿宋_GB2312" w:cs="仿宋_GB2312"/>
          <w:b w:val="0"/>
          <w:color w:val="333333"/>
          <w:sz w:val="32"/>
          <w:szCs w:val="32"/>
          <w:lang w:val="en-US" w:eastAsia="zh-CN" w:bidi="ar"/>
        </w:rPr>
        <w:t>阿克陶镇学校</w:t>
      </w:r>
      <w:r>
        <w:rPr>
          <w:rStyle w:val="10"/>
          <w:rFonts w:hint="eastAsia" w:ascii="仿宋_GB2312" w:hAnsi="仿宋_GB2312" w:eastAsia="仿宋_GB2312" w:cs="仿宋_GB2312"/>
          <w:b w:val="0"/>
          <w:color w:val="333333"/>
          <w:sz w:val="32"/>
          <w:szCs w:val="32"/>
          <w:lang w:bidi="ar"/>
        </w:rPr>
        <w:t>财务管理制度》等健全完整的各项管理制度，有效保障了我单位高效的履行工作职能，较好的促进事业发展。</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2.资金使用合规性和安全性</w:t>
      </w:r>
    </w:p>
    <w:p>
      <w:pPr>
        <w:pStyle w:val="12"/>
        <w:snapToGrid w:val="0"/>
        <w:spacing w:line="540" w:lineRule="exact"/>
        <w:ind w:firstLine="640"/>
        <w:rPr>
          <w:rStyle w:val="10"/>
          <w:rFonts w:ascii="仿宋_GB2312" w:hAnsi="仿宋_GB2312" w:eastAsia="仿宋_GB2312" w:cs="仿宋_GB2312"/>
          <w:b w:val="0"/>
          <w:color w:val="333333"/>
          <w:sz w:val="32"/>
          <w:szCs w:val="32"/>
          <w:lang w:bidi="ar"/>
        </w:rPr>
      </w:pPr>
      <w:r>
        <w:rPr>
          <w:rStyle w:val="10"/>
          <w:rFonts w:hint="eastAsia" w:ascii="仿宋_GB2312" w:hAnsi="仿宋_GB2312" w:eastAsia="仿宋_GB2312" w:cs="仿宋_GB2312"/>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3.预决算信息公开性</w:t>
      </w:r>
    </w:p>
    <w:p>
      <w:pPr>
        <w:pStyle w:val="12"/>
        <w:snapToGrid w:val="0"/>
        <w:spacing w:line="540" w:lineRule="exact"/>
        <w:ind w:firstLine="640"/>
        <w:rPr>
          <w:rStyle w:val="10"/>
          <w:rFonts w:ascii="仿宋_GB2312" w:hAnsi="仿宋_GB2312" w:eastAsia="仿宋_GB2312" w:cs="仿宋_GB2312"/>
          <w:b w:val="0"/>
          <w:color w:val="FF0000"/>
          <w:sz w:val="32"/>
          <w:szCs w:val="32"/>
          <w:lang w:bidi="ar"/>
        </w:rPr>
      </w:pPr>
      <w:r>
        <w:rPr>
          <w:rFonts w:hint="eastAsia" w:ascii="仿宋" w:hAnsi="仿宋" w:eastAsia="仿宋" w:cs="宋体"/>
          <w:bCs/>
          <w:color w:val="333333"/>
          <w:sz w:val="32"/>
          <w:szCs w:val="32"/>
          <w:lang w:bidi="ar"/>
        </w:rPr>
        <w:t>按照阿克陶县财政局预决算信息公开工作要求，我单位在阿克陶县人民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（二）基本支出和使用情况</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1.基本支出和使用情况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2021年本单位基本支出全年预算总额</w:t>
      </w:r>
      <w:r>
        <w:rPr>
          <w:rStyle w:val="10"/>
          <w:rFonts w:hint="eastAsia" w:ascii="仿宋_GB2312" w:hAnsi="仿宋_GB2312" w:eastAsia="仿宋_GB2312" w:cs="仿宋_GB2312"/>
          <w:b w:val="0"/>
          <w:sz w:val="32"/>
          <w:szCs w:val="32"/>
          <w:lang w:val="en-US" w:eastAsia="zh-CN" w:bidi="ar"/>
        </w:rPr>
        <w:t>3454.69</w:t>
      </w:r>
      <w:r>
        <w:rPr>
          <w:rStyle w:val="10"/>
          <w:rFonts w:hint="eastAsia" w:ascii="仿宋_GB2312" w:hAnsi="仿宋_GB2312" w:eastAsia="仿宋_GB2312" w:cs="仿宋_GB2312"/>
          <w:b w:val="0"/>
          <w:sz w:val="32"/>
          <w:szCs w:val="32"/>
          <w:lang w:bidi="ar"/>
        </w:rPr>
        <w:t>万元，其中：人员经费</w:t>
      </w:r>
      <w:r>
        <w:rPr>
          <w:rStyle w:val="10"/>
          <w:rFonts w:hint="eastAsia" w:ascii="仿宋_GB2312" w:hAnsi="仿宋_GB2312" w:eastAsia="仿宋_GB2312" w:cs="仿宋_GB2312"/>
          <w:b w:val="0"/>
          <w:sz w:val="32"/>
          <w:szCs w:val="32"/>
          <w:lang w:val="en-US" w:eastAsia="zh-CN" w:bidi="ar"/>
        </w:rPr>
        <w:t>3454.69</w:t>
      </w:r>
      <w:r>
        <w:rPr>
          <w:rStyle w:val="10"/>
          <w:rFonts w:hint="eastAsia" w:ascii="仿宋_GB2312" w:hAnsi="仿宋_GB2312" w:eastAsia="仿宋_GB2312" w:cs="仿宋_GB2312"/>
          <w:b w:val="0"/>
          <w:sz w:val="32"/>
          <w:szCs w:val="32"/>
          <w:lang w:bidi="ar"/>
        </w:rPr>
        <w:t>万元，公用经费0万元。实际支出</w:t>
      </w:r>
      <w:r>
        <w:rPr>
          <w:rStyle w:val="10"/>
          <w:rFonts w:hint="eastAsia" w:ascii="仿宋_GB2312" w:hAnsi="仿宋_GB2312" w:eastAsia="仿宋_GB2312" w:cs="仿宋_GB2312"/>
          <w:b w:val="0"/>
          <w:sz w:val="32"/>
          <w:szCs w:val="32"/>
          <w:lang w:val="en-US" w:eastAsia="zh-CN" w:bidi="ar"/>
        </w:rPr>
        <w:t>3454.69</w:t>
      </w:r>
      <w:bookmarkStart w:id="8" w:name="_GoBack"/>
      <w:bookmarkEnd w:id="8"/>
      <w:r>
        <w:rPr>
          <w:rStyle w:val="10"/>
          <w:rFonts w:hint="eastAsia" w:ascii="仿宋_GB2312" w:hAnsi="仿宋_GB2312" w:eastAsia="仿宋_GB2312" w:cs="仿宋_GB2312"/>
          <w:b w:val="0"/>
          <w:sz w:val="32"/>
          <w:szCs w:val="32"/>
          <w:lang w:bidi="ar"/>
        </w:rPr>
        <w:t>万元，基本支出预算执行率100%。</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12"/>
        <w:snapToGrid w:val="0"/>
        <w:spacing w:line="540" w:lineRule="exact"/>
        <w:ind w:firstLine="643"/>
        <w:outlineLvl w:val="2"/>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2.三公经费控制情况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我单位坚决贯彻落实中央、自治区、阿克陶</w:t>
      </w:r>
      <w:r>
        <w:rPr>
          <w:rFonts w:hint="eastAsia" w:ascii="仿宋" w:hAnsi="仿宋" w:eastAsia="仿宋" w:cs="宋体"/>
          <w:bCs/>
          <w:color w:val="333333"/>
          <w:sz w:val="32"/>
          <w:szCs w:val="32"/>
          <w:lang w:eastAsia="zh-Hans" w:bidi="ar"/>
        </w:rPr>
        <w:t>县</w:t>
      </w:r>
      <w:r>
        <w:rPr>
          <w:rFonts w:hint="eastAsia" w:ascii="仿宋" w:hAnsi="仿宋" w:eastAsia="仿宋" w:cs="宋体"/>
          <w:bCs/>
          <w:color w:val="333333"/>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pPr>
        <w:pStyle w:val="12"/>
        <w:snapToGrid w:val="0"/>
        <w:spacing w:line="540" w:lineRule="exact"/>
        <w:ind w:firstLine="643"/>
        <w:outlineLvl w:val="1"/>
        <w:rPr>
          <w:rStyle w:val="10"/>
          <w:rFonts w:ascii="仿宋_GB2312" w:hAnsi="仿宋_GB2312" w:eastAsia="仿宋_GB2312" w:cs="仿宋_GB2312"/>
          <w:bCs w:val="0"/>
          <w:color w:val="333333"/>
          <w:sz w:val="32"/>
          <w:szCs w:val="32"/>
          <w:lang w:bidi="ar"/>
        </w:rPr>
      </w:pPr>
      <w:r>
        <w:rPr>
          <w:rStyle w:val="10"/>
          <w:rFonts w:hint="eastAsia" w:ascii="仿宋_GB2312" w:hAnsi="仿宋_GB2312" w:eastAsia="仿宋_GB2312" w:cs="仿宋_GB2312"/>
          <w:bCs w:val="0"/>
          <w:color w:val="333333"/>
          <w:sz w:val="32"/>
          <w:szCs w:val="32"/>
          <w:lang w:bidi="ar"/>
        </w:rPr>
        <w:t>（三）专项支出管理和使用情况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专项资金的使用符合国家法规和财务管理制度，专项资金拨付有完整的审批程序和手续，符合项目预算批复或合同规定的用途，不存在截留、挤占、挪用、虚列支出等情况。</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2021年本单位安排专项支出预算总额</w:t>
      </w:r>
      <w:r>
        <w:rPr>
          <w:rStyle w:val="10"/>
          <w:rFonts w:hint="eastAsia" w:ascii="仿宋_GB2312" w:hAnsi="仿宋_GB2312" w:eastAsia="仿宋_GB2312" w:cs="仿宋_GB2312"/>
          <w:b w:val="0"/>
          <w:sz w:val="32"/>
          <w:szCs w:val="32"/>
          <w:lang w:val="en-US" w:eastAsia="zh-CN" w:bidi="ar"/>
        </w:rPr>
        <w:t>347.05</w:t>
      </w:r>
      <w:r>
        <w:rPr>
          <w:rStyle w:val="10"/>
          <w:rFonts w:hint="eastAsia" w:ascii="仿宋_GB2312" w:hAnsi="仿宋_GB2312" w:eastAsia="仿宋_GB2312" w:cs="仿宋_GB2312"/>
          <w:b w:val="0"/>
          <w:sz w:val="32"/>
          <w:szCs w:val="32"/>
          <w:lang w:bidi="ar"/>
        </w:rPr>
        <w:t>万元，实际支出</w:t>
      </w:r>
      <w:r>
        <w:rPr>
          <w:rStyle w:val="10"/>
          <w:rFonts w:hint="eastAsia" w:ascii="仿宋_GB2312" w:hAnsi="仿宋_GB2312" w:eastAsia="仿宋_GB2312" w:cs="仿宋_GB2312"/>
          <w:b w:val="0"/>
          <w:sz w:val="32"/>
          <w:szCs w:val="32"/>
          <w:lang w:val="en-US" w:eastAsia="zh-CN" w:bidi="ar"/>
        </w:rPr>
        <w:t>347.05</w:t>
      </w:r>
      <w:r>
        <w:rPr>
          <w:rStyle w:val="10"/>
          <w:rFonts w:hint="eastAsia" w:ascii="仿宋_GB2312" w:hAnsi="仿宋_GB2312" w:eastAsia="仿宋_GB2312" w:cs="仿宋_GB2312"/>
          <w:b w:val="0"/>
          <w:sz w:val="32"/>
          <w:szCs w:val="32"/>
          <w:lang w:bidi="ar"/>
        </w:rPr>
        <w:t>万元，专项支出预算执行率</w:t>
      </w:r>
      <w:r>
        <w:rPr>
          <w:rStyle w:val="10"/>
          <w:rFonts w:hint="eastAsia" w:ascii="仿宋_GB2312" w:hAnsi="仿宋_GB2312" w:eastAsia="仿宋_GB2312" w:cs="仿宋_GB2312"/>
          <w:b w:val="0"/>
          <w:sz w:val="32"/>
          <w:szCs w:val="32"/>
          <w:lang w:val="en-US" w:eastAsia="zh-CN" w:bidi="ar"/>
        </w:rPr>
        <w:t>100%</w:t>
      </w:r>
      <w:r>
        <w:rPr>
          <w:rStyle w:val="10"/>
          <w:rFonts w:hint="eastAsia" w:ascii="仿宋_GB2312" w:hAnsi="仿宋_GB2312" w:eastAsia="仿宋_GB2312" w:cs="仿宋_GB2312"/>
          <w:b w:val="0"/>
          <w:sz w:val="32"/>
          <w:szCs w:val="32"/>
          <w:lang w:bidi="ar"/>
        </w:rPr>
        <w:t>。</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2021年本单位共有</w:t>
      </w:r>
      <w:r>
        <w:rPr>
          <w:rStyle w:val="10"/>
          <w:rFonts w:hint="eastAsia" w:ascii="仿宋_GB2312" w:hAnsi="仿宋_GB2312" w:eastAsia="仿宋_GB2312" w:cs="仿宋_GB2312"/>
          <w:b w:val="0"/>
          <w:sz w:val="32"/>
          <w:szCs w:val="32"/>
          <w:lang w:val="en-US" w:eastAsia="zh-CN" w:bidi="ar"/>
        </w:rPr>
        <w:t>3</w:t>
      </w:r>
      <w:r>
        <w:rPr>
          <w:rStyle w:val="10"/>
          <w:rFonts w:hint="eastAsia" w:ascii="仿宋_GB2312" w:hAnsi="仿宋_GB2312" w:eastAsia="仿宋_GB2312" w:cs="仿宋_GB2312"/>
          <w:b w:val="0"/>
          <w:sz w:val="32"/>
          <w:szCs w:val="32"/>
          <w:lang w:bidi="ar"/>
        </w:rPr>
        <w:t>个非基建项目，其中</w:t>
      </w:r>
      <w:r>
        <w:rPr>
          <w:rStyle w:val="10"/>
          <w:rFonts w:hint="eastAsia" w:ascii="仿宋_GB2312" w:hAnsi="仿宋_GB2312" w:eastAsia="仿宋_GB2312" w:cs="仿宋_GB2312"/>
          <w:b w:val="0"/>
          <w:sz w:val="32"/>
          <w:szCs w:val="32"/>
          <w:lang w:val="en-US" w:eastAsia="zh-CN" w:bidi="ar"/>
        </w:rPr>
        <w:t>3</w:t>
      </w:r>
      <w:r>
        <w:rPr>
          <w:rStyle w:val="10"/>
          <w:rFonts w:hint="eastAsia" w:ascii="仿宋_GB2312" w:hAnsi="仿宋_GB2312" w:eastAsia="仿宋_GB2312" w:cs="仿宋_GB2312"/>
          <w:b w:val="0"/>
          <w:sz w:val="32"/>
          <w:szCs w:val="32"/>
          <w:lang w:bidi="ar"/>
        </w:rPr>
        <w:t>个属经常性项目、0个属当年度新增项目，已完成项目</w:t>
      </w:r>
      <w:r>
        <w:rPr>
          <w:rStyle w:val="10"/>
          <w:rFonts w:hint="eastAsia" w:ascii="仿宋_GB2312" w:hAnsi="仿宋_GB2312" w:eastAsia="仿宋_GB2312" w:cs="仿宋_GB2312"/>
          <w:b w:val="0"/>
          <w:sz w:val="32"/>
          <w:szCs w:val="32"/>
          <w:lang w:val="en-US" w:eastAsia="zh-CN" w:bidi="ar"/>
        </w:rPr>
        <w:t>3</w:t>
      </w:r>
      <w:r>
        <w:rPr>
          <w:rStyle w:val="10"/>
          <w:rFonts w:hint="eastAsia" w:ascii="仿宋_GB2312" w:hAnsi="仿宋_GB2312" w:eastAsia="仿宋_GB2312" w:cs="仿宋_GB2312"/>
          <w:b w:val="0"/>
          <w:sz w:val="32"/>
          <w:szCs w:val="32"/>
          <w:lang w:bidi="ar"/>
        </w:rPr>
        <w:t>个、未完成项目0个。</w:t>
      </w:r>
    </w:p>
    <w:p>
      <w:pPr>
        <w:snapToGrid w:val="0"/>
        <w:spacing w:line="540" w:lineRule="exact"/>
        <w:ind w:left="648"/>
        <w:outlineLvl w:val="0"/>
        <w:rPr>
          <w:rFonts w:ascii="仿宋_GB2312" w:hAnsi="仿宋_GB2312" w:eastAsia="仿宋_GB2312" w:cs="仿宋_GB2312"/>
          <w:b/>
          <w:color w:val="333333"/>
          <w:sz w:val="32"/>
          <w:szCs w:val="32"/>
          <w:lang w:bidi="ar"/>
        </w:rPr>
      </w:pPr>
      <w:bookmarkStart w:id="3" w:name="_Toc1734_WPSOffice_Level1"/>
      <w:r>
        <w:rPr>
          <w:rFonts w:hint="eastAsia" w:ascii="仿宋_GB2312" w:hAnsi="仿宋_GB2312" w:eastAsia="仿宋_GB2312" w:cs="仿宋_GB2312"/>
          <w:b/>
          <w:color w:val="333333"/>
          <w:sz w:val="32"/>
          <w:szCs w:val="32"/>
          <w:lang w:bidi="ar"/>
        </w:rPr>
        <w:t>三、部门单位专项组织实施情况</w:t>
      </w:r>
      <w:bookmarkEnd w:id="3"/>
    </w:p>
    <w:p>
      <w:pPr>
        <w:pStyle w:val="12"/>
        <w:snapToGrid w:val="0"/>
        <w:spacing w:line="540" w:lineRule="exact"/>
        <w:ind w:firstLine="640"/>
        <w:rPr>
          <w:rStyle w:val="10"/>
          <w:rFonts w:hint="default" w:ascii="仿宋_GB2312" w:hAnsi="仿宋_GB2312" w:eastAsia="仿宋_GB2312" w:cs="仿宋_GB2312"/>
          <w:b w:val="0"/>
          <w:sz w:val="32"/>
          <w:szCs w:val="32"/>
          <w:lang w:val="en-US" w:eastAsia="zh-CN" w:bidi="ar"/>
        </w:rPr>
      </w:pPr>
      <w:r>
        <w:rPr>
          <w:rStyle w:val="10"/>
          <w:rFonts w:hint="eastAsia" w:ascii="仿宋_GB2312" w:hAnsi="仿宋_GB2312" w:eastAsia="仿宋_GB2312" w:cs="仿宋_GB2312"/>
          <w:b w:val="0"/>
          <w:sz w:val="32"/>
          <w:szCs w:val="32"/>
          <w:lang w:bidi="ar"/>
        </w:rPr>
        <w:t>本年我单位供实施</w:t>
      </w:r>
      <w:r>
        <w:rPr>
          <w:rStyle w:val="10"/>
          <w:rFonts w:hint="eastAsia" w:ascii="仿宋_GB2312" w:hAnsi="仿宋_GB2312" w:eastAsia="仿宋_GB2312" w:cs="仿宋_GB2312"/>
          <w:b w:val="0"/>
          <w:sz w:val="32"/>
          <w:szCs w:val="32"/>
          <w:lang w:val="en-US" w:eastAsia="zh-CN" w:bidi="ar"/>
        </w:rPr>
        <w:t>3</w:t>
      </w:r>
      <w:r>
        <w:rPr>
          <w:rStyle w:val="10"/>
          <w:rFonts w:hint="eastAsia" w:ascii="仿宋_GB2312" w:hAnsi="仿宋_GB2312" w:eastAsia="仿宋_GB2312" w:cs="仿宋_GB2312"/>
          <w:b w:val="0"/>
          <w:sz w:val="32"/>
          <w:szCs w:val="32"/>
          <w:lang w:bidi="ar"/>
        </w:rPr>
        <w:t>个项目，金额</w:t>
      </w:r>
      <w:r>
        <w:rPr>
          <w:rStyle w:val="10"/>
          <w:rFonts w:hint="eastAsia" w:ascii="仿宋_GB2312" w:hAnsi="仿宋_GB2312" w:eastAsia="仿宋_GB2312" w:cs="仿宋_GB2312"/>
          <w:b w:val="0"/>
          <w:sz w:val="32"/>
          <w:szCs w:val="32"/>
          <w:lang w:val="en-US" w:eastAsia="zh-CN" w:bidi="ar"/>
        </w:rPr>
        <w:t>347.05</w:t>
      </w:r>
      <w:r>
        <w:rPr>
          <w:rStyle w:val="10"/>
          <w:rFonts w:hint="eastAsia" w:ascii="仿宋_GB2312" w:hAnsi="仿宋_GB2312" w:eastAsia="仿宋_GB2312" w:cs="仿宋_GB2312"/>
          <w:b w:val="0"/>
          <w:sz w:val="32"/>
          <w:szCs w:val="32"/>
          <w:lang w:bidi="ar"/>
        </w:rPr>
        <w:t>万元，分别城乡义务教育保障资金，</w:t>
      </w:r>
      <w:r>
        <w:rPr>
          <w:rStyle w:val="10"/>
          <w:rFonts w:hint="eastAsia" w:ascii="仿宋_GB2312" w:hAnsi="仿宋_GB2312" w:eastAsia="仿宋_GB2312" w:cs="仿宋_GB2312"/>
          <w:b w:val="0"/>
          <w:sz w:val="32"/>
          <w:szCs w:val="32"/>
          <w:lang w:val="en-US" w:eastAsia="zh-CN" w:bidi="ar"/>
        </w:rPr>
        <w:t>186.55</w:t>
      </w:r>
      <w:r>
        <w:rPr>
          <w:rStyle w:val="10"/>
          <w:rFonts w:hint="eastAsia" w:ascii="仿宋_GB2312" w:hAnsi="仿宋_GB2312" w:eastAsia="仿宋_GB2312" w:cs="仿宋_GB2312"/>
          <w:b w:val="0"/>
          <w:sz w:val="32"/>
          <w:szCs w:val="32"/>
          <w:lang w:bidi="ar"/>
        </w:rPr>
        <w:t>万元；营养改善计划资金，</w:t>
      </w:r>
      <w:r>
        <w:rPr>
          <w:rStyle w:val="10"/>
          <w:rFonts w:hint="eastAsia" w:ascii="仿宋_GB2312" w:hAnsi="仿宋_GB2312" w:eastAsia="仿宋_GB2312" w:cs="仿宋_GB2312"/>
          <w:b w:val="0"/>
          <w:sz w:val="32"/>
          <w:szCs w:val="32"/>
          <w:lang w:val="en-US" w:eastAsia="zh-CN" w:bidi="ar"/>
        </w:rPr>
        <w:t>113.52</w:t>
      </w:r>
      <w:r>
        <w:rPr>
          <w:rStyle w:val="10"/>
          <w:rFonts w:hint="eastAsia" w:ascii="仿宋_GB2312" w:hAnsi="仿宋_GB2312" w:eastAsia="仿宋_GB2312" w:cs="仿宋_GB2312"/>
          <w:b w:val="0"/>
          <w:sz w:val="32"/>
          <w:szCs w:val="32"/>
          <w:lang w:bidi="ar"/>
        </w:rPr>
        <w:t>万元；寄宿生生活补助</w:t>
      </w:r>
      <w:r>
        <w:rPr>
          <w:rStyle w:val="10"/>
          <w:rFonts w:hint="eastAsia" w:ascii="仿宋_GB2312" w:hAnsi="仿宋_GB2312" w:eastAsia="仿宋_GB2312" w:cs="仿宋_GB2312"/>
          <w:b w:val="0"/>
          <w:sz w:val="32"/>
          <w:szCs w:val="32"/>
          <w:lang w:eastAsia="zh-CN" w:bidi="ar"/>
        </w:rPr>
        <w:t>，</w:t>
      </w:r>
      <w:r>
        <w:rPr>
          <w:rStyle w:val="10"/>
          <w:rFonts w:hint="eastAsia" w:ascii="仿宋_GB2312" w:hAnsi="仿宋_GB2312" w:eastAsia="仿宋_GB2312" w:cs="仿宋_GB2312"/>
          <w:b w:val="0"/>
          <w:sz w:val="32"/>
          <w:szCs w:val="32"/>
          <w:lang w:val="en-US" w:eastAsia="zh-CN" w:bidi="ar"/>
        </w:rPr>
        <w:t>46.98万元。</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Cs w:val="0"/>
          <w:spacing w:val="-4"/>
          <w:sz w:val="32"/>
          <w:szCs w:val="32"/>
        </w:rPr>
        <w:t>（一）阿克陶县</w:t>
      </w:r>
      <w:r>
        <w:rPr>
          <w:rStyle w:val="10"/>
          <w:rFonts w:hint="eastAsia" w:ascii="仿宋_GB2312" w:hAnsi="仿宋_GB2312" w:eastAsia="仿宋_GB2312" w:cs="仿宋_GB2312"/>
          <w:bCs w:val="0"/>
          <w:spacing w:val="-4"/>
          <w:sz w:val="32"/>
          <w:szCs w:val="32"/>
          <w:lang w:val="en-US" w:eastAsia="zh-CN"/>
        </w:rPr>
        <w:t>阿克陶镇</w:t>
      </w:r>
      <w:r>
        <w:rPr>
          <w:rStyle w:val="10"/>
          <w:rFonts w:hint="eastAsia" w:ascii="仿宋_GB2312" w:hAnsi="仿宋_GB2312" w:eastAsia="仿宋_GB2312" w:cs="仿宋_GB2312"/>
          <w:bCs w:val="0"/>
          <w:spacing w:val="-4"/>
          <w:sz w:val="32"/>
          <w:szCs w:val="32"/>
        </w:rPr>
        <w:t>项目专项组织情况分析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我单位成立专项支出绩效评价小组，成员如下：</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罗波</w:t>
      </w:r>
      <w:r>
        <w:rPr>
          <w:rStyle w:val="10"/>
          <w:rFonts w:hint="eastAsia" w:ascii="仿宋_GB2312" w:hAnsi="仿宋_GB2312" w:eastAsia="仿宋_GB2312" w:cs="仿宋_GB2312"/>
          <w:b w:val="0"/>
          <w:sz w:val="32"/>
          <w:szCs w:val="32"/>
          <w:lang w:bidi="ar"/>
        </w:rPr>
        <w:t>任评价组组长，绩效评价工作职责为负责全盘工作。</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热艳古丽·热合曼</w:t>
      </w:r>
      <w:r>
        <w:rPr>
          <w:rStyle w:val="10"/>
          <w:rFonts w:hint="eastAsia" w:ascii="仿宋_GB2312" w:hAnsi="仿宋_GB2312" w:eastAsia="仿宋_GB2312" w:cs="仿宋_GB2312"/>
          <w:b w:val="0"/>
          <w:sz w:val="32"/>
          <w:szCs w:val="32"/>
          <w:lang w:bidi="ar"/>
        </w:rPr>
        <w:t>任评价组副组长，绩效评价工作职责为为对项目实施情况进行实地调查。</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汗尼克孜·卡德尔</w:t>
      </w:r>
      <w:r>
        <w:rPr>
          <w:rStyle w:val="10"/>
          <w:rFonts w:hint="eastAsia" w:ascii="仿宋_GB2312" w:hAnsi="仿宋_GB2312" w:eastAsia="仿宋_GB2312" w:cs="仿宋_GB2312"/>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bCs w:val="0"/>
          <w:spacing w:val="-4"/>
          <w:sz w:val="32"/>
          <w:szCs w:val="32"/>
        </w:rPr>
        <w:t>（二）阿克陶县</w:t>
      </w:r>
      <w:r>
        <w:rPr>
          <w:rStyle w:val="10"/>
          <w:rFonts w:hint="eastAsia" w:ascii="仿宋_GB2312" w:hAnsi="仿宋_GB2312" w:eastAsia="仿宋_GB2312" w:cs="仿宋_GB2312"/>
          <w:bCs w:val="0"/>
          <w:spacing w:val="-4"/>
          <w:sz w:val="32"/>
          <w:szCs w:val="32"/>
          <w:lang w:val="en-US" w:eastAsia="zh-CN"/>
        </w:rPr>
        <w:t>阿克陶镇学校</w:t>
      </w:r>
      <w:r>
        <w:rPr>
          <w:rStyle w:val="10"/>
          <w:rFonts w:hint="eastAsia" w:ascii="仿宋_GB2312" w:hAnsi="仿宋_GB2312" w:eastAsia="仿宋_GB2312" w:cs="仿宋_GB2312"/>
          <w:bCs w:val="0"/>
          <w:spacing w:val="-4"/>
          <w:sz w:val="32"/>
          <w:szCs w:val="32"/>
        </w:rPr>
        <w:t>项目专项组织情况分析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1.前期准备</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我单位成立专项支出绩效评价小组，成员如下：</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罗波</w:t>
      </w:r>
      <w:r>
        <w:rPr>
          <w:rStyle w:val="10"/>
          <w:rFonts w:hint="eastAsia" w:ascii="仿宋_GB2312" w:hAnsi="仿宋_GB2312" w:eastAsia="仿宋_GB2312" w:cs="仿宋_GB2312"/>
          <w:b w:val="0"/>
          <w:sz w:val="32"/>
          <w:szCs w:val="32"/>
          <w:lang w:bidi="ar"/>
        </w:rPr>
        <w:t>任评价组组长，绩效评价工作职责为负责全盘工作。</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热艳古丽·热合曼</w:t>
      </w:r>
      <w:r>
        <w:rPr>
          <w:rStyle w:val="10"/>
          <w:rFonts w:hint="eastAsia" w:ascii="仿宋_GB2312" w:hAnsi="仿宋_GB2312" w:eastAsia="仿宋_GB2312" w:cs="仿宋_GB2312"/>
          <w:b w:val="0"/>
          <w:sz w:val="32"/>
          <w:szCs w:val="32"/>
          <w:lang w:bidi="ar"/>
        </w:rPr>
        <w:t>任评价组副组长，绩效评价工作职责为为对项目实施情况进行实地调查。</w:t>
      </w:r>
    </w:p>
    <w:p>
      <w:pPr>
        <w:pStyle w:val="17"/>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val="en-US" w:eastAsia="zh-CN" w:bidi="ar"/>
        </w:rPr>
        <w:t>汗尼克孜·卡德尔</w:t>
      </w:r>
      <w:r>
        <w:rPr>
          <w:rStyle w:val="10"/>
          <w:rFonts w:hint="eastAsia" w:ascii="仿宋_GB2312" w:hAnsi="仿宋_GB2312" w:eastAsia="仿宋_GB2312" w:cs="仿宋_GB2312"/>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2.组织实施</w:t>
      </w:r>
    </w:p>
    <w:p>
      <w:pPr>
        <w:pStyle w:val="12"/>
        <w:snapToGrid w:val="0"/>
        <w:spacing w:line="540" w:lineRule="exact"/>
        <w:ind w:firstLine="640"/>
        <w:rPr>
          <w:rStyle w:val="10"/>
          <w:rFonts w:ascii="仿宋_GB2312" w:hAnsi="仿宋_GB2312" w:eastAsia="仿宋_GB2312" w:cs="仿宋_GB2312"/>
          <w:b w:val="0"/>
          <w:sz w:val="32"/>
          <w:szCs w:val="32"/>
          <w:lang w:bidi="ar"/>
        </w:rPr>
      </w:pPr>
      <w:r>
        <w:rPr>
          <w:rStyle w:val="10"/>
          <w:rFonts w:hint="eastAsia" w:ascii="仿宋_GB2312" w:hAnsi="仿宋_GB2312" w:eastAsia="仿宋_GB2312" w:cs="仿宋_GB2312"/>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（二）专项管理情况分析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1.项目资金情况</w:t>
      </w:r>
    </w:p>
    <w:p>
      <w:pPr>
        <w:pStyle w:val="12"/>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该项目预算资金</w:t>
      </w:r>
      <w:r>
        <w:rPr>
          <w:rStyle w:val="10"/>
          <w:rFonts w:hint="eastAsia" w:ascii="仿宋_GB2312" w:hAnsi="仿宋_GB2312" w:eastAsia="仿宋_GB2312" w:cs="仿宋_GB2312"/>
          <w:b w:val="0"/>
          <w:sz w:val="32"/>
          <w:szCs w:val="32"/>
          <w:lang w:val="en-US" w:eastAsia="zh-CN" w:bidi="ar"/>
        </w:rPr>
        <w:t>347.05</w:t>
      </w:r>
      <w:r>
        <w:rPr>
          <w:rStyle w:val="10"/>
          <w:rFonts w:hint="eastAsia" w:ascii="仿宋_GB2312" w:hAnsi="仿宋_GB2312" w:eastAsia="仿宋_GB2312" w:cs="仿宋_GB2312"/>
          <w:b w:val="0"/>
          <w:bCs w:val="0"/>
          <w:spacing w:val="-4"/>
          <w:sz w:val="32"/>
          <w:szCs w:val="32"/>
        </w:rPr>
        <w:t>万元，实际到位</w:t>
      </w:r>
      <w:r>
        <w:rPr>
          <w:rStyle w:val="10"/>
          <w:rFonts w:hint="eastAsia" w:ascii="仿宋_GB2312" w:hAnsi="仿宋_GB2312" w:eastAsia="仿宋_GB2312" w:cs="仿宋_GB2312"/>
          <w:b w:val="0"/>
          <w:sz w:val="32"/>
          <w:szCs w:val="32"/>
          <w:lang w:val="en-US" w:eastAsia="zh-CN" w:bidi="ar"/>
        </w:rPr>
        <w:t>347.05</w:t>
      </w:r>
      <w:r>
        <w:rPr>
          <w:rStyle w:val="10"/>
          <w:rFonts w:hint="eastAsia" w:ascii="仿宋_GB2312" w:hAnsi="仿宋_GB2312" w:eastAsia="仿宋_GB2312" w:cs="仿宋_GB2312"/>
          <w:b w:val="0"/>
          <w:bCs w:val="0"/>
          <w:spacing w:val="-4"/>
          <w:sz w:val="32"/>
          <w:szCs w:val="32"/>
        </w:rPr>
        <w:t>万元，实际支出</w:t>
      </w:r>
      <w:r>
        <w:rPr>
          <w:rStyle w:val="10"/>
          <w:rFonts w:hint="eastAsia" w:ascii="仿宋_GB2312" w:hAnsi="仿宋_GB2312" w:eastAsia="仿宋_GB2312" w:cs="仿宋_GB2312"/>
          <w:b w:val="0"/>
          <w:sz w:val="32"/>
          <w:szCs w:val="32"/>
          <w:lang w:val="en-US" w:eastAsia="zh-CN" w:bidi="ar"/>
        </w:rPr>
        <w:t>347.05</w:t>
      </w:r>
      <w:r>
        <w:rPr>
          <w:rStyle w:val="10"/>
          <w:rFonts w:hint="eastAsia" w:ascii="仿宋_GB2312" w:hAnsi="仿宋_GB2312" w:eastAsia="仿宋_GB2312" w:cs="仿宋_GB2312"/>
          <w:b w:val="0"/>
          <w:bCs w:val="0"/>
          <w:spacing w:val="-4"/>
          <w:sz w:val="32"/>
          <w:szCs w:val="32"/>
        </w:rPr>
        <w:t>万元。到位足额及时，预算编制依据充分，预算编制准确，资金不存在截留、挪用，支付审批合规、不存在用途改变、范围超支和虚列项目支出等情况；本项目严格按照《阿克陶县</w:t>
      </w:r>
      <w:r>
        <w:rPr>
          <w:rStyle w:val="10"/>
          <w:rFonts w:hint="eastAsia" w:ascii="仿宋_GB2312" w:hAnsi="仿宋_GB2312" w:eastAsia="仿宋_GB2312" w:cs="仿宋_GB2312"/>
          <w:b w:val="0"/>
          <w:bCs w:val="0"/>
          <w:spacing w:val="-4"/>
          <w:sz w:val="32"/>
          <w:szCs w:val="32"/>
          <w:lang w:val="en-US" w:eastAsia="zh-CN"/>
        </w:rPr>
        <w:t>阿克陶镇学校</w:t>
      </w:r>
      <w:r>
        <w:rPr>
          <w:rStyle w:val="10"/>
          <w:rFonts w:hint="eastAsia" w:ascii="仿宋_GB2312" w:hAnsi="仿宋_GB2312" w:eastAsia="仿宋_GB2312" w:cs="仿宋_GB2312"/>
          <w:b w:val="0"/>
          <w:bCs w:val="0"/>
          <w:spacing w:val="-4"/>
          <w:sz w:val="32"/>
          <w:szCs w:val="32"/>
        </w:rPr>
        <w:t>财务管理制度》执行项目资金，实行专账核算、逐级审批。认真落实项目资金的使用各项管理制度，确保专款专用，及时拨付到位。</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2.项目实施情况</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项目组织情况：</w:t>
      </w:r>
      <w:r>
        <w:rPr>
          <w:rStyle w:val="10"/>
          <w:rFonts w:hint="eastAsia" w:ascii="仿宋_GB2312" w:hAnsi="仿宋_GB2312" w:eastAsia="仿宋_GB2312" w:cs="仿宋_GB2312"/>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项目管理情况：</w:t>
      </w:r>
      <w:r>
        <w:rPr>
          <w:rStyle w:val="10"/>
          <w:rFonts w:hint="eastAsia" w:ascii="仿宋_GB2312" w:hAnsi="仿宋_GB2312" w:eastAsia="仿宋_GB2312" w:cs="仿宋_GB2312"/>
          <w:b w:val="0"/>
          <w:bCs w:val="0"/>
          <w:spacing w:val="-4"/>
          <w:sz w:val="32"/>
          <w:szCs w:val="32"/>
        </w:rPr>
        <w:t>根据《项目绩效管理办法》及单位相关项目管理制度的规定，对项目的实施进行监督管理。建立健全项目后续各项监督管理制度，确保项目正常运转，长期发挥效益。</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项目监管情况：</w:t>
      </w:r>
      <w:r>
        <w:rPr>
          <w:rStyle w:val="10"/>
          <w:rFonts w:hint="eastAsia" w:ascii="仿宋_GB2312" w:hAnsi="仿宋_GB2312" w:eastAsia="仿宋_GB2312" w:cs="仿宋_GB2312"/>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3.项目绩效情况</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成本控制情况：</w:t>
      </w:r>
      <w:r>
        <w:rPr>
          <w:rStyle w:val="10"/>
          <w:rFonts w:hint="eastAsia" w:ascii="仿宋_GB2312" w:hAnsi="仿宋_GB2312" w:eastAsia="仿宋_GB2312" w:cs="仿宋_GB2312"/>
          <w:b w:val="0"/>
          <w:bCs w:val="0"/>
          <w:spacing w:val="-4"/>
          <w:sz w:val="32"/>
          <w:szCs w:val="32"/>
        </w:rPr>
        <w:t>严格按照相关的专项资金管理办法，实行多重审批控制专项经费的支出。</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成本节约情况：</w:t>
      </w:r>
      <w:r>
        <w:rPr>
          <w:rStyle w:val="10"/>
          <w:rFonts w:hint="eastAsia" w:ascii="仿宋_GB2312" w:hAnsi="仿宋_GB2312" w:eastAsia="仿宋_GB2312" w:cs="仿宋_GB2312"/>
          <w:b w:val="0"/>
          <w:bCs w:val="0"/>
          <w:spacing w:val="-4"/>
          <w:sz w:val="32"/>
          <w:szCs w:val="32"/>
        </w:rPr>
        <w:t>项目根据实际情况做出合理预算，支出严格控制在预算范围内，本着节约成本，防止资源浪费的原则将项目成效最大化。</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4.项目效率性</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项目实施进度：</w:t>
      </w:r>
      <w:r>
        <w:rPr>
          <w:rStyle w:val="10"/>
          <w:rFonts w:hint="eastAsia" w:ascii="仿宋_GB2312" w:hAnsi="仿宋_GB2312" w:eastAsia="仿宋_GB2312" w:cs="仿宋_GB2312"/>
          <w:b w:val="0"/>
          <w:bCs w:val="0"/>
          <w:spacing w:val="-4"/>
          <w:sz w:val="32"/>
          <w:szCs w:val="32"/>
        </w:rPr>
        <w:t>项目实施紧扣各个环节，逐步推进，及时与职能部门跟踪项目进展，加强项目督办，充分调动职能部门的积极性，加大项目投入工作的力度，加快项目实施进度。</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项目完成质量：</w:t>
      </w:r>
      <w:r>
        <w:rPr>
          <w:rStyle w:val="10"/>
          <w:rFonts w:hint="eastAsia" w:ascii="仿宋_GB2312" w:hAnsi="仿宋_GB2312" w:eastAsia="仿宋_GB2312" w:cs="仿宋_GB2312"/>
          <w:b w:val="0"/>
          <w:bCs w:val="0"/>
          <w:spacing w:val="-4"/>
          <w:sz w:val="32"/>
          <w:szCs w:val="32"/>
        </w:rPr>
        <w:t>项目严格按照年度预期目标执行，项目完成质量达标。</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5.项目效益性</w:t>
      </w:r>
    </w:p>
    <w:p>
      <w:pPr>
        <w:pStyle w:val="12"/>
        <w:snapToGrid w:val="0"/>
        <w:spacing w:line="540" w:lineRule="exact"/>
        <w:ind w:firstLine="627"/>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预期目标完成程度：</w:t>
      </w:r>
      <w:r>
        <w:rPr>
          <w:rStyle w:val="10"/>
          <w:rFonts w:hint="eastAsia" w:ascii="仿宋_GB2312" w:hAnsi="仿宋_GB2312" w:eastAsia="仿宋_GB2312" w:cs="仿宋_GB2312"/>
          <w:b w:val="0"/>
          <w:bCs w:val="0"/>
          <w:spacing w:val="-4"/>
          <w:sz w:val="32"/>
          <w:szCs w:val="32"/>
        </w:rPr>
        <w:t>按预定目标完成了年初所设定的各项指标。专项经费实际支出未超出预算规定，保障了专项工作的开展。</w:t>
      </w:r>
    </w:p>
    <w:p>
      <w:pPr>
        <w:pStyle w:val="12"/>
        <w:snapToGrid w:val="0"/>
        <w:spacing w:line="540" w:lineRule="exact"/>
        <w:ind w:left="319" w:leftChars="152" w:firstLine="313" w:firstLineChars="100"/>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spacing w:val="-4"/>
          <w:sz w:val="32"/>
          <w:szCs w:val="32"/>
        </w:rPr>
        <w:t>项目实施对效益的影响：</w:t>
      </w:r>
      <w:r>
        <w:rPr>
          <w:rStyle w:val="10"/>
          <w:rFonts w:hint="eastAsia" w:ascii="仿宋_GB2312" w:hAnsi="仿宋_GB2312" w:eastAsia="仿宋_GB2312" w:cs="仿宋_GB2312"/>
          <w:b w:val="0"/>
          <w:bCs w:val="0"/>
          <w:spacing w:val="-4"/>
          <w:sz w:val="32"/>
          <w:szCs w:val="32"/>
        </w:rPr>
        <w:t>项目的实施有效提升了培训人员的爱国主义意识，持续保障了培训工作的顺利开展。</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4" w:name="_Toc27846_WPSOffice_Level1"/>
      <w:r>
        <w:rPr>
          <w:rStyle w:val="10"/>
          <w:rFonts w:hint="eastAsia" w:ascii="仿宋_GB2312" w:hAnsi="仿宋_GB2312" w:eastAsia="仿宋_GB2312" w:cs="仿宋_GB2312"/>
          <w:spacing w:val="-4"/>
          <w:sz w:val="32"/>
          <w:szCs w:val="32"/>
        </w:rPr>
        <w:t>资产管理情况</w:t>
      </w:r>
      <w:bookmarkEnd w:id="4"/>
    </w:p>
    <w:p>
      <w:pPr>
        <w:pStyle w:val="12"/>
        <w:tabs>
          <w:tab w:val="left" w:pos="0"/>
        </w:tabs>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（一）资产管理规范性</w:t>
      </w:r>
    </w:p>
    <w:p>
      <w:pPr>
        <w:pStyle w:val="17"/>
        <w:snapToGrid w:val="0"/>
        <w:spacing w:line="540" w:lineRule="exact"/>
        <w:ind w:firstLine="640"/>
        <w:rPr>
          <w:rFonts w:ascii="仿宋" w:hAnsi="仿宋" w:eastAsia="仿宋" w:cs="宋体"/>
          <w:bCs/>
          <w:color w:val="FF0000"/>
          <w:sz w:val="32"/>
          <w:szCs w:val="32"/>
          <w:lang w:bidi="ar"/>
        </w:rPr>
      </w:pPr>
      <w:r>
        <w:rPr>
          <w:rFonts w:hint="eastAsia" w:ascii="仿宋" w:hAnsi="仿宋" w:eastAsia="仿宋" w:cs="宋体"/>
          <w:bCs/>
          <w:color w:val="333333"/>
          <w:sz w:val="32"/>
          <w:szCs w:val="32"/>
          <w:lang w:bidi="ar"/>
        </w:rPr>
        <w:t>我单位2021年资产合计数为</w:t>
      </w:r>
      <w:r>
        <w:rPr>
          <w:rFonts w:hint="eastAsia" w:ascii="仿宋" w:hAnsi="仿宋" w:eastAsia="仿宋" w:cs="宋体"/>
          <w:bCs/>
          <w:color w:val="333333"/>
          <w:sz w:val="32"/>
          <w:szCs w:val="32"/>
          <w:lang w:val="en-US" w:eastAsia="zh-CN" w:bidi="ar"/>
        </w:rPr>
        <w:t>3596.94</w:t>
      </w:r>
      <w:r>
        <w:rPr>
          <w:rFonts w:hint="eastAsia" w:ascii="仿宋" w:hAnsi="仿宋" w:eastAsia="仿宋" w:cs="宋体"/>
          <w:bCs/>
          <w:color w:val="333333"/>
          <w:sz w:val="32"/>
          <w:szCs w:val="32"/>
          <w:lang w:bidi="ar"/>
        </w:rPr>
        <w:t>万元，比上年增加</w:t>
      </w:r>
      <w:r>
        <w:rPr>
          <w:rFonts w:hint="eastAsia" w:ascii="仿宋" w:hAnsi="仿宋" w:eastAsia="仿宋" w:cs="宋体"/>
          <w:bCs/>
          <w:color w:val="333333"/>
          <w:sz w:val="32"/>
          <w:szCs w:val="32"/>
          <w:lang w:val="en-US" w:eastAsia="zh-CN" w:bidi="ar"/>
        </w:rPr>
        <w:t>1724.94</w:t>
      </w:r>
      <w:r>
        <w:rPr>
          <w:rFonts w:hint="eastAsia" w:ascii="仿宋" w:hAnsi="仿宋" w:eastAsia="仿宋" w:cs="宋体"/>
          <w:bCs/>
          <w:color w:val="333333"/>
          <w:sz w:val="32"/>
          <w:szCs w:val="32"/>
          <w:lang w:bidi="ar"/>
        </w:rPr>
        <w:t>万元，主要原因是本单位今年</w:t>
      </w:r>
      <w:r>
        <w:rPr>
          <w:rFonts w:hint="eastAsia" w:ascii="仿宋" w:hAnsi="仿宋" w:eastAsia="仿宋" w:cs="宋体"/>
          <w:bCs/>
          <w:color w:val="333333"/>
          <w:sz w:val="32"/>
          <w:szCs w:val="32"/>
          <w:lang w:val="en-US" w:eastAsia="zh-CN" w:bidi="ar"/>
        </w:rPr>
        <w:t>固定资产增加</w:t>
      </w:r>
      <w:r>
        <w:rPr>
          <w:rFonts w:hint="eastAsia" w:ascii="仿宋" w:hAnsi="仿宋" w:eastAsia="仿宋" w:cs="宋体"/>
          <w:bCs/>
          <w:color w:val="333333"/>
          <w:sz w:val="32"/>
          <w:szCs w:val="32"/>
          <w:lang w:bidi="ar"/>
        </w:rPr>
        <w:t>，其中：货币资金</w:t>
      </w:r>
      <w:r>
        <w:rPr>
          <w:rFonts w:hint="eastAsia" w:ascii="仿宋" w:hAnsi="仿宋" w:eastAsia="仿宋" w:cs="宋体"/>
          <w:bCs/>
          <w:color w:val="333333"/>
          <w:sz w:val="32"/>
          <w:szCs w:val="32"/>
          <w:lang w:val="en-US" w:eastAsia="zh-CN" w:bidi="ar"/>
        </w:rPr>
        <w:t>206.58</w:t>
      </w:r>
      <w:r>
        <w:rPr>
          <w:rFonts w:hint="eastAsia" w:ascii="仿宋" w:hAnsi="仿宋" w:eastAsia="仿宋" w:cs="宋体"/>
          <w:bCs/>
          <w:color w:val="333333"/>
          <w:sz w:val="32"/>
          <w:szCs w:val="32"/>
          <w:lang w:bidi="ar"/>
        </w:rPr>
        <w:t>万元，比上年</w:t>
      </w:r>
      <w:r>
        <w:rPr>
          <w:rFonts w:hint="eastAsia" w:ascii="仿宋" w:hAnsi="仿宋" w:eastAsia="仿宋" w:cs="宋体"/>
          <w:bCs/>
          <w:color w:val="333333"/>
          <w:sz w:val="32"/>
          <w:szCs w:val="32"/>
          <w:lang w:val="en-US" w:eastAsia="zh-CN" w:bidi="ar"/>
        </w:rPr>
        <w:t>增加126.2</w:t>
      </w:r>
      <w:r>
        <w:rPr>
          <w:rFonts w:hint="eastAsia" w:ascii="仿宋" w:hAnsi="仿宋" w:eastAsia="仿宋" w:cs="宋体"/>
          <w:bCs/>
          <w:color w:val="333333"/>
          <w:sz w:val="32"/>
          <w:szCs w:val="32"/>
          <w:lang w:bidi="ar"/>
        </w:rPr>
        <w:t>万元；财政应返还额度0万元，比上年相比无变化；房屋</w:t>
      </w:r>
      <w:r>
        <w:rPr>
          <w:rFonts w:hint="eastAsia" w:ascii="仿宋" w:hAnsi="仿宋" w:eastAsia="仿宋" w:cs="宋体"/>
          <w:bCs/>
          <w:color w:val="333333"/>
          <w:sz w:val="32"/>
          <w:szCs w:val="32"/>
          <w:lang w:val="en-US" w:eastAsia="zh-CN" w:bidi="ar"/>
        </w:rPr>
        <w:t>1.93万</w:t>
      </w:r>
      <w:r>
        <w:rPr>
          <w:rFonts w:hint="eastAsia" w:ascii="仿宋" w:hAnsi="仿宋" w:eastAsia="仿宋" w:cs="宋体"/>
          <w:bCs/>
          <w:color w:val="333333"/>
          <w:sz w:val="32"/>
          <w:szCs w:val="32"/>
          <w:lang w:bidi="ar"/>
        </w:rPr>
        <w:t>平方米</w:t>
      </w:r>
      <w:r>
        <w:rPr>
          <w:rFonts w:hint="eastAsia" w:ascii="仿宋" w:hAnsi="仿宋" w:eastAsia="仿宋" w:cs="宋体"/>
          <w:bCs/>
          <w:color w:val="333333"/>
          <w:sz w:val="32"/>
          <w:szCs w:val="32"/>
          <w:lang w:val="en-US" w:eastAsia="zh-CN" w:bidi="ar"/>
        </w:rPr>
        <w:t>2821.92</w:t>
      </w:r>
      <w:r>
        <w:rPr>
          <w:rFonts w:hint="eastAsia" w:ascii="仿宋" w:hAnsi="仿宋" w:eastAsia="仿宋" w:cs="宋体"/>
          <w:bCs/>
          <w:color w:val="333333"/>
          <w:sz w:val="32"/>
          <w:szCs w:val="32"/>
          <w:lang w:bidi="ar"/>
        </w:rPr>
        <w:t>万元，比上年增加</w:t>
      </w:r>
      <w:r>
        <w:rPr>
          <w:rFonts w:hint="eastAsia" w:ascii="仿宋" w:hAnsi="仿宋" w:eastAsia="仿宋" w:cs="宋体"/>
          <w:bCs/>
          <w:color w:val="333333"/>
          <w:sz w:val="32"/>
          <w:szCs w:val="32"/>
          <w:lang w:val="en-US" w:eastAsia="zh-CN" w:bidi="ar"/>
        </w:rPr>
        <w:t>1540.39</w:t>
      </w:r>
      <w:r>
        <w:rPr>
          <w:rFonts w:hint="eastAsia" w:ascii="仿宋" w:hAnsi="仿宋" w:eastAsia="仿宋" w:cs="宋体"/>
          <w:bCs/>
          <w:color w:val="333333"/>
          <w:sz w:val="32"/>
          <w:szCs w:val="32"/>
          <w:lang w:bidi="ar"/>
        </w:rPr>
        <w:t>万元；车辆0辆0万元，与上年相比无变化；在建工程0万元，与上年持平</w:t>
      </w:r>
      <w:r>
        <w:rPr>
          <w:rFonts w:hint="eastAsia" w:ascii="仿宋" w:hAnsi="仿宋" w:eastAsia="仿宋" w:cs="宋体"/>
          <w:bCs/>
          <w:color w:val="333333"/>
          <w:sz w:val="32"/>
          <w:szCs w:val="32"/>
          <w:lang w:eastAsia="zh-CN" w:bidi="ar"/>
        </w:rPr>
        <w:t>。</w:t>
      </w:r>
      <w:r>
        <w:rPr>
          <w:rFonts w:hint="eastAsia" w:ascii="仿宋" w:hAnsi="仿宋" w:eastAsia="仿宋" w:cs="宋体"/>
          <w:bCs/>
          <w:color w:val="333333"/>
          <w:sz w:val="32"/>
          <w:szCs w:val="32"/>
          <w:lang w:bidi="ar"/>
        </w:rPr>
        <w:t>我单位本年无资产处置情况，资产配置合理，使用规范，安全完整</w:t>
      </w:r>
      <w:r>
        <w:rPr>
          <w:rFonts w:hint="eastAsia" w:ascii="仿宋" w:hAnsi="仿宋" w:eastAsia="仿宋" w:cs="宋体"/>
          <w:bCs/>
          <w:sz w:val="32"/>
          <w:szCs w:val="32"/>
          <w:lang w:bidi="ar"/>
        </w:rPr>
        <w:t>。</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1.资产管理情况。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2.固定资产利用情况。</w:t>
      </w:r>
    </w:p>
    <w:p>
      <w:pPr>
        <w:pStyle w:val="12"/>
        <w:snapToGrid w:val="0"/>
        <w:spacing w:line="540" w:lineRule="exact"/>
        <w:ind w:firstLine="640"/>
        <w:rPr>
          <w:rFonts w:ascii="仿宋" w:hAnsi="仿宋" w:eastAsia="仿宋" w:cs="宋体"/>
          <w:bCs/>
          <w:color w:val="333333"/>
          <w:sz w:val="32"/>
          <w:szCs w:val="32"/>
          <w:lang w:bidi="ar"/>
        </w:rPr>
      </w:pPr>
      <w:r>
        <w:rPr>
          <w:rFonts w:hint="eastAsia" w:ascii="仿宋" w:hAnsi="仿宋" w:eastAsia="仿宋" w:cs="宋体"/>
          <w:bCs/>
          <w:color w:val="333333"/>
          <w:sz w:val="32"/>
          <w:szCs w:val="32"/>
          <w:lang w:bidi="ar"/>
        </w:rPr>
        <w:t>我单位固定资产</w:t>
      </w:r>
      <w:r>
        <w:rPr>
          <w:rFonts w:hint="eastAsia" w:ascii="仿宋" w:hAnsi="仿宋" w:eastAsia="仿宋" w:cs="宋体"/>
          <w:bCs/>
          <w:color w:val="333333"/>
          <w:sz w:val="32"/>
          <w:szCs w:val="32"/>
          <w:lang w:val="en-US" w:eastAsia="zh-CN" w:bidi="ar"/>
        </w:rPr>
        <w:t>3363.37</w:t>
      </w:r>
      <w:r>
        <w:rPr>
          <w:rFonts w:hint="eastAsia" w:ascii="仿宋" w:hAnsi="仿宋" w:eastAsia="仿宋" w:cs="宋体"/>
          <w:bCs/>
          <w:color w:val="333333"/>
          <w:sz w:val="32"/>
          <w:szCs w:val="32"/>
          <w:lang w:bidi="ar"/>
        </w:rPr>
        <w:t>万元,其中:</w:t>
      </w:r>
      <w:r>
        <w:rPr>
          <w:rFonts w:hint="eastAsia" w:ascii="仿宋" w:hAnsi="仿宋" w:eastAsia="仿宋" w:cs="宋体"/>
          <w:bCs/>
          <w:color w:val="333333"/>
          <w:sz w:val="32"/>
          <w:szCs w:val="32"/>
          <w:lang w:val="en-US" w:eastAsia="zh-CN" w:bidi="ar"/>
        </w:rPr>
        <w:t>6</w:t>
      </w:r>
      <w:r>
        <w:rPr>
          <w:rFonts w:hint="eastAsia" w:ascii="仿宋" w:hAnsi="仿宋" w:eastAsia="仿宋" w:cs="宋体"/>
          <w:bCs/>
          <w:color w:val="333333"/>
          <w:sz w:val="32"/>
          <w:szCs w:val="32"/>
          <w:lang w:bidi="ar"/>
        </w:rPr>
        <w:t>栋套房屋</w:t>
      </w:r>
      <w:r>
        <w:rPr>
          <w:rFonts w:hint="eastAsia" w:ascii="仿宋" w:hAnsi="仿宋" w:eastAsia="仿宋" w:cs="宋体"/>
          <w:bCs/>
          <w:color w:val="333333"/>
          <w:sz w:val="32"/>
          <w:szCs w:val="32"/>
          <w:lang w:val="en-US" w:eastAsia="zh-CN" w:bidi="ar"/>
        </w:rPr>
        <w:t>3363.37</w:t>
      </w:r>
      <w:r>
        <w:rPr>
          <w:rFonts w:hint="eastAsia" w:ascii="仿宋" w:hAnsi="仿宋" w:eastAsia="仿宋" w:cs="宋体"/>
          <w:bCs/>
          <w:color w:val="333333"/>
          <w:sz w:val="32"/>
          <w:szCs w:val="32"/>
          <w:lang w:bidi="ar"/>
        </w:rPr>
        <w:t>万元，0辆车0万元，0个专用设备0万元。目前正在使用的固定资产总额</w:t>
      </w:r>
      <w:r>
        <w:rPr>
          <w:rFonts w:hint="eastAsia" w:ascii="仿宋" w:hAnsi="仿宋" w:eastAsia="仿宋" w:cs="宋体"/>
          <w:bCs/>
          <w:color w:val="333333"/>
          <w:sz w:val="32"/>
          <w:szCs w:val="32"/>
          <w:lang w:val="en-US" w:eastAsia="zh-CN" w:bidi="ar"/>
        </w:rPr>
        <w:t>3363.37</w:t>
      </w:r>
      <w:r>
        <w:rPr>
          <w:rFonts w:hint="eastAsia" w:ascii="仿宋" w:hAnsi="仿宋" w:eastAsia="仿宋" w:cs="宋体"/>
          <w:bCs/>
          <w:color w:val="333333"/>
          <w:sz w:val="32"/>
          <w:szCs w:val="32"/>
          <w:lang w:bidi="ar"/>
        </w:rPr>
        <w:t>万元，固定资产利用率为100%。</w:t>
      </w:r>
    </w:p>
    <w:p>
      <w:pPr>
        <w:pStyle w:val="12"/>
        <w:snapToGrid w:val="0"/>
        <w:spacing w:line="540" w:lineRule="exact"/>
        <w:ind w:firstLine="624"/>
        <w:rPr>
          <w:rStyle w:val="10"/>
          <w:rFonts w:ascii="仿宋" w:hAnsi="仿宋" w:eastAsia="仿宋"/>
          <w:b w:val="0"/>
          <w:bCs w:val="0"/>
          <w:color w:val="000000" w:themeColor="text1"/>
          <w:spacing w:val="-4"/>
          <w:sz w:val="32"/>
          <w:szCs w:val="32"/>
          <w14:textFill>
            <w14:solidFill>
              <w14:schemeClr w14:val="tx1"/>
            </w14:solidFill>
          </w14:textFill>
        </w:rPr>
      </w:pPr>
      <w:r>
        <w:rPr>
          <w:rStyle w:val="10"/>
          <w:rFonts w:hint="eastAsia" w:ascii="仿宋" w:hAnsi="仿宋" w:eastAsia="仿宋"/>
          <w:b w:val="0"/>
          <w:bCs w:val="0"/>
          <w:spacing w:val="-4"/>
          <w:sz w:val="32"/>
          <w:szCs w:val="32"/>
        </w:rPr>
        <w:t>3.</w:t>
      </w:r>
      <w:r>
        <w:rPr>
          <w:rStyle w:val="10"/>
          <w:rFonts w:hint="eastAsia" w:ascii="仿宋" w:hAnsi="仿宋" w:eastAsia="仿宋"/>
          <w:b w:val="0"/>
          <w:bCs w:val="0"/>
          <w:color w:val="000000" w:themeColor="text1"/>
          <w:spacing w:val="-4"/>
          <w:sz w:val="32"/>
          <w:szCs w:val="32"/>
          <w14:textFill>
            <w14:solidFill>
              <w14:schemeClr w14:val="tx1"/>
            </w14:solidFill>
          </w14:textFill>
        </w:rPr>
        <w:t>流动资产管理情况。</w:t>
      </w:r>
    </w:p>
    <w:p>
      <w:pPr>
        <w:pStyle w:val="17"/>
        <w:snapToGrid w:val="0"/>
        <w:spacing w:line="540" w:lineRule="exact"/>
        <w:ind w:firstLine="624"/>
        <w:rPr>
          <w:rStyle w:val="10"/>
          <w:rFonts w:ascii="仿宋_GB2312" w:hAnsi="仿宋_GB2312" w:eastAsia="仿宋_GB2312" w:cs="仿宋_GB2312"/>
          <w:spacing w:val="-4"/>
          <w:sz w:val="32"/>
          <w:szCs w:val="32"/>
        </w:rPr>
      </w:pPr>
      <w:r>
        <w:rPr>
          <w:rStyle w:val="10"/>
          <w:rFonts w:hint="eastAsia" w:ascii="仿宋" w:hAnsi="仿宋" w:eastAsia="仿宋"/>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12"/>
        <w:tabs>
          <w:tab w:val="left" w:pos="0"/>
        </w:tabs>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（二）固定资产利用率</w:t>
      </w:r>
    </w:p>
    <w:p>
      <w:pPr>
        <w:pStyle w:val="12"/>
        <w:tabs>
          <w:tab w:val="left" w:pos="0"/>
        </w:tabs>
        <w:snapToGrid w:val="0"/>
        <w:spacing w:line="540" w:lineRule="exact"/>
        <w:ind w:firstLine="624"/>
        <w:rPr>
          <w:rStyle w:val="10"/>
          <w:rFonts w:ascii="仿宋_GB2312" w:hAnsi="仿宋_GB2312" w:eastAsia="仿宋_GB2312" w:cs="仿宋_GB2312"/>
          <w:b w:val="0"/>
          <w:bCs w:val="0"/>
          <w:color w:val="FF0000"/>
          <w:spacing w:val="-4"/>
          <w:sz w:val="32"/>
          <w:szCs w:val="32"/>
        </w:rPr>
      </w:pPr>
      <w:r>
        <w:rPr>
          <w:rStyle w:val="10"/>
          <w:rFonts w:hint="eastAsia" w:ascii="仿宋" w:hAnsi="仿宋" w:eastAsia="仿宋" w:cstheme="minorBidi"/>
          <w:b w:val="0"/>
          <w:bCs w:val="0"/>
          <w:spacing w:val="-4"/>
          <w:sz w:val="32"/>
          <w:szCs w:val="32"/>
        </w:rPr>
        <w:t>截止本年度固定资产账面净值</w:t>
      </w:r>
      <w:r>
        <w:rPr>
          <w:rStyle w:val="10"/>
          <w:rFonts w:hint="eastAsia" w:ascii="仿宋" w:hAnsi="仿宋" w:eastAsia="仿宋" w:cstheme="minorBidi"/>
          <w:b w:val="0"/>
          <w:bCs w:val="0"/>
          <w:spacing w:val="-4"/>
          <w:sz w:val="32"/>
          <w:szCs w:val="32"/>
          <w:lang w:val="en-US" w:eastAsia="zh-CN"/>
        </w:rPr>
        <w:t>2813.78</w:t>
      </w:r>
      <w:r>
        <w:rPr>
          <w:rStyle w:val="10"/>
          <w:rFonts w:hint="eastAsia" w:ascii="仿宋" w:hAnsi="仿宋" w:eastAsia="仿宋" w:cstheme="minorBidi"/>
          <w:b w:val="0"/>
          <w:bCs w:val="0"/>
          <w:spacing w:val="-4"/>
          <w:sz w:val="32"/>
          <w:szCs w:val="32"/>
        </w:rPr>
        <w:t>万元，年末实际在用固定资产</w:t>
      </w:r>
      <w:r>
        <w:rPr>
          <w:rFonts w:hint="eastAsia" w:ascii="仿宋" w:hAnsi="仿宋" w:eastAsia="仿宋" w:cs="宋体"/>
          <w:bCs/>
          <w:color w:val="333333"/>
          <w:sz w:val="32"/>
          <w:szCs w:val="32"/>
          <w:lang w:val="en-US" w:eastAsia="zh-CN" w:bidi="ar"/>
        </w:rPr>
        <w:t>3363.37</w:t>
      </w:r>
      <w:r>
        <w:rPr>
          <w:rStyle w:val="10"/>
          <w:rFonts w:hint="eastAsia" w:ascii="仿宋" w:hAnsi="仿宋" w:eastAsia="仿宋" w:cstheme="minorBidi"/>
          <w:b w:val="0"/>
          <w:bCs w:val="0"/>
          <w:spacing w:val="-4"/>
          <w:sz w:val="32"/>
          <w:szCs w:val="32"/>
        </w:rPr>
        <w:t>万元，固定资产利用率为100%。</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bookmarkStart w:id="5" w:name="_Toc13582_WPSOffice_Level1"/>
      <w:r>
        <w:rPr>
          <w:rStyle w:val="10"/>
          <w:rFonts w:hint="eastAsia" w:ascii="仿宋_GB2312" w:hAnsi="仿宋_GB2312" w:eastAsia="仿宋_GB2312" w:cs="仿宋_GB2312"/>
          <w:spacing w:val="-4"/>
          <w:sz w:val="32"/>
          <w:szCs w:val="32"/>
        </w:rPr>
        <w:t>部门单位整体支出绩效情况</w:t>
      </w:r>
      <w:bookmarkEnd w:id="5"/>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部门单位整体支出自评表，共设置一级指标3个，二级指标7个，三级指标</w:t>
      </w:r>
      <w:r>
        <w:rPr>
          <w:rStyle w:val="10"/>
          <w:rFonts w:hint="eastAsia" w:ascii="仿宋_GB2312" w:hAnsi="仿宋_GB2312" w:eastAsia="仿宋_GB2312" w:cs="仿宋_GB2312"/>
          <w:b w:val="0"/>
          <w:bCs w:val="0"/>
          <w:spacing w:val="-4"/>
          <w:sz w:val="32"/>
          <w:szCs w:val="32"/>
          <w:lang w:val="en-US" w:eastAsia="zh-CN"/>
        </w:rPr>
        <w:t>12</w:t>
      </w:r>
      <w:r>
        <w:rPr>
          <w:rStyle w:val="10"/>
          <w:rFonts w:hint="eastAsia" w:ascii="仿宋_GB2312" w:hAnsi="仿宋_GB2312" w:eastAsia="仿宋_GB2312" w:cs="仿宋_GB2312"/>
          <w:b w:val="0"/>
          <w:bCs w:val="0"/>
          <w:spacing w:val="-4"/>
          <w:sz w:val="32"/>
          <w:szCs w:val="32"/>
        </w:rPr>
        <w:t>个。</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（一）产出指标完成情况分析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1.产出数量</w:t>
      </w:r>
    </w:p>
    <w:p>
      <w:pPr>
        <w:pStyle w:val="17"/>
        <w:snapToGrid w:val="0"/>
        <w:spacing w:line="540" w:lineRule="exact"/>
        <w:ind w:firstLine="624"/>
        <w:rPr>
          <w:rStyle w:val="10"/>
          <w:rFonts w:hint="default" w:ascii="仿宋_GB2312" w:hAnsi="仿宋_GB2312" w:eastAsia="仿宋_GB2312" w:cs="仿宋_GB2312"/>
          <w:b w:val="0"/>
          <w:bCs w:val="0"/>
          <w:spacing w:val="-4"/>
          <w:sz w:val="32"/>
          <w:szCs w:val="32"/>
          <w:lang w:val="en-US" w:eastAsia="zh-CN"/>
        </w:rPr>
      </w:pPr>
      <w:r>
        <w:rPr>
          <w:rStyle w:val="10"/>
          <w:rFonts w:hint="eastAsia" w:ascii="仿宋_GB2312" w:hAnsi="仿宋_GB2312" w:eastAsia="仿宋_GB2312" w:cs="仿宋_GB2312"/>
          <w:b w:val="0"/>
          <w:bCs w:val="0"/>
          <w:spacing w:val="-4"/>
          <w:sz w:val="32"/>
          <w:szCs w:val="32"/>
        </w:rPr>
        <w:t>“保障人员人数（人）”指标，预期指标是</w:t>
      </w:r>
      <w:r>
        <w:rPr>
          <w:rStyle w:val="10"/>
          <w:rFonts w:hint="eastAsia" w:ascii="仿宋_GB2312" w:hAnsi="仿宋_GB2312" w:eastAsia="仿宋_GB2312" w:cs="仿宋_GB2312"/>
          <w:b w:val="0"/>
          <w:bCs w:val="0"/>
          <w:spacing w:val="-4"/>
          <w:sz w:val="32"/>
          <w:szCs w:val="32"/>
          <w:lang w:val="en-US" w:eastAsia="zh-CN"/>
        </w:rPr>
        <w:t>221</w:t>
      </w:r>
      <w:r>
        <w:rPr>
          <w:rStyle w:val="10"/>
          <w:rFonts w:hint="eastAsia" w:ascii="仿宋_GB2312" w:hAnsi="仿宋_GB2312" w:eastAsia="仿宋_GB2312" w:cs="仿宋_GB2312"/>
          <w:b w:val="0"/>
          <w:bCs w:val="0"/>
          <w:spacing w:val="-4"/>
          <w:sz w:val="32"/>
          <w:szCs w:val="32"/>
        </w:rPr>
        <w:t>人，实际完成值是</w:t>
      </w:r>
      <w:r>
        <w:rPr>
          <w:rStyle w:val="10"/>
          <w:rFonts w:hint="eastAsia" w:ascii="仿宋_GB2312" w:hAnsi="仿宋_GB2312" w:eastAsia="仿宋_GB2312" w:cs="仿宋_GB2312"/>
          <w:b w:val="0"/>
          <w:bCs w:val="0"/>
          <w:spacing w:val="-4"/>
          <w:sz w:val="32"/>
          <w:szCs w:val="32"/>
          <w:lang w:val="en-US" w:eastAsia="zh-CN"/>
        </w:rPr>
        <w:t>206</w:t>
      </w:r>
      <w:r>
        <w:rPr>
          <w:rStyle w:val="10"/>
          <w:rFonts w:hint="eastAsia" w:ascii="仿宋_GB2312" w:hAnsi="仿宋_GB2312" w:eastAsia="仿宋_GB2312" w:cs="仿宋_GB2312"/>
          <w:b w:val="0"/>
          <w:bCs w:val="0"/>
          <w:spacing w:val="-4"/>
          <w:sz w:val="32"/>
          <w:szCs w:val="32"/>
        </w:rPr>
        <w:t>人，指标完成率是</w:t>
      </w:r>
      <w:r>
        <w:rPr>
          <w:rStyle w:val="10"/>
          <w:rFonts w:hint="eastAsia" w:ascii="仿宋_GB2312" w:hAnsi="仿宋_GB2312" w:eastAsia="仿宋_GB2312" w:cs="仿宋_GB2312"/>
          <w:b w:val="0"/>
          <w:bCs w:val="0"/>
          <w:spacing w:val="-4"/>
          <w:sz w:val="32"/>
          <w:szCs w:val="32"/>
          <w:lang w:val="en-US" w:eastAsia="zh-CN"/>
        </w:rPr>
        <w:t>93.21</w:t>
      </w:r>
      <w:r>
        <w:rPr>
          <w:rStyle w:val="10"/>
          <w:rFonts w:hint="eastAsia" w:ascii="仿宋_GB2312" w:hAnsi="仿宋_GB2312" w:eastAsia="仿宋_GB2312" w:cs="仿宋_GB2312"/>
          <w:b w:val="0"/>
          <w:bCs w:val="0"/>
          <w:spacing w:val="-4"/>
          <w:sz w:val="32"/>
          <w:szCs w:val="32"/>
        </w:rPr>
        <w:t>%，达到预期目标。</w:t>
      </w:r>
      <w:r>
        <w:rPr>
          <w:rStyle w:val="10"/>
          <w:rFonts w:hint="eastAsia" w:ascii="仿宋_GB2312" w:hAnsi="仿宋_GB2312" w:eastAsia="仿宋_GB2312" w:cs="仿宋_GB2312"/>
          <w:b w:val="0"/>
          <w:bCs w:val="0"/>
          <w:spacing w:val="-4"/>
          <w:sz w:val="32"/>
          <w:szCs w:val="32"/>
          <w:lang w:val="en-US" w:eastAsia="zh-CN"/>
        </w:rPr>
        <w:t>偏差原因是15位教职工调到别的单位。</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“业务考试次数（次）”指标，预期指标是</w:t>
      </w:r>
      <w:r>
        <w:rPr>
          <w:rStyle w:val="10"/>
          <w:rFonts w:hint="eastAsia" w:ascii="仿宋_GB2312" w:hAnsi="仿宋_GB2312" w:eastAsia="仿宋_GB2312" w:cs="仿宋_GB2312"/>
          <w:b w:val="0"/>
          <w:bCs w:val="0"/>
          <w:spacing w:val="-4"/>
          <w:sz w:val="32"/>
          <w:szCs w:val="32"/>
          <w:lang w:val="en-US" w:eastAsia="zh-CN"/>
        </w:rPr>
        <w:t>3</w:t>
      </w:r>
      <w:r>
        <w:rPr>
          <w:rStyle w:val="10"/>
          <w:rFonts w:hint="eastAsia" w:ascii="仿宋_GB2312" w:hAnsi="仿宋_GB2312" w:eastAsia="仿宋_GB2312" w:cs="仿宋_GB2312"/>
          <w:b w:val="0"/>
          <w:bCs w:val="0"/>
          <w:spacing w:val="-4"/>
          <w:sz w:val="32"/>
          <w:szCs w:val="32"/>
        </w:rPr>
        <w:t>次，实际完成值是</w:t>
      </w:r>
      <w:r>
        <w:rPr>
          <w:rStyle w:val="10"/>
          <w:rFonts w:hint="eastAsia" w:ascii="仿宋_GB2312" w:hAnsi="仿宋_GB2312" w:eastAsia="仿宋_GB2312" w:cs="仿宋_GB2312"/>
          <w:b w:val="0"/>
          <w:bCs w:val="0"/>
          <w:spacing w:val="-4"/>
          <w:sz w:val="32"/>
          <w:szCs w:val="32"/>
          <w:lang w:val="en-US" w:eastAsia="zh-CN"/>
        </w:rPr>
        <w:t>3</w:t>
      </w:r>
      <w:r>
        <w:rPr>
          <w:rStyle w:val="10"/>
          <w:rFonts w:hint="eastAsia" w:ascii="仿宋_GB2312" w:hAnsi="仿宋_GB2312" w:eastAsia="仿宋_GB2312" w:cs="仿宋_GB2312"/>
          <w:b w:val="0"/>
          <w:bCs w:val="0"/>
          <w:spacing w:val="-4"/>
          <w:sz w:val="32"/>
          <w:szCs w:val="32"/>
        </w:rPr>
        <w:t>次，指标完成率是100%，达到预期目标。</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“开展教研活动次数（次）”指标，预期指标是</w:t>
      </w:r>
      <w:r>
        <w:rPr>
          <w:rStyle w:val="10"/>
          <w:rFonts w:hint="eastAsia" w:ascii="仿宋_GB2312" w:hAnsi="仿宋_GB2312" w:eastAsia="仿宋_GB2312" w:cs="仿宋_GB2312"/>
          <w:b w:val="0"/>
          <w:bCs w:val="0"/>
          <w:spacing w:val="-4"/>
          <w:sz w:val="32"/>
          <w:szCs w:val="32"/>
          <w:lang w:val="en-US" w:eastAsia="zh-CN"/>
        </w:rPr>
        <w:t>大于等于15</w:t>
      </w:r>
      <w:r>
        <w:rPr>
          <w:rStyle w:val="10"/>
          <w:rFonts w:hint="eastAsia" w:ascii="仿宋_GB2312" w:hAnsi="仿宋_GB2312" w:eastAsia="仿宋_GB2312" w:cs="仿宋_GB2312"/>
          <w:b w:val="0"/>
          <w:bCs w:val="0"/>
          <w:spacing w:val="-4"/>
          <w:sz w:val="32"/>
          <w:szCs w:val="32"/>
        </w:rPr>
        <w:t>次，实际完成</w:t>
      </w:r>
      <w:r>
        <w:rPr>
          <w:rStyle w:val="10"/>
          <w:rFonts w:hint="eastAsia" w:ascii="仿宋_GB2312" w:hAnsi="仿宋_GB2312" w:eastAsia="仿宋_GB2312" w:cs="仿宋_GB2312"/>
          <w:b w:val="0"/>
          <w:bCs w:val="0"/>
          <w:spacing w:val="-4"/>
          <w:sz w:val="32"/>
          <w:szCs w:val="32"/>
          <w:lang w:val="en-US" w:eastAsia="zh-CN"/>
        </w:rPr>
        <w:t>16</w:t>
      </w:r>
      <w:r>
        <w:rPr>
          <w:rStyle w:val="10"/>
          <w:rFonts w:hint="eastAsia" w:ascii="仿宋_GB2312" w:hAnsi="仿宋_GB2312" w:eastAsia="仿宋_GB2312" w:cs="仿宋_GB2312"/>
          <w:b w:val="0"/>
          <w:bCs w:val="0"/>
          <w:spacing w:val="-4"/>
          <w:sz w:val="32"/>
          <w:szCs w:val="32"/>
        </w:rPr>
        <w:t>次，指标完成率是1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，达到预期指标。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数量指标共计</w:t>
      </w:r>
      <w:r>
        <w:rPr>
          <w:rStyle w:val="10"/>
          <w:rFonts w:ascii="仿宋_GB2312" w:hAnsi="仿宋_GB2312" w:eastAsia="仿宋_GB2312" w:cs="仿宋_GB2312"/>
          <w:b w:val="0"/>
          <w:bCs w:val="0"/>
          <w:spacing w:val="-4"/>
          <w:sz w:val="32"/>
          <w:szCs w:val="32"/>
        </w:rPr>
        <w:t>3</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3</w:t>
      </w:r>
      <w:r>
        <w:rPr>
          <w:rStyle w:val="10"/>
          <w:rFonts w:hint="eastAsia" w:ascii="仿宋_GB2312" w:hAnsi="仿宋_GB2312" w:eastAsia="仿宋_GB2312" w:cs="仿宋_GB2312"/>
          <w:b w:val="0"/>
          <w:bCs w:val="0"/>
          <w:spacing w:val="-4"/>
          <w:sz w:val="32"/>
          <w:szCs w:val="32"/>
        </w:rPr>
        <w:t>个，达到预期目标，数量指标完成。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2.产出质量</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“绩效考核合格率（%）”指标，预期指标是100%，实际完成值是</w:t>
      </w:r>
      <w:r>
        <w:rPr>
          <w:rFonts w:hint="eastAsia" w:ascii="仿宋" w:hAnsi="仿宋" w:eastAsia="仿宋" w:cs="宋体"/>
          <w:bCs/>
          <w:sz w:val="32"/>
          <w:szCs w:val="32"/>
          <w:lang w:bidi="ar"/>
        </w:rPr>
        <w:t>100</w:t>
      </w:r>
      <w:r>
        <w:rPr>
          <w:rStyle w:val="10"/>
          <w:rFonts w:hint="eastAsia" w:ascii="仿宋_GB2312" w:hAnsi="仿宋_GB2312" w:eastAsia="仿宋_GB2312" w:cs="仿宋_GB2312"/>
          <w:b w:val="0"/>
          <w:bCs w:val="0"/>
          <w:spacing w:val="-4"/>
          <w:sz w:val="32"/>
          <w:szCs w:val="32"/>
        </w:rPr>
        <w:t>%，指标完成率是100%，达到质量提升及标准。</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质量指标共计</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个，完成</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个，达到质量提升及标准。质量指标完成。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3.产出进度</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“工资发放及时率（%）”指标，预期指标是100%，实际完成值是100%，指标完成率是100%，达到预期目标。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时效指标共计1个，完成</w:t>
      </w:r>
      <w:r>
        <w:rPr>
          <w:rFonts w:hint="eastAsia" w:ascii="仿宋" w:hAnsi="仿宋" w:eastAsia="仿宋" w:cs="宋体"/>
          <w:bCs/>
          <w:sz w:val="32"/>
          <w:szCs w:val="32"/>
          <w:lang w:bidi="ar"/>
        </w:rPr>
        <w:t>1</w:t>
      </w:r>
      <w:r>
        <w:rPr>
          <w:rStyle w:val="10"/>
          <w:rFonts w:hint="eastAsia" w:ascii="仿宋_GB2312" w:hAnsi="仿宋_GB2312" w:eastAsia="仿宋_GB2312" w:cs="仿宋_GB2312"/>
          <w:b w:val="0"/>
          <w:bCs w:val="0"/>
          <w:spacing w:val="-4"/>
          <w:sz w:val="32"/>
          <w:szCs w:val="32"/>
        </w:rPr>
        <w:t>个，达到预期目标，数量指标完成。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4.产出成本</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“人员经费（万元）”指标，预期指标是3280.42万元，实际完成值是3280.42万元，指标完成率是100%，达到成本控制及改善目标。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成本指标共计</w:t>
      </w:r>
      <w:r>
        <w:rPr>
          <w:rStyle w:val="10"/>
          <w:rFonts w:hint="eastAsia" w:ascii="仿宋_GB2312" w:hAnsi="仿宋_GB2312" w:eastAsia="仿宋_GB2312" w:cs="仿宋_GB2312"/>
          <w:b w:val="0"/>
          <w:bCs w:val="0"/>
          <w:spacing w:val="-4"/>
          <w:sz w:val="32"/>
          <w:szCs w:val="32"/>
          <w:lang w:val="en-US" w:eastAsia="zh-CN"/>
        </w:rPr>
        <w:t>1</w:t>
      </w:r>
      <w:r>
        <w:rPr>
          <w:rStyle w:val="10"/>
          <w:rFonts w:hint="eastAsia" w:ascii="仿宋_GB2312" w:hAnsi="仿宋_GB2312" w:eastAsia="仿宋_GB2312" w:cs="仿宋_GB2312"/>
          <w:b w:val="0"/>
          <w:bCs w:val="0"/>
          <w:spacing w:val="-4"/>
          <w:sz w:val="32"/>
          <w:szCs w:val="32"/>
        </w:rPr>
        <w:t>个，完成</w:t>
      </w:r>
      <w:r>
        <w:rPr>
          <w:rStyle w:val="10"/>
          <w:rFonts w:hint="eastAsia" w:ascii="仿宋_GB2312" w:hAnsi="仿宋_GB2312" w:eastAsia="仿宋_GB2312" w:cs="仿宋_GB2312"/>
          <w:b w:val="0"/>
          <w:bCs w:val="0"/>
          <w:spacing w:val="-4"/>
          <w:sz w:val="32"/>
          <w:szCs w:val="32"/>
          <w:lang w:val="en-US" w:eastAsia="zh-CN"/>
        </w:rPr>
        <w:t>1</w:t>
      </w:r>
      <w:r>
        <w:rPr>
          <w:rStyle w:val="10"/>
          <w:rFonts w:hint="eastAsia" w:ascii="仿宋_GB2312" w:hAnsi="仿宋_GB2312" w:eastAsia="仿宋_GB2312" w:cs="仿宋_GB2312"/>
          <w:b w:val="0"/>
          <w:bCs w:val="0"/>
          <w:spacing w:val="-4"/>
          <w:sz w:val="32"/>
          <w:szCs w:val="32"/>
        </w:rPr>
        <w:t>个，达到成本控制及改善目标，成本指标完成。</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（二）效益指标完成情况分析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1.项目实施的经济效益分析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无。</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2.项目实施的社会效益分析</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“保障教育教学工作顺利开展”指标，预期指标是有效保障，实际完成值是100%，指标完成率是100%，达到单位履职能力对社会带来的影响预期目标。</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“提升学生入学率”指标，预期指标是有效保障，实际完成值是100%，指标完成率是100%，达到单位履职能力对社会带来的影响预期目标。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社会效益指标共计</w:t>
      </w:r>
      <w:r>
        <w:rPr>
          <w:rStyle w:val="10"/>
          <w:rFonts w:hint="eastAsia" w:ascii="仿宋_GB2312" w:hAnsi="仿宋_GB2312" w:eastAsia="仿宋_GB2312" w:cs="仿宋_GB2312"/>
          <w:b w:val="0"/>
          <w:bCs w:val="0"/>
          <w:spacing w:val="-4"/>
          <w:sz w:val="32"/>
          <w:szCs w:val="32"/>
          <w:lang w:val="en-US" w:eastAsia="zh-CN"/>
        </w:rPr>
        <w:t>2</w:t>
      </w:r>
      <w:r>
        <w:rPr>
          <w:rStyle w:val="10"/>
          <w:rFonts w:hint="eastAsia" w:ascii="仿宋_GB2312" w:hAnsi="仿宋_GB2312" w:eastAsia="仿宋_GB2312" w:cs="仿宋_GB2312"/>
          <w:b w:val="0"/>
          <w:bCs w:val="0"/>
          <w:spacing w:val="-4"/>
          <w:sz w:val="32"/>
          <w:szCs w:val="32"/>
        </w:rPr>
        <w:t>个，完成</w:t>
      </w:r>
      <w:r>
        <w:rPr>
          <w:rStyle w:val="10"/>
          <w:rFonts w:hint="eastAsia" w:ascii="仿宋_GB2312" w:hAnsi="仿宋_GB2312" w:eastAsia="仿宋_GB2312" w:cs="仿宋_GB2312"/>
          <w:b w:val="0"/>
          <w:bCs w:val="0"/>
          <w:spacing w:val="-4"/>
          <w:sz w:val="32"/>
          <w:szCs w:val="32"/>
          <w:lang w:val="en-US" w:eastAsia="zh-CN"/>
        </w:rPr>
        <w:t>2</w:t>
      </w:r>
      <w:r>
        <w:rPr>
          <w:rStyle w:val="10"/>
          <w:rFonts w:hint="eastAsia" w:ascii="仿宋_GB2312" w:hAnsi="仿宋_GB2312" w:eastAsia="仿宋_GB2312" w:cs="仿宋_GB2312"/>
          <w:b w:val="0"/>
          <w:bCs w:val="0"/>
          <w:spacing w:val="-4"/>
          <w:sz w:val="32"/>
          <w:szCs w:val="32"/>
        </w:rPr>
        <w:t>个，达到单位履职能力对社会带来的影响预期目标，社会效益指标完成。</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3.项目实施的生态效益分析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无。</w:t>
      </w:r>
    </w:p>
    <w:p>
      <w:pPr>
        <w:pStyle w:val="12"/>
        <w:snapToGrid w:val="0"/>
        <w:spacing w:line="540" w:lineRule="exact"/>
        <w:ind w:firstLine="627"/>
        <w:outlineLvl w:val="2"/>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4.项目实施的可持续影响分析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“提高教职工工作的积极性”指标，预期指标是有效提高，实际完成值是100%，指标完成率是100%，实现部门绩效长效机制建设，提高工作效率目标。</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“促进教育事业可持续发展”指标，预期指标有效促进，实际完成值是1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，指标完成率是1</w:t>
      </w:r>
      <w:r>
        <w:rPr>
          <w:rStyle w:val="10"/>
          <w:rFonts w:ascii="仿宋_GB2312" w:hAnsi="仿宋_GB2312" w:eastAsia="仿宋_GB2312" w:cs="仿宋_GB2312"/>
          <w:b w:val="0"/>
          <w:bCs w:val="0"/>
          <w:spacing w:val="-4"/>
          <w:sz w:val="32"/>
          <w:szCs w:val="32"/>
        </w:rPr>
        <w:t>00%</w:t>
      </w:r>
      <w:r>
        <w:rPr>
          <w:rStyle w:val="10"/>
          <w:rFonts w:hint="eastAsia" w:ascii="仿宋_GB2312" w:hAnsi="仿宋_GB2312" w:eastAsia="仿宋_GB2312" w:cs="仿宋_GB2312"/>
          <w:b w:val="0"/>
          <w:bCs w:val="0"/>
          <w:spacing w:val="-4"/>
          <w:sz w:val="32"/>
          <w:szCs w:val="32"/>
        </w:rPr>
        <w:t>，实现部门绩效长效机制建设，提高工作效率目标。</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可持续影响指标共计</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个，达到预期目标，可持续影响指标完成。</w:t>
      </w:r>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（三）满意度指标完成情况分析</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bookmarkStart w:id="6" w:name="_Toc22800_WPSOffice_Level1"/>
      <w:r>
        <w:rPr>
          <w:rStyle w:val="10"/>
          <w:rFonts w:hint="eastAsia" w:ascii="仿宋_GB2312" w:hAnsi="仿宋_GB2312" w:eastAsia="仿宋_GB2312" w:cs="仿宋_GB2312"/>
          <w:b w:val="0"/>
          <w:bCs w:val="0"/>
          <w:spacing w:val="-4"/>
          <w:sz w:val="32"/>
          <w:szCs w:val="32"/>
        </w:rPr>
        <w:t>按计划完成项目实施，已做满意度调查抽样问卷，具体如下：</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“受益家长满意度（%）”指标，预期指标是大于等于95%，实际完成值是100%，指标完成率是100%，达到部门（单位）服务对象对部门履职效果的满意度。</w:t>
      </w:r>
    </w:p>
    <w:p>
      <w:pPr>
        <w:pStyle w:val="17"/>
        <w:snapToGrid w:val="0"/>
        <w:spacing w:line="540" w:lineRule="exact"/>
        <w:ind w:firstLine="624"/>
        <w:rPr>
          <w:rStyle w:val="10"/>
          <w:rFonts w:hint="eastAsia"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“受益教职工满意度（%）”指标，预期指标是大于等于95%，实际完成值是100%，指标完成率是100%，达到部门（单位）服务对象对部门履职效果的满意度。</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满意度指标共计</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个，完成</w:t>
      </w:r>
      <w:r>
        <w:rPr>
          <w:rStyle w:val="10"/>
          <w:rFonts w:ascii="仿宋_GB2312" w:hAnsi="仿宋_GB2312" w:eastAsia="仿宋_GB2312" w:cs="仿宋_GB2312"/>
          <w:b w:val="0"/>
          <w:bCs w:val="0"/>
          <w:spacing w:val="-4"/>
          <w:sz w:val="32"/>
          <w:szCs w:val="32"/>
        </w:rPr>
        <w:t>2</w:t>
      </w:r>
      <w:r>
        <w:rPr>
          <w:rStyle w:val="10"/>
          <w:rFonts w:hint="eastAsia" w:ascii="仿宋_GB2312" w:hAnsi="仿宋_GB2312" w:eastAsia="仿宋_GB2312" w:cs="仿宋_GB2312"/>
          <w:b w:val="0"/>
          <w:bCs w:val="0"/>
          <w:spacing w:val="-4"/>
          <w:sz w:val="32"/>
          <w:szCs w:val="32"/>
        </w:rPr>
        <w:t>个，达到部门（单位）服务对象对部门履职效果的满意度，服务对象满意度指标完成。</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存在的主要问题</w:t>
      </w:r>
      <w:bookmarkEnd w:id="6"/>
    </w:p>
    <w:p>
      <w:pPr>
        <w:snapToGrid w:val="0"/>
        <w:spacing w:line="540" w:lineRule="exact"/>
        <w:ind w:firstLine="624" w:firstLineChars="200"/>
        <w:rPr>
          <w:rStyle w:val="10"/>
          <w:rFonts w:ascii="仿宋_GB2312" w:hAnsi="仿宋_GB2312" w:eastAsia="仿宋_GB2312" w:cs="仿宋_GB2312"/>
          <w:b w:val="0"/>
          <w:bCs w:val="0"/>
          <w:spacing w:val="-4"/>
          <w:sz w:val="32"/>
          <w:szCs w:val="32"/>
        </w:rPr>
      </w:pPr>
      <w:bookmarkStart w:id="7" w:name="_Toc29546_WPSOffice_Level1"/>
      <w:r>
        <w:rPr>
          <w:rStyle w:val="10"/>
          <w:rFonts w:hint="eastAsia" w:ascii="仿宋_GB2312" w:hAnsi="仿宋_GB2312" w:eastAsia="仿宋_GB2312" w:cs="仿宋_GB2312"/>
          <w:b w:val="0"/>
          <w:bCs w:val="0"/>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24" w:firstLineChars="200"/>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绩效指标的明确性、可衡量性、相关性还需进一步提升。预算精细化管理还需完善，预算编制管理水平仍有进一步提升的空间。</w:t>
      </w:r>
    </w:p>
    <w:p>
      <w:pPr>
        <w:pStyle w:val="12"/>
        <w:numPr>
          <w:ilvl w:val="0"/>
          <w:numId w:val="2"/>
        </w:numPr>
        <w:snapToGrid w:val="0"/>
        <w:spacing w:line="540" w:lineRule="exact"/>
        <w:ind w:firstLineChars="0"/>
        <w:outlineLvl w:val="0"/>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改进措施和建议</w:t>
      </w:r>
      <w:bookmarkEnd w:id="7"/>
    </w:p>
    <w:p>
      <w:pPr>
        <w:pStyle w:val="12"/>
        <w:snapToGrid w:val="0"/>
        <w:spacing w:line="540" w:lineRule="exact"/>
        <w:ind w:firstLine="627"/>
        <w:outlineLvl w:val="1"/>
        <w:rPr>
          <w:rStyle w:val="10"/>
          <w:rFonts w:ascii="仿宋_GB2312" w:hAnsi="仿宋_GB2312" w:eastAsia="仿宋_GB2312" w:cs="仿宋_GB2312"/>
          <w:spacing w:val="-4"/>
          <w:sz w:val="32"/>
          <w:szCs w:val="32"/>
        </w:rPr>
      </w:pPr>
      <w:r>
        <w:rPr>
          <w:rStyle w:val="10"/>
          <w:rFonts w:hint="eastAsia" w:ascii="仿宋_GB2312" w:hAnsi="仿宋_GB2312" w:eastAsia="仿宋_GB2312" w:cs="仿宋_GB2312"/>
          <w:spacing w:val="-4"/>
          <w:sz w:val="32"/>
          <w:szCs w:val="32"/>
        </w:rPr>
        <w:t>（一）改进措施</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加大绩效工作宣传力度，强化绩效理念。</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完善绩效指标，提高整体绩效目标质量。提升预算精细化管理水平。</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继续完善预算绩效管理相关工作制度，建立全过程预算绩效管理链条，有效贯彻落实全面实施绩效管理的精神。</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加强单位整体支出管理制度和流程的建设，进一步深化、完善绩效管理体系，建立全过程的预算绩效管理机制，促进绩效管理工作向广度和深度延伸。</w:t>
      </w:r>
    </w:p>
    <w:p>
      <w:pPr>
        <w:pStyle w:val="12"/>
        <w:snapToGrid w:val="0"/>
        <w:spacing w:line="540" w:lineRule="exact"/>
        <w:ind w:firstLine="624"/>
        <w:outlineLvl w:val="1"/>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w:t>
      </w:r>
      <w:r>
        <w:rPr>
          <w:rStyle w:val="10"/>
          <w:rFonts w:hint="eastAsia" w:ascii="仿宋_GB2312" w:hAnsi="仿宋_GB2312" w:eastAsia="仿宋_GB2312" w:cs="仿宋_GB2312"/>
          <w:spacing w:val="-4"/>
          <w:sz w:val="32"/>
          <w:szCs w:val="32"/>
        </w:rPr>
        <w:t>二）建议</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加强预算绩效目标管理工作。明确预算项目绩效目标编制要求，分类别建立科学合理、细化量化、可比可测预算绩效指标体系，突出结果导向，重点考核实绩。</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pPr>
        <w:pStyle w:val="17"/>
        <w:snapToGrid w:val="0"/>
        <w:spacing w:line="540" w:lineRule="exact"/>
        <w:ind w:firstLine="624"/>
        <w:rPr>
          <w:rStyle w:val="10"/>
          <w:rFonts w:ascii="仿宋_GB2312" w:hAnsi="仿宋_GB2312" w:eastAsia="仿宋_GB2312" w:cs="仿宋_GB2312"/>
          <w:b w:val="0"/>
          <w:bCs w:val="0"/>
          <w:spacing w:val="-4"/>
          <w:sz w:val="32"/>
          <w:szCs w:val="32"/>
        </w:rPr>
      </w:pPr>
      <w:r>
        <w:rPr>
          <w:rStyle w:val="10"/>
          <w:rFonts w:hint="eastAsia" w:ascii="仿宋_GB2312" w:hAnsi="仿宋_GB2312" w:eastAsia="仿宋_GB2312" w:cs="仿宋_GB2312"/>
          <w:b w:val="0"/>
          <w:bCs w:val="0"/>
          <w:spacing w:val="-4"/>
          <w:sz w:val="32"/>
          <w:szCs w:val="32"/>
        </w:rPr>
        <w:t>借助第三方专业机构力量，贯彻落实全面预算绩效管理工作，建立全过程预算绩效管理链条，将绩效各个环节紧密贯通。</w:t>
      </w:r>
    </w:p>
    <w:p>
      <w:pPr>
        <w:snapToGrid w:val="0"/>
        <w:spacing w:line="540" w:lineRule="exact"/>
        <w:rPr>
          <w:rStyle w:val="10"/>
          <w:rFonts w:ascii="仿宋_GB2312" w:hAnsi="仿宋_GB2312" w:eastAsia="仿宋_GB2312" w:cs="仿宋_GB2312"/>
          <w:b w:val="0"/>
          <w:color w:val="FF0000"/>
          <w:spacing w:val="-4"/>
          <w:sz w:val="32"/>
          <w:szCs w:val="32"/>
        </w:rPr>
      </w:pPr>
    </w:p>
    <w:sectPr>
      <w:footerReference r:id="rId3" w:type="default"/>
      <w:pgSz w:w="11906" w:h="16838"/>
      <w:pgMar w:top="1440" w:right="1800" w:bottom="1440" w:left="1800" w:header="851" w:footer="992" w:gutter="0"/>
      <w:pgNumType w:fmt="numberInDash"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方正小标宋简体">
    <w:altName w:val="宋体"/>
    <w:panose1 w:val="00000000000000000000"/>
    <w:charset w:val="86"/>
    <w:family w:val="script"/>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center"/>
      <w:rPr>
        <w:rFonts w:ascii="宋体" w:hAnsi="宋体"/>
        <w:sz w:val="28"/>
        <w:szCs w:val="28"/>
      </w:rPr>
    </w:pP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pPr>
      <w:pStyle w:val="5"/>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A22C4C"/>
    <w:multiLevelType w:val="multilevel"/>
    <w:tmpl w:val="20A22C4C"/>
    <w:lvl w:ilvl="0" w:tentative="0">
      <w:start w:val="4"/>
      <w:numFmt w:val="japaneseCounting"/>
      <w:lvlText w:val="%1、"/>
      <w:lvlJc w:val="left"/>
      <w:pPr>
        <w:ind w:left="1360" w:hanging="720"/>
      </w:pPr>
      <w:rPr>
        <w:rFonts w:hint="default" w:ascii="黑体" w:hAnsi="黑体" w:eastAsia="黑体"/>
      </w:rPr>
    </w:lvl>
    <w:lvl w:ilvl="1" w:tentative="0">
      <w:start w:val="1"/>
      <w:numFmt w:val="lowerLetter"/>
      <w:lvlText w:val="%2)"/>
      <w:lvlJc w:val="left"/>
      <w:pPr>
        <w:ind w:left="1480" w:hanging="420"/>
      </w:pPr>
    </w:lvl>
    <w:lvl w:ilvl="2" w:tentative="0">
      <w:start w:val="1"/>
      <w:numFmt w:val="lowerRoman"/>
      <w:lvlText w:val="%3."/>
      <w:lvlJc w:val="right"/>
      <w:pPr>
        <w:ind w:left="1900" w:hanging="420"/>
      </w:pPr>
    </w:lvl>
    <w:lvl w:ilvl="3" w:tentative="0">
      <w:start w:val="1"/>
      <w:numFmt w:val="decimal"/>
      <w:lvlText w:val="%4."/>
      <w:lvlJc w:val="left"/>
      <w:pPr>
        <w:ind w:left="2320" w:hanging="420"/>
      </w:pPr>
    </w:lvl>
    <w:lvl w:ilvl="4" w:tentative="0">
      <w:start w:val="1"/>
      <w:numFmt w:val="lowerLetter"/>
      <w:lvlText w:val="%5)"/>
      <w:lvlJc w:val="left"/>
      <w:pPr>
        <w:ind w:left="2740" w:hanging="420"/>
      </w:pPr>
    </w:lvl>
    <w:lvl w:ilvl="5" w:tentative="0">
      <w:start w:val="1"/>
      <w:numFmt w:val="lowerRoman"/>
      <w:lvlText w:val="%6."/>
      <w:lvlJc w:val="right"/>
      <w:pPr>
        <w:ind w:left="3160" w:hanging="420"/>
      </w:pPr>
    </w:lvl>
    <w:lvl w:ilvl="6" w:tentative="0">
      <w:start w:val="1"/>
      <w:numFmt w:val="decimal"/>
      <w:lvlText w:val="%7."/>
      <w:lvlJc w:val="left"/>
      <w:pPr>
        <w:ind w:left="3580" w:hanging="420"/>
      </w:pPr>
    </w:lvl>
    <w:lvl w:ilvl="7" w:tentative="0">
      <w:start w:val="1"/>
      <w:numFmt w:val="lowerLetter"/>
      <w:lvlText w:val="%8)"/>
      <w:lvlJc w:val="left"/>
      <w:pPr>
        <w:ind w:left="4000" w:hanging="420"/>
      </w:pPr>
    </w:lvl>
    <w:lvl w:ilvl="8" w:tentative="0">
      <w:start w:val="1"/>
      <w:numFmt w:val="lowerRoman"/>
      <w:lvlText w:val="%9."/>
      <w:lvlJc w:val="right"/>
      <w:pPr>
        <w:ind w:left="4420" w:hanging="420"/>
      </w:pPr>
    </w:lvl>
  </w:abstractNum>
  <w:abstractNum w:abstractNumId="1">
    <w:nsid w:val="69703BB8"/>
    <w:multiLevelType w:val="multilevel"/>
    <w:tmpl w:val="69703BB8"/>
    <w:lvl w:ilvl="0" w:tentative="0">
      <w:start w:val="1"/>
      <w:numFmt w:val="japaneseCounting"/>
      <w:lvlText w:val="%1、"/>
      <w:lvlJc w:val="left"/>
      <w:pPr>
        <w:ind w:left="1368" w:hanging="720"/>
      </w:pPr>
      <w:rPr>
        <w:rFonts w:hint="default"/>
      </w:rPr>
    </w:lvl>
    <w:lvl w:ilvl="1" w:tentative="0">
      <w:start w:val="1"/>
      <w:numFmt w:val="lowerLetter"/>
      <w:lvlText w:val="%2)"/>
      <w:lvlJc w:val="left"/>
      <w:pPr>
        <w:ind w:left="1488" w:hanging="420"/>
      </w:pPr>
    </w:lvl>
    <w:lvl w:ilvl="2" w:tentative="0">
      <w:start w:val="1"/>
      <w:numFmt w:val="lowerRoman"/>
      <w:lvlText w:val="%3."/>
      <w:lvlJc w:val="right"/>
      <w:pPr>
        <w:ind w:left="1908" w:hanging="420"/>
      </w:pPr>
    </w:lvl>
    <w:lvl w:ilvl="3" w:tentative="0">
      <w:start w:val="1"/>
      <w:numFmt w:val="decimal"/>
      <w:lvlText w:val="%4."/>
      <w:lvlJc w:val="left"/>
      <w:pPr>
        <w:ind w:left="2328" w:hanging="420"/>
      </w:pPr>
    </w:lvl>
    <w:lvl w:ilvl="4" w:tentative="0">
      <w:start w:val="1"/>
      <w:numFmt w:val="lowerLetter"/>
      <w:lvlText w:val="%5)"/>
      <w:lvlJc w:val="left"/>
      <w:pPr>
        <w:ind w:left="2748" w:hanging="420"/>
      </w:pPr>
    </w:lvl>
    <w:lvl w:ilvl="5" w:tentative="0">
      <w:start w:val="1"/>
      <w:numFmt w:val="lowerRoman"/>
      <w:lvlText w:val="%6."/>
      <w:lvlJc w:val="right"/>
      <w:pPr>
        <w:ind w:left="3168" w:hanging="420"/>
      </w:pPr>
    </w:lvl>
    <w:lvl w:ilvl="6" w:tentative="0">
      <w:start w:val="1"/>
      <w:numFmt w:val="decimal"/>
      <w:lvlText w:val="%7."/>
      <w:lvlJc w:val="left"/>
      <w:pPr>
        <w:ind w:left="3588" w:hanging="420"/>
      </w:pPr>
    </w:lvl>
    <w:lvl w:ilvl="7" w:tentative="0">
      <w:start w:val="1"/>
      <w:numFmt w:val="lowerLetter"/>
      <w:lvlText w:val="%8)"/>
      <w:lvlJc w:val="left"/>
      <w:pPr>
        <w:ind w:left="4008" w:hanging="420"/>
      </w:pPr>
    </w:lvl>
    <w:lvl w:ilvl="8" w:tentative="0">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C6D319F"/>
    <w:rsid w:val="000C4E29"/>
    <w:rsid w:val="000D3AFA"/>
    <w:rsid w:val="000E1B81"/>
    <w:rsid w:val="0012092B"/>
    <w:rsid w:val="00141421"/>
    <w:rsid w:val="00191BA3"/>
    <w:rsid w:val="001C1E1D"/>
    <w:rsid w:val="001E750D"/>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E7E99"/>
    <w:rsid w:val="00825D99"/>
    <w:rsid w:val="0089387B"/>
    <w:rsid w:val="008E7E52"/>
    <w:rsid w:val="009304D8"/>
    <w:rsid w:val="0093778D"/>
    <w:rsid w:val="00962282"/>
    <w:rsid w:val="0097614B"/>
    <w:rsid w:val="0099431C"/>
    <w:rsid w:val="009F5A38"/>
    <w:rsid w:val="00AA5126"/>
    <w:rsid w:val="00AD16CD"/>
    <w:rsid w:val="00B5590F"/>
    <w:rsid w:val="00B86B60"/>
    <w:rsid w:val="00BA13C5"/>
    <w:rsid w:val="00BD7AB3"/>
    <w:rsid w:val="00BF62C2"/>
    <w:rsid w:val="00C77007"/>
    <w:rsid w:val="00CD2F35"/>
    <w:rsid w:val="00CD5A03"/>
    <w:rsid w:val="00D8183A"/>
    <w:rsid w:val="00D82401"/>
    <w:rsid w:val="00D9126A"/>
    <w:rsid w:val="00D93262"/>
    <w:rsid w:val="00DB1085"/>
    <w:rsid w:val="00EB1FFE"/>
    <w:rsid w:val="00F326C7"/>
    <w:rsid w:val="00F74E2C"/>
    <w:rsid w:val="00F84215"/>
    <w:rsid w:val="00FF2ACD"/>
    <w:rsid w:val="012008EE"/>
    <w:rsid w:val="01CC583F"/>
    <w:rsid w:val="04FF0482"/>
    <w:rsid w:val="05062887"/>
    <w:rsid w:val="05F70F85"/>
    <w:rsid w:val="084208C4"/>
    <w:rsid w:val="098A3C0A"/>
    <w:rsid w:val="0A9A7091"/>
    <w:rsid w:val="10FE60D7"/>
    <w:rsid w:val="15E00492"/>
    <w:rsid w:val="175D58E3"/>
    <w:rsid w:val="18061B60"/>
    <w:rsid w:val="190C3DF8"/>
    <w:rsid w:val="19F83E30"/>
    <w:rsid w:val="1B403139"/>
    <w:rsid w:val="1C6D319F"/>
    <w:rsid w:val="1D4D74D6"/>
    <w:rsid w:val="1DE32CFD"/>
    <w:rsid w:val="1F1A602A"/>
    <w:rsid w:val="1F2854B6"/>
    <w:rsid w:val="21C768CD"/>
    <w:rsid w:val="22E14253"/>
    <w:rsid w:val="23F209A3"/>
    <w:rsid w:val="2403516E"/>
    <w:rsid w:val="24F6535F"/>
    <w:rsid w:val="256A2A9E"/>
    <w:rsid w:val="2805537E"/>
    <w:rsid w:val="289437EE"/>
    <w:rsid w:val="2EBF757D"/>
    <w:rsid w:val="31B83F5F"/>
    <w:rsid w:val="328E2AB6"/>
    <w:rsid w:val="329B12EA"/>
    <w:rsid w:val="33A83F87"/>
    <w:rsid w:val="3500418A"/>
    <w:rsid w:val="355C2B3F"/>
    <w:rsid w:val="35F12468"/>
    <w:rsid w:val="36851B5C"/>
    <w:rsid w:val="37D360CA"/>
    <w:rsid w:val="38CB5066"/>
    <w:rsid w:val="399D2A8C"/>
    <w:rsid w:val="3B7766BA"/>
    <w:rsid w:val="3F301058"/>
    <w:rsid w:val="417A34F9"/>
    <w:rsid w:val="418810F4"/>
    <w:rsid w:val="41A37673"/>
    <w:rsid w:val="42C30950"/>
    <w:rsid w:val="45A65C7F"/>
    <w:rsid w:val="45F933A1"/>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D21464"/>
    <w:rsid w:val="5BDE2B83"/>
    <w:rsid w:val="5C7D33C9"/>
    <w:rsid w:val="61635F72"/>
    <w:rsid w:val="618606C5"/>
    <w:rsid w:val="63E114D3"/>
    <w:rsid w:val="6AD46D46"/>
    <w:rsid w:val="6DE07909"/>
    <w:rsid w:val="6E58438A"/>
    <w:rsid w:val="6E9D5508"/>
    <w:rsid w:val="71EB22B3"/>
    <w:rsid w:val="72010FA6"/>
    <w:rsid w:val="748A4F72"/>
    <w:rsid w:val="75664078"/>
    <w:rsid w:val="761E4132"/>
    <w:rsid w:val="78061A79"/>
    <w:rsid w:val="7832244A"/>
    <w:rsid w:val="7BC003CA"/>
    <w:rsid w:val="7CBF4BB4"/>
    <w:rsid w:val="7E5D346D"/>
    <w:rsid w:val="7FDB1E88"/>
    <w:rsid w:val="FFDF92D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Arial"/>
      <w:kern w:val="2"/>
      <w:sz w:val="21"/>
      <w:szCs w:val="24"/>
      <w:lang w:val="en-US" w:eastAsia="zh-CN" w:bidi="ar-SA"/>
    </w:rPr>
  </w:style>
  <w:style w:type="paragraph" w:styleId="2">
    <w:name w:val="heading 3"/>
    <w:basedOn w:val="1"/>
    <w:next w:val="1"/>
    <w:unhideWhenUsed/>
    <w:qFormat/>
    <w:uiPriority w:val="9"/>
    <w:pPr>
      <w:keepNext/>
      <w:keepLines/>
      <w:spacing w:before="260" w:after="260" w:line="416" w:lineRule="auto"/>
      <w:outlineLvl w:val="2"/>
    </w:pPr>
    <w:rPr>
      <w:b/>
      <w:bCs/>
      <w:sz w:val="32"/>
      <w:szCs w:val="32"/>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unhideWhenUsed/>
    <w:qFormat/>
    <w:uiPriority w:val="99"/>
    <w:pPr>
      <w:jc w:val="left"/>
    </w:pPr>
  </w:style>
  <w:style w:type="paragraph" w:styleId="4">
    <w:name w:val="Body Text"/>
    <w:basedOn w:val="1"/>
    <w:qFormat/>
    <w:uiPriority w:val="0"/>
    <w:pPr>
      <w:spacing w:before="240" w:after="240" w:line="360" w:lineRule="auto"/>
      <w:jc w:val="center"/>
    </w:pPr>
    <w:rPr>
      <w:b/>
      <w:sz w:val="4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Strong"/>
    <w:basedOn w:val="9"/>
    <w:qFormat/>
    <w:uiPriority w:val="0"/>
    <w:rPr>
      <w:b/>
      <w:bCs/>
    </w:rPr>
  </w:style>
  <w:style w:type="character" w:styleId="11">
    <w:name w:val="annotation reference"/>
    <w:basedOn w:val="9"/>
    <w:semiHidden/>
    <w:unhideWhenUsed/>
    <w:qFormat/>
    <w:uiPriority w:val="99"/>
    <w:rPr>
      <w:sz w:val="21"/>
      <w:szCs w:val="21"/>
    </w:rPr>
  </w:style>
  <w:style w:type="paragraph" w:customStyle="1" w:styleId="12">
    <w:name w:val="列表段落1"/>
    <w:basedOn w:val="1"/>
    <w:unhideWhenUsed/>
    <w:qFormat/>
    <w:uiPriority w:val="99"/>
    <w:pPr>
      <w:ind w:firstLine="420" w:firstLineChars="200"/>
    </w:pPr>
  </w:style>
  <w:style w:type="character" w:customStyle="1" w:styleId="13">
    <w:name w:val="页脚 字符"/>
    <w:basedOn w:val="9"/>
    <w:link w:val="5"/>
    <w:qFormat/>
    <w:uiPriority w:val="99"/>
    <w:rPr>
      <w:sz w:val="18"/>
      <w:szCs w:val="18"/>
    </w:rPr>
  </w:style>
  <w:style w:type="character" w:customStyle="1" w:styleId="14">
    <w:name w:val="页眉 字符"/>
    <w:basedOn w:val="9"/>
    <w:link w:val="6"/>
    <w:qFormat/>
    <w:uiPriority w:val="99"/>
    <w:rPr>
      <w:sz w:val="18"/>
      <w:szCs w:val="18"/>
    </w:rPr>
  </w:style>
  <w:style w:type="paragraph" w:customStyle="1" w:styleId="15">
    <w:name w:val="WPSOffice手动目录 1"/>
    <w:qFormat/>
    <w:uiPriority w:val="0"/>
    <w:rPr>
      <w:rFonts w:asciiTheme="minorHAnsi" w:hAnsiTheme="minorHAnsi" w:eastAsiaTheme="minorEastAsia" w:cstheme="minorBidi"/>
      <w:lang w:val="en-US" w:eastAsia="zh-CN" w:bidi="ar-SA"/>
    </w:rPr>
  </w:style>
  <w:style w:type="paragraph" w:customStyle="1" w:styleId="16">
    <w:name w:val="闻政-正文段落文字"/>
    <w:basedOn w:val="1"/>
    <w:qFormat/>
    <w:uiPriority w:val="3"/>
    <w:pPr>
      <w:spacing w:line="500" w:lineRule="exact"/>
      <w:ind w:firstLine="200"/>
    </w:pPr>
    <w:rPr>
      <w:rFonts w:ascii="Times New Roman" w:hAnsi="Times New Roman" w:cs="Times New Roman"/>
      <w:kern w:val="0"/>
      <w:szCs w:val="28"/>
    </w:rPr>
  </w:style>
  <w:style w:type="paragraph" w:customStyle="1" w:styleId="17">
    <w:name w:val="列表段落11"/>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市直单位</Company>
  <Pages>16</Pages>
  <Words>7279</Words>
  <Characters>7638</Characters>
  <Lines>54</Lines>
  <Paragraphs>15</Paragraphs>
  <TotalTime>4</TotalTime>
  <ScaleCrop>false</ScaleCrop>
  <LinksUpToDate>false</LinksUpToDate>
  <CharactersWithSpaces>7647</CharactersWithSpaces>
  <Application>WPS Office_11.1.0.11365_F1E327BC-269C-435d-A152-05C5408002CA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2021-02-24T22:26:00Z</dcterms:created>
  <dc:creator>ght-pc</dc:creator>
  <cp:lastModifiedBy>JeremyGrande</cp:lastModifiedBy>
  <dcterms:modified xsi:type="dcterms:W3CDTF">2022-04-18T03:06:15Z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D679CE53F5F4478C876A5DB42964F481</vt:lpwstr>
  </property>
</Properties>
</file>