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77AFA1">
      <w:pPr>
        <w:ind w:left="0" w:leftChars="0" w:firstLine="0" w:firstLineChars="0"/>
        <w:jc w:val="center"/>
        <w:rPr>
          <w:rFonts w:hint="eastAsia" w:ascii="宋体" w:hAnsi="宋体" w:eastAsia="宋体" w:cs="宋体"/>
          <w:b/>
          <w:bCs/>
          <w:sz w:val="44"/>
          <w:szCs w:val="44"/>
          <w:lang w:val="en-US" w:eastAsia="zh-CN"/>
        </w:rPr>
      </w:pPr>
    </w:p>
    <w:p w14:paraId="423D4E34">
      <w:pPr>
        <w:ind w:left="0" w:leftChars="0" w:firstLine="0" w:firstLineChars="0"/>
        <w:jc w:val="center"/>
        <w:rPr>
          <w:rFonts w:hint="eastAsia" w:ascii="宋体" w:hAnsi="宋体" w:eastAsia="宋体" w:cs="宋体"/>
          <w:b/>
          <w:bCs/>
          <w:sz w:val="44"/>
          <w:szCs w:val="44"/>
          <w:lang w:val="en-US" w:eastAsia="zh-CN"/>
        </w:rPr>
      </w:pPr>
    </w:p>
    <w:p w14:paraId="01E4268B">
      <w:pPr>
        <w:ind w:left="0" w:leftChars="0" w:firstLine="0" w:firstLineChars="0"/>
        <w:jc w:val="center"/>
        <w:rPr>
          <w:rFonts w:hint="eastAsia" w:ascii="宋体" w:hAnsi="宋体" w:eastAsia="宋体" w:cs="宋体"/>
          <w:b/>
          <w:bCs/>
          <w:sz w:val="44"/>
          <w:szCs w:val="44"/>
        </w:rPr>
      </w:pPr>
      <w:r>
        <w:rPr>
          <w:rFonts w:hint="eastAsia" w:ascii="宋体" w:hAnsi="宋体" w:eastAsia="宋体" w:cs="宋体"/>
          <w:b/>
          <w:bCs/>
          <w:sz w:val="44"/>
          <w:szCs w:val="44"/>
          <w:lang w:val="en-US" w:eastAsia="zh-CN"/>
        </w:rPr>
        <w:t>《阿克陶县“十五五”生态功能保护修复规划（2026-2030年）（草案）》征求意见搞</w:t>
      </w:r>
      <w:bookmarkStart w:id="80" w:name="_GoBack"/>
      <w:bookmarkEnd w:id="80"/>
    </w:p>
    <w:p w14:paraId="1E8016F8">
      <w:pPr>
        <w:ind w:left="0" w:leftChars="0" w:firstLine="0" w:firstLineChars="0"/>
        <w:jc w:val="center"/>
        <w:rPr>
          <w:rFonts w:hint="eastAsia" w:ascii="宋体" w:hAnsi="宋体" w:eastAsia="宋体" w:cs="宋体"/>
          <w:b/>
          <w:bCs/>
          <w:sz w:val="44"/>
          <w:szCs w:val="44"/>
        </w:rPr>
      </w:pPr>
    </w:p>
    <w:p w14:paraId="0EBCD541">
      <w:pPr>
        <w:ind w:left="0" w:leftChars="0" w:firstLine="0" w:firstLineChars="0"/>
        <w:jc w:val="both"/>
        <w:rPr>
          <w:rFonts w:hint="eastAsia" w:ascii="宋体" w:hAnsi="宋体" w:eastAsia="宋体" w:cs="宋体"/>
          <w:b/>
          <w:bCs/>
          <w:sz w:val="44"/>
          <w:szCs w:val="44"/>
          <w:lang w:eastAsia="zh-CN"/>
        </w:rPr>
      </w:pPr>
    </w:p>
    <w:p w14:paraId="18F19842">
      <w:pPr>
        <w:ind w:left="0" w:leftChars="0" w:firstLine="0" w:firstLineChars="0"/>
        <w:jc w:val="center"/>
        <w:rPr>
          <w:rFonts w:hint="eastAsia" w:ascii="宋体" w:hAnsi="宋体" w:eastAsia="宋体" w:cs="宋体"/>
          <w:b/>
          <w:bCs/>
          <w:sz w:val="44"/>
          <w:szCs w:val="44"/>
        </w:rPr>
      </w:pPr>
      <w:r>
        <w:rPr>
          <w:rFonts w:hint="eastAsia" w:ascii="宋体" w:hAnsi="宋体" w:eastAsia="宋体" w:cs="宋体"/>
          <w:b/>
          <w:bCs/>
          <w:sz w:val="44"/>
          <w:szCs w:val="44"/>
          <w:lang w:eastAsia="zh-CN"/>
        </w:rPr>
        <w:drawing>
          <wp:anchor distT="0" distB="0" distL="114300" distR="114300" simplePos="0" relativeHeight="251660288" behindDoc="0" locked="0" layoutInCell="1" allowOverlap="1">
            <wp:simplePos x="0" y="0"/>
            <wp:positionH relativeFrom="column">
              <wp:posOffset>-890905</wp:posOffset>
            </wp:positionH>
            <wp:positionV relativeFrom="paragraph">
              <wp:posOffset>325755</wp:posOffset>
            </wp:positionV>
            <wp:extent cx="7668260" cy="3702685"/>
            <wp:effectExtent l="0" t="0" r="2540" b="5715"/>
            <wp:wrapNone/>
            <wp:docPr id="2" name="图片 2" descr="20230419164629237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30419164629237003"/>
                    <pic:cNvPicPr>
                      <a:picLocks noChangeAspect="1"/>
                    </pic:cNvPicPr>
                  </pic:nvPicPr>
                  <pic:blipFill>
                    <a:blip r:embed="rId7"/>
                    <a:stretch>
                      <a:fillRect/>
                    </a:stretch>
                  </pic:blipFill>
                  <pic:spPr>
                    <a:xfrm>
                      <a:off x="0" y="0"/>
                      <a:ext cx="7668260" cy="3702685"/>
                    </a:xfrm>
                    <a:prstGeom prst="rect">
                      <a:avLst/>
                    </a:prstGeom>
                  </pic:spPr>
                </pic:pic>
              </a:graphicData>
            </a:graphic>
          </wp:anchor>
        </w:drawing>
      </w:r>
    </w:p>
    <w:p w14:paraId="61A1B21C">
      <w:pPr>
        <w:ind w:left="0" w:leftChars="0" w:firstLine="0" w:firstLineChars="0"/>
        <w:jc w:val="center"/>
        <w:rPr>
          <w:rFonts w:hint="eastAsia" w:ascii="宋体" w:hAnsi="宋体" w:eastAsia="宋体" w:cs="宋体"/>
          <w:b/>
          <w:bCs/>
          <w:sz w:val="44"/>
          <w:szCs w:val="44"/>
        </w:rPr>
      </w:pPr>
    </w:p>
    <w:p w14:paraId="355D9A35">
      <w:pPr>
        <w:ind w:left="0" w:leftChars="0" w:firstLine="0" w:firstLineChars="0"/>
        <w:jc w:val="center"/>
        <w:rPr>
          <w:rFonts w:hint="eastAsia" w:ascii="宋体" w:hAnsi="宋体" w:eastAsia="宋体" w:cs="宋体"/>
          <w:b/>
          <w:bCs/>
          <w:sz w:val="44"/>
          <w:szCs w:val="44"/>
        </w:rPr>
      </w:pPr>
    </w:p>
    <w:p w14:paraId="1A7B7BDC">
      <w:pPr>
        <w:ind w:left="0" w:leftChars="0" w:firstLine="0" w:firstLineChars="0"/>
        <w:jc w:val="center"/>
        <w:rPr>
          <w:rFonts w:hint="eastAsia" w:ascii="宋体" w:hAnsi="宋体" w:eastAsia="宋体" w:cs="宋体"/>
          <w:b/>
          <w:bCs/>
          <w:sz w:val="44"/>
          <w:szCs w:val="44"/>
        </w:rPr>
      </w:pPr>
    </w:p>
    <w:p w14:paraId="4B98C077">
      <w:pPr>
        <w:ind w:left="0" w:leftChars="0" w:firstLine="0" w:firstLineChars="0"/>
        <w:jc w:val="center"/>
        <w:rPr>
          <w:rFonts w:hint="eastAsia" w:ascii="宋体" w:hAnsi="宋体" w:eastAsia="宋体" w:cs="宋体"/>
          <w:b/>
          <w:bCs/>
          <w:sz w:val="44"/>
          <w:szCs w:val="44"/>
        </w:rPr>
      </w:pPr>
    </w:p>
    <w:p w14:paraId="764CCAC1">
      <w:pPr>
        <w:ind w:left="0" w:leftChars="0" w:firstLine="0" w:firstLineChars="0"/>
        <w:jc w:val="center"/>
        <w:rPr>
          <w:rFonts w:hint="eastAsia" w:ascii="宋体" w:hAnsi="宋体" w:eastAsia="宋体" w:cs="宋体"/>
          <w:b/>
          <w:bCs/>
          <w:sz w:val="44"/>
          <w:szCs w:val="44"/>
        </w:rPr>
      </w:pPr>
    </w:p>
    <w:p w14:paraId="55B29A18">
      <w:pPr>
        <w:ind w:left="0" w:leftChars="0" w:firstLine="0" w:firstLineChars="0"/>
        <w:jc w:val="center"/>
        <w:rPr>
          <w:rFonts w:hint="eastAsia" w:ascii="宋体" w:hAnsi="宋体" w:eastAsia="宋体" w:cs="宋体"/>
          <w:b/>
          <w:bCs/>
          <w:sz w:val="44"/>
          <w:szCs w:val="44"/>
        </w:rPr>
      </w:pPr>
    </w:p>
    <w:p w14:paraId="46150ED8">
      <w:pPr>
        <w:ind w:left="0" w:leftChars="0" w:firstLine="0" w:firstLineChars="0"/>
        <w:jc w:val="center"/>
        <w:rPr>
          <w:rFonts w:hint="eastAsia" w:ascii="宋体" w:hAnsi="宋体" w:eastAsia="宋体" w:cs="宋体"/>
          <w:b/>
          <w:bCs/>
          <w:sz w:val="44"/>
          <w:szCs w:val="44"/>
        </w:rPr>
      </w:pPr>
    </w:p>
    <w:p w14:paraId="7266E1D4">
      <w:pPr>
        <w:ind w:left="0" w:leftChars="0" w:firstLine="0" w:firstLineChars="0"/>
        <w:jc w:val="center"/>
        <w:rPr>
          <w:rFonts w:hint="eastAsia" w:ascii="宋体" w:hAnsi="宋体" w:eastAsia="宋体" w:cs="宋体"/>
          <w:b/>
          <w:bCs/>
          <w:sz w:val="44"/>
          <w:szCs w:val="44"/>
        </w:rPr>
      </w:pPr>
    </w:p>
    <w:p w14:paraId="54213B2D">
      <w:pPr>
        <w:ind w:left="0" w:leftChars="0" w:firstLine="0" w:firstLineChars="0"/>
        <w:jc w:val="center"/>
        <w:rPr>
          <w:rFonts w:hint="eastAsia" w:ascii="宋体" w:hAnsi="宋体" w:eastAsia="宋体" w:cs="宋体"/>
          <w:b/>
          <w:bCs/>
          <w:sz w:val="44"/>
          <w:szCs w:val="44"/>
        </w:rPr>
      </w:pPr>
    </w:p>
    <w:p w14:paraId="070061F7">
      <w:pPr>
        <w:ind w:left="0" w:leftChars="0" w:firstLine="0" w:firstLineChars="0"/>
        <w:jc w:val="center"/>
        <w:rPr>
          <w:rFonts w:hint="eastAsia" w:ascii="宋体" w:hAnsi="宋体" w:eastAsia="宋体" w:cs="宋体"/>
          <w:b/>
          <w:bCs/>
          <w:sz w:val="44"/>
          <w:szCs w:val="44"/>
        </w:rPr>
      </w:pPr>
    </w:p>
    <w:p w14:paraId="42C2C379">
      <w:pPr>
        <w:ind w:left="0" w:leftChars="0" w:firstLine="0" w:firstLineChars="0"/>
        <w:jc w:val="center"/>
        <w:rPr>
          <w:rFonts w:hint="eastAsia" w:ascii="宋体" w:hAnsi="宋体" w:eastAsia="宋体" w:cs="宋体"/>
          <w:b/>
          <w:bCs/>
          <w:sz w:val="44"/>
          <w:szCs w:val="44"/>
        </w:rPr>
      </w:pPr>
    </w:p>
    <w:p w14:paraId="74F9B150">
      <w:pPr>
        <w:ind w:left="0" w:leftChars="0" w:firstLine="0" w:firstLineChars="0"/>
        <w:jc w:val="center"/>
        <w:rPr>
          <w:rFonts w:hint="eastAsia" w:ascii="宋体" w:hAnsi="宋体" w:eastAsia="宋体" w:cs="宋体"/>
          <w:b/>
          <w:bCs/>
          <w:sz w:val="44"/>
          <w:szCs w:val="44"/>
        </w:rPr>
      </w:pPr>
    </w:p>
    <w:p w14:paraId="5BC5507C">
      <w:pPr>
        <w:ind w:left="0" w:leftChars="0" w:firstLine="0" w:firstLineChars="0"/>
        <w:jc w:val="center"/>
        <w:outlineLvl w:val="0"/>
        <w:rPr>
          <w:rFonts w:hint="default" w:ascii="宋体" w:hAnsi="宋体" w:eastAsia="宋体" w:cs="宋体"/>
          <w:b/>
          <w:bCs/>
          <w:sz w:val="44"/>
          <w:szCs w:val="44"/>
          <w:lang w:val="en-US" w:eastAsia="zh-CN"/>
        </w:rPr>
      </w:pPr>
      <w:bookmarkStart w:id="0" w:name="_Toc23741"/>
      <w:r>
        <w:rPr>
          <w:rFonts w:hint="eastAsia" w:ascii="宋体" w:hAnsi="宋体" w:eastAsia="宋体" w:cs="宋体"/>
          <w:b/>
          <w:bCs/>
          <w:sz w:val="44"/>
          <w:szCs w:val="44"/>
          <w:lang w:val="en-US" w:eastAsia="zh-CN"/>
        </w:rPr>
        <w:t>阿克陶县自然资源局</w:t>
      </w:r>
      <w:bookmarkEnd w:id="0"/>
    </w:p>
    <w:p w14:paraId="5C4F76DB">
      <w:pPr>
        <w:ind w:left="0" w:leftChars="0" w:firstLine="0" w:firstLineChars="0"/>
        <w:jc w:val="center"/>
        <w:rPr>
          <w:rFonts w:hint="eastAsia" w:ascii="宋体" w:hAnsi="宋体" w:eastAsia="宋体" w:cs="宋体"/>
          <w:b/>
          <w:bCs/>
          <w:sz w:val="32"/>
          <w:szCs w:val="32"/>
          <w:lang w:val="en-US" w:eastAsia="zh-CN"/>
        </w:rPr>
      </w:pPr>
      <w:r>
        <w:rPr>
          <w:rFonts w:hint="eastAsia" w:ascii="宋体" w:hAnsi="宋体" w:eastAsia="宋体" w:cs="宋体"/>
          <w:b/>
          <w:bCs/>
          <w:sz w:val="44"/>
          <w:szCs w:val="44"/>
          <w:lang w:val="en-US" w:eastAsia="zh-CN"/>
        </w:rPr>
        <w:t>二O二六年一月</w:t>
      </w:r>
    </w:p>
    <w:p w14:paraId="52981773">
      <w:pPr>
        <w:ind w:left="0" w:leftChars="0" w:firstLine="0" w:firstLineChars="0"/>
        <w:jc w:val="center"/>
        <w:rPr>
          <w:rFonts w:hint="eastAsia" w:ascii="宋体" w:hAnsi="宋体" w:eastAsia="宋体" w:cs="宋体"/>
          <w:b/>
          <w:bCs/>
          <w:sz w:val="32"/>
          <w:szCs w:val="32"/>
          <w:lang w:val="en-US" w:eastAsia="zh-CN"/>
        </w:rPr>
      </w:pPr>
    </w:p>
    <w:p w14:paraId="1EB2A3FA">
      <w:pPr>
        <w:ind w:left="0" w:leftChars="0" w:firstLine="0" w:firstLineChars="0"/>
        <w:jc w:val="center"/>
        <w:rPr>
          <w:rFonts w:hint="eastAsia" w:ascii="宋体" w:hAnsi="宋体" w:eastAsia="宋体" w:cs="宋体"/>
          <w:b/>
          <w:bCs/>
          <w:sz w:val="32"/>
          <w:szCs w:val="32"/>
          <w:lang w:val="en-US" w:eastAsia="zh-CN"/>
        </w:rPr>
        <w:sectPr>
          <w:pgSz w:w="11906" w:h="16838"/>
          <w:pgMar w:top="1247" w:right="1247" w:bottom="1247" w:left="1247" w:header="851" w:footer="992" w:gutter="0"/>
          <w:cols w:space="425" w:num="1"/>
          <w:docGrid w:type="lines" w:linePitch="312" w:charSpace="0"/>
        </w:sectPr>
      </w:pPr>
    </w:p>
    <w:sdt>
      <w:sdtPr>
        <w:rPr>
          <w:rFonts w:hint="eastAsia" w:ascii="仿宋" w:hAnsi="仿宋" w:eastAsia="仿宋" w:cs="仿宋"/>
          <w:b/>
          <w:bCs/>
          <w:kern w:val="2"/>
          <w:sz w:val="21"/>
          <w:szCs w:val="24"/>
          <w:lang w:val="en-US" w:eastAsia="zh-CN" w:bidi="ar-SA"/>
        </w:rPr>
        <w:id w:val="147478971"/>
        <w15:color w:val="DBDBDB"/>
        <w:docPartObj>
          <w:docPartGallery w:val="Table of Contents"/>
          <w:docPartUnique/>
        </w:docPartObj>
      </w:sdtPr>
      <w:sdtEndPr>
        <w:rPr>
          <w:rFonts w:hint="eastAsia" w:ascii="仿宋" w:hAnsi="仿宋" w:eastAsia="仿宋" w:cs="仿宋"/>
          <w:b/>
          <w:bCs/>
          <w:kern w:val="2"/>
          <w:sz w:val="21"/>
          <w:szCs w:val="24"/>
          <w:lang w:val="en-US" w:eastAsia="zh-CN" w:bidi="ar-SA"/>
        </w:rPr>
      </w:sdtEndPr>
      <w:sdtContent>
        <w:p w14:paraId="0F7DFF99">
          <w:pPr>
            <w:keepNext w:val="0"/>
            <w:keepLines w:val="0"/>
            <w:pageBreakBefore w:val="0"/>
            <w:widowControl w:val="0"/>
            <w:kinsoku/>
            <w:wordWrap/>
            <w:overflowPunct/>
            <w:topLinePunct w:val="0"/>
            <w:autoSpaceDE/>
            <w:autoSpaceDN/>
            <w:bidi w:val="0"/>
            <w:adjustRightInd w:val="0"/>
            <w:snapToGrid w:val="0"/>
            <w:spacing w:before="157" w:beforeLines="50" w:after="157" w:afterLines="50" w:line="300" w:lineRule="auto"/>
            <w:ind w:left="0" w:leftChars="0" w:right="0" w:righ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目</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录</w:t>
          </w:r>
        </w:p>
        <w:p w14:paraId="58DE73DF">
          <w:pPr>
            <w:pStyle w:val="15"/>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b/>
              <w:bCs/>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TOC \o "1-3" \h \u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b/>
              <w:bCs/>
              <w:sz w:val="28"/>
              <w:szCs w:val="28"/>
            </w:rPr>
            <w:fldChar w:fldCharType="begin"/>
          </w:r>
          <w:r>
            <w:rPr>
              <w:rFonts w:hint="default" w:ascii="Times New Roman" w:hAnsi="Times New Roman" w:eastAsia="仿宋" w:cs="Times New Roman"/>
              <w:b/>
              <w:bCs/>
              <w:sz w:val="28"/>
              <w:szCs w:val="28"/>
            </w:rPr>
            <w:instrText xml:space="preserve"> HYPERLINK \l _Toc11492 </w:instrText>
          </w:r>
          <w:r>
            <w:rPr>
              <w:rFonts w:hint="default" w:ascii="Times New Roman" w:hAnsi="Times New Roman" w:eastAsia="仿宋" w:cs="Times New Roman"/>
              <w:b/>
              <w:bCs/>
              <w:sz w:val="28"/>
              <w:szCs w:val="28"/>
            </w:rPr>
            <w:fldChar w:fldCharType="separate"/>
          </w:r>
          <w:r>
            <w:rPr>
              <w:rFonts w:hint="default" w:ascii="Times New Roman" w:hAnsi="Times New Roman" w:eastAsia="仿宋" w:cs="Times New Roman"/>
              <w:b/>
              <w:bCs/>
              <w:sz w:val="28"/>
              <w:szCs w:val="28"/>
              <w:lang w:val="en-US" w:eastAsia="zh-CN"/>
            </w:rPr>
            <w:t>前  言</w:t>
          </w:r>
          <w:r>
            <w:rPr>
              <w:rFonts w:hint="default" w:ascii="Times New Roman" w:hAnsi="Times New Roman" w:eastAsia="仿宋" w:cs="Times New Roman"/>
              <w:b/>
              <w:bCs/>
              <w:sz w:val="28"/>
              <w:szCs w:val="28"/>
            </w:rPr>
            <w:tab/>
          </w:r>
          <w:r>
            <w:rPr>
              <w:rFonts w:hint="default" w:ascii="Times New Roman" w:hAnsi="Times New Roman" w:eastAsia="仿宋" w:cs="Times New Roman"/>
              <w:b/>
              <w:bCs/>
              <w:sz w:val="28"/>
              <w:szCs w:val="28"/>
            </w:rPr>
            <w:fldChar w:fldCharType="begin"/>
          </w:r>
          <w:r>
            <w:rPr>
              <w:rFonts w:hint="default" w:ascii="Times New Roman" w:hAnsi="Times New Roman" w:eastAsia="仿宋" w:cs="Times New Roman"/>
              <w:b/>
              <w:bCs/>
              <w:sz w:val="28"/>
              <w:szCs w:val="28"/>
            </w:rPr>
            <w:instrText xml:space="preserve"> PAGEREF _Toc11492 \h </w:instrText>
          </w:r>
          <w:r>
            <w:rPr>
              <w:rFonts w:hint="default" w:ascii="Times New Roman" w:hAnsi="Times New Roman" w:eastAsia="仿宋" w:cs="Times New Roman"/>
              <w:b/>
              <w:bCs/>
              <w:sz w:val="28"/>
              <w:szCs w:val="28"/>
            </w:rPr>
            <w:fldChar w:fldCharType="separate"/>
          </w:r>
          <w:r>
            <w:rPr>
              <w:rFonts w:hint="default" w:ascii="Times New Roman" w:hAnsi="Times New Roman" w:eastAsia="仿宋" w:cs="Times New Roman"/>
              <w:b/>
              <w:bCs/>
              <w:sz w:val="28"/>
              <w:szCs w:val="28"/>
            </w:rPr>
            <w:t>1</w:t>
          </w:r>
          <w:r>
            <w:rPr>
              <w:rFonts w:hint="default" w:ascii="Times New Roman" w:hAnsi="Times New Roman" w:eastAsia="仿宋" w:cs="Times New Roman"/>
              <w:b/>
              <w:bCs/>
              <w:sz w:val="28"/>
              <w:szCs w:val="28"/>
            </w:rPr>
            <w:fldChar w:fldCharType="end"/>
          </w:r>
          <w:r>
            <w:rPr>
              <w:rFonts w:hint="default" w:ascii="Times New Roman" w:hAnsi="Times New Roman" w:eastAsia="仿宋" w:cs="Times New Roman"/>
              <w:b/>
              <w:bCs/>
              <w:sz w:val="28"/>
              <w:szCs w:val="28"/>
            </w:rPr>
            <w:fldChar w:fldCharType="end"/>
          </w:r>
        </w:p>
        <w:p w14:paraId="130DDBFE">
          <w:pPr>
            <w:pStyle w:val="15"/>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fldChar w:fldCharType="begin"/>
          </w:r>
          <w:r>
            <w:rPr>
              <w:rFonts w:hint="default" w:ascii="Times New Roman" w:hAnsi="Times New Roman" w:eastAsia="仿宋" w:cs="Times New Roman"/>
              <w:b/>
              <w:bCs/>
              <w:sz w:val="28"/>
              <w:szCs w:val="28"/>
            </w:rPr>
            <w:instrText xml:space="preserve"> HYPERLINK \l _Toc12666 </w:instrText>
          </w:r>
          <w:r>
            <w:rPr>
              <w:rFonts w:hint="default" w:ascii="Times New Roman" w:hAnsi="Times New Roman" w:eastAsia="仿宋" w:cs="Times New Roman"/>
              <w:b/>
              <w:bCs/>
              <w:sz w:val="28"/>
              <w:szCs w:val="28"/>
            </w:rPr>
            <w:fldChar w:fldCharType="separate"/>
          </w:r>
          <w:r>
            <w:rPr>
              <w:rFonts w:hint="default" w:ascii="Times New Roman" w:hAnsi="Times New Roman" w:eastAsia="仿宋" w:cs="Times New Roman"/>
              <w:b/>
              <w:bCs/>
              <w:sz w:val="28"/>
              <w:szCs w:val="28"/>
              <w:lang w:val="en-US" w:eastAsia="zh-CN"/>
            </w:rPr>
            <w:t>第一章 生态环境现状与存在问题</w:t>
          </w:r>
          <w:r>
            <w:rPr>
              <w:rFonts w:hint="default" w:ascii="Times New Roman" w:hAnsi="Times New Roman" w:eastAsia="仿宋" w:cs="Times New Roman"/>
              <w:b/>
              <w:bCs/>
              <w:sz w:val="28"/>
              <w:szCs w:val="28"/>
            </w:rPr>
            <w:tab/>
          </w:r>
          <w:r>
            <w:rPr>
              <w:rFonts w:hint="default" w:ascii="Times New Roman" w:hAnsi="Times New Roman" w:eastAsia="仿宋" w:cs="Times New Roman"/>
              <w:b/>
              <w:bCs/>
              <w:sz w:val="28"/>
              <w:szCs w:val="28"/>
            </w:rPr>
            <w:fldChar w:fldCharType="begin"/>
          </w:r>
          <w:r>
            <w:rPr>
              <w:rFonts w:hint="default" w:ascii="Times New Roman" w:hAnsi="Times New Roman" w:eastAsia="仿宋" w:cs="Times New Roman"/>
              <w:b/>
              <w:bCs/>
              <w:sz w:val="28"/>
              <w:szCs w:val="28"/>
            </w:rPr>
            <w:instrText xml:space="preserve"> PAGEREF _Toc12666 \h </w:instrText>
          </w:r>
          <w:r>
            <w:rPr>
              <w:rFonts w:hint="default" w:ascii="Times New Roman" w:hAnsi="Times New Roman" w:eastAsia="仿宋" w:cs="Times New Roman"/>
              <w:b/>
              <w:bCs/>
              <w:sz w:val="28"/>
              <w:szCs w:val="28"/>
            </w:rPr>
            <w:fldChar w:fldCharType="separate"/>
          </w:r>
          <w:r>
            <w:rPr>
              <w:rFonts w:hint="default" w:ascii="Times New Roman" w:hAnsi="Times New Roman" w:eastAsia="仿宋" w:cs="Times New Roman"/>
              <w:b/>
              <w:bCs/>
              <w:sz w:val="28"/>
              <w:szCs w:val="28"/>
            </w:rPr>
            <w:t>2</w:t>
          </w:r>
          <w:r>
            <w:rPr>
              <w:rFonts w:hint="default" w:ascii="Times New Roman" w:hAnsi="Times New Roman" w:eastAsia="仿宋" w:cs="Times New Roman"/>
              <w:b/>
              <w:bCs/>
              <w:sz w:val="28"/>
              <w:szCs w:val="28"/>
            </w:rPr>
            <w:fldChar w:fldCharType="end"/>
          </w:r>
          <w:r>
            <w:rPr>
              <w:rFonts w:hint="default" w:ascii="Times New Roman" w:hAnsi="Times New Roman" w:eastAsia="仿宋" w:cs="Times New Roman"/>
              <w:b/>
              <w:bCs/>
              <w:sz w:val="28"/>
              <w:szCs w:val="28"/>
            </w:rPr>
            <w:fldChar w:fldCharType="end"/>
          </w:r>
        </w:p>
        <w:p w14:paraId="37352227">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_Toc25856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第一节 自然地理</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_Toc25856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64873CB6">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_Toc25927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一、行政区位</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_Toc25927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7B58E88A">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_Toc14299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二、气候条件</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_Toc14299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1DFFC556">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_Toc6680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三、地形地貌</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_Toc6680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72B29E4C">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_Toc10468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四、土壤</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_Toc10468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61E0E788">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_Toc20905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五、河流水系</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_Toc20905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502D1883">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_Toc14027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第二节 自然资源状况</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_Toc14027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6D7258E0">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_Toc3142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一、矿产资源</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_Toc3142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5A61F14A">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_Toc21406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二、水资源</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_Toc21406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13F11F51">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_Toc25328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三、土地资源</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_Toc25328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5</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636C62EE">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_Toc3803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四、林业资源</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_Toc3803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5</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1E6EC47A">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_Toc8098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五、生物资源</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_Toc8098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5</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210B7EEE">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_Toc2342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六、自然资源保护地</w:t>
          </w:r>
          <w:r>
            <w:rPr>
              <w:rFonts w:hint="eastAsia" w:ascii="Times New Roman" w:hAnsi="Times New Roman" w:eastAsia="仿宋" w:cs="Times New Roman"/>
              <w:sz w:val="28"/>
              <w:szCs w:val="28"/>
              <w:lang w:val="en-US" w:eastAsia="zh-CN"/>
            </w:rPr>
            <w:t>资源</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_Toc2342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3CFCDD2B">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_Toc11454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七、文化旅游资源</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_Toc11454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1BCD6D04">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_Toc18042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第三节 生态环境现状</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_Toc18042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21F6279C">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_Toc15597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一、矿山地质环境现状</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_Toc15597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356044C0">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_Toc23309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二、水土流失现状</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_Toc23309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4181819C">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_Toc22263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三、水生态系统现状</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_Toc22263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2AA873F0">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_Toc4166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四、农田生态系统现状</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_Toc4166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8</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5ABB29C4">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_Toc3423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五、森林生态系统现状</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_Toc3423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8</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0BFA2FBD">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_Toc19062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六、生物多样性现状</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_Toc19062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9</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6439CCA4">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_Toc10174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第四节 现状问题识别</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_Toc10174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9</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336EF7B1">
          <w:pPr>
            <w:pStyle w:val="15"/>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fldChar w:fldCharType="begin"/>
          </w:r>
          <w:r>
            <w:rPr>
              <w:rFonts w:hint="default" w:ascii="Times New Roman" w:hAnsi="Times New Roman" w:eastAsia="仿宋" w:cs="Times New Roman"/>
              <w:b/>
              <w:bCs/>
              <w:sz w:val="28"/>
              <w:szCs w:val="28"/>
            </w:rPr>
            <w:instrText xml:space="preserve"> HYPERLINK \l _Toc32045 </w:instrText>
          </w:r>
          <w:r>
            <w:rPr>
              <w:rFonts w:hint="default" w:ascii="Times New Roman" w:hAnsi="Times New Roman" w:eastAsia="仿宋" w:cs="Times New Roman"/>
              <w:b/>
              <w:bCs/>
              <w:sz w:val="28"/>
              <w:szCs w:val="28"/>
            </w:rPr>
            <w:fldChar w:fldCharType="separate"/>
          </w:r>
          <w:r>
            <w:rPr>
              <w:rFonts w:hint="default" w:ascii="Times New Roman" w:hAnsi="Times New Roman" w:eastAsia="仿宋" w:cs="Times New Roman"/>
              <w:b/>
              <w:bCs/>
              <w:sz w:val="28"/>
              <w:szCs w:val="28"/>
              <w:lang w:val="en-US" w:eastAsia="zh-CN"/>
            </w:rPr>
            <w:t>第二章 面临形式</w:t>
          </w:r>
          <w:r>
            <w:rPr>
              <w:rFonts w:hint="default" w:ascii="Times New Roman" w:hAnsi="Times New Roman" w:eastAsia="仿宋" w:cs="Times New Roman"/>
              <w:b/>
              <w:bCs/>
              <w:sz w:val="28"/>
              <w:szCs w:val="28"/>
            </w:rPr>
            <w:tab/>
          </w:r>
          <w:r>
            <w:rPr>
              <w:rFonts w:hint="default" w:ascii="Times New Roman" w:hAnsi="Times New Roman" w:eastAsia="仿宋" w:cs="Times New Roman"/>
              <w:b/>
              <w:bCs/>
              <w:sz w:val="28"/>
              <w:szCs w:val="28"/>
            </w:rPr>
            <w:fldChar w:fldCharType="begin"/>
          </w:r>
          <w:r>
            <w:rPr>
              <w:rFonts w:hint="default" w:ascii="Times New Roman" w:hAnsi="Times New Roman" w:eastAsia="仿宋" w:cs="Times New Roman"/>
              <w:b/>
              <w:bCs/>
              <w:sz w:val="28"/>
              <w:szCs w:val="28"/>
            </w:rPr>
            <w:instrText xml:space="preserve"> PAGEREF _Toc32045 \h </w:instrText>
          </w:r>
          <w:r>
            <w:rPr>
              <w:rFonts w:hint="default" w:ascii="Times New Roman" w:hAnsi="Times New Roman" w:eastAsia="仿宋" w:cs="Times New Roman"/>
              <w:b/>
              <w:bCs/>
              <w:sz w:val="28"/>
              <w:szCs w:val="28"/>
            </w:rPr>
            <w:fldChar w:fldCharType="separate"/>
          </w:r>
          <w:r>
            <w:rPr>
              <w:rFonts w:hint="default" w:ascii="Times New Roman" w:hAnsi="Times New Roman" w:eastAsia="仿宋" w:cs="Times New Roman"/>
              <w:b/>
              <w:bCs/>
              <w:sz w:val="28"/>
              <w:szCs w:val="28"/>
            </w:rPr>
            <w:t>12</w:t>
          </w:r>
          <w:r>
            <w:rPr>
              <w:rFonts w:hint="default" w:ascii="Times New Roman" w:hAnsi="Times New Roman" w:eastAsia="仿宋" w:cs="Times New Roman"/>
              <w:b/>
              <w:bCs/>
              <w:sz w:val="28"/>
              <w:szCs w:val="28"/>
            </w:rPr>
            <w:fldChar w:fldCharType="end"/>
          </w:r>
          <w:r>
            <w:rPr>
              <w:rFonts w:hint="default" w:ascii="Times New Roman" w:hAnsi="Times New Roman" w:eastAsia="仿宋" w:cs="Times New Roman"/>
              <w:b/>
              <w:bCs/>
              <w:sz w:val="28"/>
              <w:szCs w:val="28"/>
            </w:rPr>
            <w:fldChar w:fldCharType="end"/>
          </w:r>
        </w:p>
        <w:p w14:paraId="36C56FDA">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_Toc29757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第一节 形式与要求</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_Toc29757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6F89C383">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_Toc11107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kern w:val="2"/>
              <w:sz w:val="28"/>
              <w:szCs w:val="28"/>
              <w:lang w:val="en-US" w:eastAsia="zh-CN" w:bidi="ar-SA"/>
            </w:rPr>
            <w:t xml:space="preserve">第二节 </w:t>
          </w:r>
          <w:r>
            <w:rPr>
              <w:rFonts w:hint="default" w:ascii="Times New Roman" w:hAnsi="Times New Roman" w:eastAsia="仿宋" w:cs="Times New Roman"/>
              <w:sz w:val="28"/>
              <w:szCs w:val="28"/>
              <w:lang w:val="en-US" w:eastAsia="zh-CN"/>
            </w:rPr>
            <w:t>生态修复工作成效</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_Toc11107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44C0F1CE">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_Toc27040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第三节 机遇与挑战</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_Toc27040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794AC120">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_Toc6610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一、发展机遇</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_Toc6610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37A59AEE">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_Toc18094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二、面临挑战</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_Toc18094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14</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6B1F2D89">
          <w:pPr>
            <w:pStyle w:val="15"/>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fldChar w:fldCharType="begin"/>
          </w:r>
          <w:r>
            <w:rPr>
              <w:rFonts w:hint="default" w:ascii="Times New Roman" w:hAnsi="Times New Roman" w:eastAsia="仿宋" w:cs="Times New Roman"/>
              <w:b/>
              <w:bCs/>
              <w:sz w:val="28"/>
              <w:szCs w:val="28"/>
            </w:rPr>
            <w:instrText xml:space="preserve"> HYPERLINK \l _Toc19762 </w:instrText>
          </w:r>
          <w:r>
            <w:rPr>
              <w:rFonts w:hint="default" w:ascii="Times New Roman" w:hAnsi="Times New Roman" w:eastAsia="仿宋" w:cs="Times New Roman"/>
              <w:b/>
              <w:bCs/>
              <w:sz w:val="28"/>
              <w:szCs w:val="28"/>
            </w:rPr>
            <w:fldChar w:fldCharType="separate"/>
          </w:r>
          <w:r>
            <w:rPr>
              <w:rFonts w:hint="default" w:ascii="Times New Roman" w:hAnsi="Times New Roman" w:eastAsia="仿宋" w:cs="Times New Roman"/>
              <w:b/>
              <w:bCs/>
              <w:sz w:val="28"/>
              <w:szCs w:val="28"/>
              <w:lang w:val="en-US" w:eastAsia="zh-CN"/>
            </w:rPr>
            <w:t>第三章 规划总体要求</w:t>
          </w:r>
          <w:r>
            <w:rPr>
              <w:rFonts w:hint="default" w:ascii="Times New Roman" w:hAnsi="Times New Roman" w:eastAsia="仿宋" w:cs="Times New Roman"/>
              <w:b/>
              <w:bCs/>
              <w:sz w:val="28"/>
              <w:szCs w:val="28"/>
            </w:rPr>
            <w:tab/>
          </w:r>
          <w:r>
            <w:rPr>
              <w:rFonts w:hint="default" w:ascii="Times New Roman" w:hAnsi="Times New Roman" w:eastAsia="仿宋" w:cs="Times New Roman"/>
              <w:b/>
              <w:bCs/>
              <w:sz w:val="28"/>
              <w:szCs w:val="28"/>
            </w:rPr>
            <w:fldChar w:fldCharType="begin"/>
          </w:r>
          <w:r>
            <w:rPr>
              <w:rFonts w:hint="default" w:ascii="Times New Roman" w:hAnsi="Times New Roman" w:eastAsia="仿宋" w:cs="Times New Roman"/>
              <w:b/>
              <w:bCs/>
              <w:sz w:val="28"/>
              <w:szCs w:val="28"/>
            </w:rPr>
            <w:instrText xml:space="preserve"> PAGEREF _Toc19762 \h </w:instrText>
          </w:r>
          <w:r>
            <w:rPr>
              <w:rFonts w:hint="default" w:ascii="Times New Roman" w:hAnsi="Times New Roman" w:eastAsia="仿宋" w:cs="Times New Roman"/>
              <w:b/>
              <w:bCs/>
              <w:sz w:val="28"/>
              <w:szCs w:val="28"/>
            </w:rPr>
            <w:fldChar w:fldCharType="separate"/>
          </w:r>
          <w:r>
            <w:rPr>
              <w:rFonts w:hint="default" w:ascii="Times New Roman" w:hAnsi="Times New Roman" w:eastAsia="仿宋" w:cs="Times New Roman"/>
              <w:b/>
              <w:bCs/>
              <w:sz w:val="28"/>
              <w:szCs w:val="28"/>
            </w:rPr>
            <w:t>16</w:t>
          </w:r>
          <w:r>
            <w:rPr>
              <w:rFonts w:hint="default" w:ascii="Times New Roman" w:hAnsi="Times New Roman" w:eastAsia="仿宋" w:cs="Times New Roman"/>
              <w:b/>
              <w:bCs/>
              <w:sz w:val="28"/>
              <w:szCs w:val="28"/>
            </w:rPr>
            <w:fldChar w:fldCharType="end"/>
          </w:r>
          <w:r>
            <w:rPr>
              <w:rFonts w:hint="default" w:ascii="Times New Roman" w:hAnsi="Times New Roman" w:eastAsia="仿宋" w:cs="Times New Roman"/>
              <w:b/>
              <w:bCs/>
              <w:sz w:val="28"/>
              <w:szCs w:val="28"/>
            </w:rPr>
            <w:fldChar w:fldCharType="end"/>
          </w:r>
        </w:p>
        <w:p w14:paraId="48DB0C6E">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_Toc526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第一节 指导思想</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_Toc526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36B803BE">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_Toc31538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kern w:val="2"/>
              <w:sz w:val="28"/>
              <w:szCs w:val="28"/>
              <w:lang w:val="en-US" w:eastAsia="zh-CN" w:bidi="ar-SA"/>
            </w:rPr>
            <w:t xml:space="preserve">第二节 </w:t>
          </w:r>
          <w:r>
            <w:rPr>
              <w:rFonts w:hint="default" w:ascii="Times New Roman" w:hAnsi="Times New Roman" w:eastAsia="仿宋" w:cs="Times New Roman"/>
              <w:sz w:val="28"/>
              <w:szCs w:val="28"/>
              <w:lang w:val="en-US" w:eastAsia="zh-CN"/>
            </w:rPr>
            <w:t>基本原则</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_Toc31538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4B39AA9D">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_Toc13771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一、战略引领，统筹兼顾。</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_Toc13771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62E2C028">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_Toc3175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二、问题导向，突出重点。</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_Toc3175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06E04AC0">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_Toc19473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三、因地制宜，稳妥推进。</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_Toc19473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314CBEC6">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_Toc32391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kern w:val="2"/>
              <w:sz w:val="28"/>
              <w:szCs w:val="28"/>
              <w:lang w:val="en-US" w:eastAsia="zh-CN" w:bidi="ar-SA"/>
            </w:rPr>
            <w:t xml:space="preserve">第三节 </w:t>
          </w:r>
          <w:r>
            <w:rPr>
              <w:rFonts w:hint="default" w:ascii="Times New Roman" w:hAnsi="Times New Roman" w:eastAsia="仿宋" w:cs="Times New Roman"/>
              <w:sz w:val="28"/>
              <w:szCs w:val="28"/>
              <w:lang w:val="en-US" w:eastAsia="zh-CN"/>
            </w:rPr>
            <w:t>规划范围</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_Toc32391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4B8A992A">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_Toc7925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kern w:val="2"/>
              <w:sz w:val="28"/>
              <w:szCs w:val="28"/>
              <w:lang w:val="en-US" w:eastAsia="zh-CN" w:bidi="ar-SA"/>
            </w:rPr>
            <w:t xml:space="preserve">第四节 </w:t>
          </w:r>
          <w:r>
            <w:rPr>
              <w:rFonts w:hint="default" w:ascii="Times New Roman" w:hAnsi="Times New Roman" w:eastAsia="仿宋" w:cs="Times New Roman"/>
              <w:sz w:val="28"/>
              <w:szCs w:val="28"/>
              <w:lang w:val="en-US" w:eastAsia="zh-CN"/>
            </w:rPr>
            <w:t>规划期限</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_Toc7925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18</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1B9561CD">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_Toc12715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第五节 目标与要求</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_Toc12715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18</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68F6A3B5">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_Toc2873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一、构建生物多样性保护网络</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_Toc2873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18</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16A4BD2E">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_Toc16493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二、优化自然保护地体系</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_Toc16493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19</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7F6035EB">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_Toc13931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三、提升水安全保障能力与水资源利用效率</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_Toc13931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19</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3F5DBB6D">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_Toc16917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四、冰川保护与利用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_Toc16917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19</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090EE0E0">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_Toc2775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五、林草植被盖度和质量明显提高</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_Toc2775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20</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535DE5A6">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_Toc3907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六、水土流失治理新格局</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_Toc3907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20</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74AF020F">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_Toc16411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七、积极在盖孜河流域、</w:t>
          </w:r>
          <w:r>
            <w:rPr>
              <w:rFonts w:hint="eastAsia" w:eastAsia="仿宋" w:cs="Times New Roman"/>
              <w:sz w:val="28"/>
              <w:szCs w:val="28"/>
              <w:lang w:val="en-US" w:eastAsia="zh-CN"/>
            </w:rPr>
            <w:t>玛尔坎苏河</w:t>
          </w:r>
          <w:r>
            <w:rPr>
              <w:rFonts w:hint="default" w:ascii="Times New Roman" w:hAnsi="Times New Roman" w:eastAsia="仿宋" w:cs="Times New Roman"/>
              <w:sz w:val="28"/>
              <w:szCs w:val="28"/>
              <w:lang w:val="en-US" w:eastAsia="zh-CN"/>
            </w:rPr>
            <w:t>流域等重点治理区，开展流域水环境综合质量</w:t>
          </w:r>
          <w:r>
            <w:rPr>
              <w:rFonts w:hint="eastAsia" w:eastAsia="仿宋" w:cs="Times New Roman"/>
              <w:sz w:val="28"/>
              <w:szCs w:val="28"/>
              <w:lang w:val="en-US" w:eastAsia="zh-CN"/>
            </w:rPr>
            <w:t>提升</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_Toc16411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20</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77F3EB74">
          <w:pPr>
            <w:pStyle w:val="17"/>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_Toc9385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八、加强绿色矿山建设，地质灾害防治</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_Toc9385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21</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2A5CFD98">
          <w:pPr>
            <w:pStyle w:val="15"/>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fldChar w:fldCharType="begin"/>
          </w:r>
          <w:r>
            <w:rPr>
              <w:rFonts w:hint="default" w:ascii="Times New Roman" w:hAnsi="Times New Roman" w:eastAsia="仿宋" w:cs="Times New Roman"/>
              <w:b/>
              <w:bCs/>
              <w:sz w:val="28"/>
              <w:szCs w:val="28"/>
            </w:rPr>
            <w:instrText xml:space="preserve"> HYPERLINK \l _Toc23764 </w:instrText>
          </w:r>
          <w:r>
            <w:rPr>
              <w:rFonts w:hint="default" w:ascii="Times New Roman" w:hAnsi="Times New Roman" w:eastAsia="仿宋" w:cs="Times New Roman"/>
              <w:b/>
              <w:bCs/>
              <w:sz w:val="28"/>
              <w:szCs w:val="28"/>
            </w:rPr>
            <w:fldChar w:fldCharType="separate"/>
          </w:r>
          <w:r>
            <w:rPr>
              <w:rFonts w:hint="default" w:ascii="Times New Roman" w:hAnsi="Times New Roman" w:eastAsia="仿宋" w:cs="Times New Roman"/>
              <w:b/>
              <w:bCs/>
              <w:sz w:val="28"/>
              <w:szCs w:val="28"/>
              <w:lang w:val="en-US" w:eastAsia="zh-CN"/>
            </w:rPr>
            <w:t>第四章 总体布局</w:t>
          </w:r>
          <w:r>
            <w:rPr>
              <w:rFonts w:hint="default" w:ascii="Times New Roman" w:hAnsi="Times New Roman" w:eastAsia="仿宋" w:cs="Times New Roman"/>
              <w:b/>
              <w:bCs/>
              <w:sz w:val="28"/>
              <w:szCs w:val="28"/>
            </w:rPr>
            <w:tab/>
          </w:r>
          <w:r>
            <w:rPr>
              <w:rFonts w:hint="default" w:ascii="Times New Roman" w:hAnsi="Times New Roman" w:eastAsia="仿宋" w:cs="Times New Roman"/>
              <w:b/>
              <w:bCs/>
              <w:sz w:val="28"/>
              <w:szCs w:val="28"/>
            </w:rPr>
            <w:fldChar w:fldCharType="begin"/>
          </w:r>
          <w:r>
            <w:rPr>
              <w:rFonts w:hint="default" w:ascii="Times New Roman" w:hAnsi="Times New Roman" w:eastAsia="仿宋" w:cs="Times New Roman"/>
              <w:b/>
              <w:bCs/>
              <w:sz w:val="28"/>
              <w:szCs w:val="28"/>
            </w:rPr>
            <w:instrText xml:space="preserve"> PAGEREF _Toc23764 \h </w:instrText>
          </w:r>
          <w:r>
            <w:rPr>
              <w:rFonts w:hint="default" w:ascii="Times New Roman" w:hAnsi="Times New Roman" w:eastAsia="仿宋" w:cs="Times New Roman"/>
              <w:b/>
              <w:bCs/>
              <w:sz w:val="28"/>
              <w:szCs w:val="28"/>
            </w:rPr>
            <w:fldChar w:fldCharType="separate"/>
          </w:r>
          <w:r>
            <w:rPr>
              <w:rFonts w:hint="default" w:ascii="Times New Roman" w:hAnsi="Times New Roman" w:eastAsia="仿宋" w:cs="Times New Roman"/>
              <w:b/>
              <w:bCs/>
              <w:sz w:val="28"/>
              <w:szCs w:val="28"/>
            </w:rPr>
            <w:t>23</w:t>
          </w:r>
          <w:r>
            <w:rPr>
              <w:rFonts w:hint="default" w:ascii="Times New Roman" w:hAnsi="Times New Roman" w:eastAsia="仿宋" w:cs="Times New Roman"/>
              <w:b/>
              <w:bCs/>
              <w:sz w:val="28"/>
              <w:szCs w:val="28"/>
            </w:rPr>
            <w:fldChar w:fldCharType="end"/>
          </w:r>
          <w:r>
            <w:rPr>
              <w:rFonts w:hint="default" w:ascii="Times New Roman" w:hAnsi="Times New Roman" w:eastAsia="仿宋" w:cs="Times New Roman"/>
              <w:b/>
              <w:bCs/>
              <w:sz w:val="28"/>
              <w:szCs w:val="28"/>
            </w:rPr>
            <w:fldChar w:fldCharType="end"/>
          </w:r>
        </w:p>
        <w:p w14:paraId="246A6F4B">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_Toc19129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第一节 生态功能保护修复总体格局</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_Toc19129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51C67A0B">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_Toc31717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kern w:val="2"/>
              <w:sz w:val="28"/>
              <w:szCs w:val="28"/>
              <w:lang w:val="en-US" w:eastAsia="zh-CN" w:bidi="ar-SA"/>
            </w:rPr>
            <w:t xml:space="preserve">第二节 </w:t>
          </w:r>
          <w:r>
            <w:rPr>
              <w:rFonts w:hint="default" w:ascii="Times New Roman" w:hAnsi="Times New Roman" w:eastAsia="仿宋" w:cs="Times New Roman"/>
              <w:sz w:val="28"/>
              <w:szCs w:val="28"/>
              <w:lang w:val="en-US" w:eastAsia="zh-CN"/>
            </w:rPr>
            <w:t>生态功能保护修复分区</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_Toc31717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24</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4C393C58">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_Toc28915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第三节 生态功能保护修复重点区域</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_Toc28915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25</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0A3A09C2">
          <w:pPr>
            <w:pStyle w:val="15"/>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fldChar w:fldCharType="begin"/>
          </w:r>
          <w:r>
            <w:rPr>
              <w:rFonts w:hint="default" w:ascii="Times New Roman" w:hAnsi="Times New Roman" w:eastAsia="仿宋" w:cs="Times New Roman"/>
              <w:b/>
              <w:bCs/>
              <w:sz w:val="28"/>
              <w:szCs w:val="28"/>
            </w:rPr>
            <w:instrText xml:space="preserve"> HYPERLINK \l _Toc13158 </w:instrText>
          </w:r>
          <w:r>
            <w:rPr>
              <w:rFonts w:hint="default" w:ascii="Times New Roman" w:hAnsi="Times New Roman" w:eastAsia="仿宋" w:cs="Times New Roman"/>
              <w:b/>
              <w:bCs/>
              <w:sz w:val="28"/>
              <w:szCs w:val="28"/>
            </w:rPr>
            <w:fldChar w:fldCharType="separate"/>
          </w:r>
          <w:r>
            <w:rPr>
              <w:rFonts w:hint="default" w:ascii="Times New Roman" w:hAnsi="Times New Roman" w:eastAsia="仿宋" w:cs="Times New Roman"/>
              <w:b/>
              <w:bCs/>
              <w:sz w:val="28"/>
              <w:szCs w:val="28"/>
              <w:lang w:val="en-US" w:eastAsia="zh-CN"/>
            </w:rPr>
            <w:t>第五章 主要任务</w:t>
          </w:r>
          <w:r>
            <w:rPr>
              <w:rFonts w:hint="default" w:ascii="Times New Roman" w:hAnsi="Times New Roman" w:eastAsia="仿宋" w:cs="Times New Roman"/>
              <w:b/>
              <w:bCs/>
              <w:sz w:val="28"/>
              <w:szCs w:val="28"/>
            </w:rPr>
            <w:tab/>
          </w:r>
          <w:r>
            <w:rPr>
              <w:rFonts w:hint="default" w:ascii="Times New Roman" w:hAnsi="Times New Roman" w:eastAsia="仿宋" w:cs="Times New Roman"/>
              <w:b/>
              <w:bCs/>
              <w:sz w:val="28"/>
              <w:szCs w:val="28"/>
            </w:rPr>
            <w:fldChar w:fldCharType="begin"/>
          </w:r>
          <w:r>
            <w:rPr>
              <w:rFonts w:hint="default" w:ascii="Times New Roman" w:hAnsi="Times New Roman" w:eastAsia="仿宋" w:cs="Times New Roman"/>
              <w:b/>
              <w:bCs/>
              <w:sz w:val="28"/>
              <w:szCs w:val="28"/>
            </w:rPr>
            <w:instrText xml:space="preserve"> PAGEREF _Toc13158 \h </w:instrText>
          </w:r>
          <w:r>
            <w:rPr>
              <w:rFonts w:hint="default" w:ascii="Times New Roman" w:hAnsi="Times New Roman" w:eastAsia="仿宋" w:cs="Times New Roman"/>
              <w:b/>
              <w:bCs/>
              <w:sz w:val="28"/>
              <w:szCs w:val="28"/>
            </w:rPr>
            <w:fldChar w:fldCharType="separate"/>
          </w:r>
          <w:r>
            <w:rPr>
              <w:rFonts w:hint="default" w:ascii="Times New Roman" w:hAnsi="Times New Roman" w:eastAsia="仿宋" w:cs="Times New Roman"/>
              <w:b/>
              <w:bCs/>
              <w:sz w:val="28"/>
              <w:szCs w:val="28"/>
            </w:rPr>
            <w:t>26</w:t>
          </w:r>
          <w:r>
            <w:rPr>
              <w:rFonts w:hint="default" w:ascii="Times New Roman" w:hAnsi="Times New Roman" w:eastAsia="仿宋" w:cs="Times New Roman"/>
              <w:b/>
              <w:bCs/>
              <w:sz w:val="28"/>
              <w:szCs w:val="28"/>
            </w:rPr>
            <w:fldChar w:fldCharType="end"/>
          </w:r>
          <w:r>
            <w:rPr>
              <w:rFonts w:hint="default" w:ascii="Times New Roman" w:hAnsi="Times New Roman" w:eastAsia="仿宋" w:cs="Times New Roman"/>
              <w:b/>
              <w:bCs/>
              <w:sz w:val="28"/>
              <w:szCs w:val="28"/>
            </w:rPr>
            <w:fldChar w:fldCharType="end"/>
          </w:r>
        </w:p>
        <w:p w14:paraId="0EAB19F3">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_Toc30594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第一节 矿山地质生态保护修复</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_Toc30594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65BED2E5">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_Toc20583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kern w:val="2"/>
              <w:sz w:val="28"/>
              <w:szCs w:val="28"/>
              <w:lang w:val="en-US" w:eastAsia="zh-CN" w:bidi="ar-SA"/>
            </w:rPr>
            <w:t xml:space="preserve">第二节 </w:t>
          </w:r>
          <w:r>
            <w:rPr>
              <w:rFonts w:hint="default" w:ascii="Times New Roman" w:hAnsi="Times New Roman" w:eastAsia="仿宋" w:cs="Times New Roman"/>
              <w:sz w:val="28"/>
              <w:szCs w:val="28"/>
              <w:lang w:val="en-US" w:eastAsia="zh-CN"/>
            </w:rPr>
            <w:t>水土流失防治修复</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_Toc20583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7B6E9819">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_Toc3135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kern w:val="2"/>
              <w:sz w:val="28"/>
              <w:szCs w:val="28"/>
              <w:lang w:val="en-US" w:eastAsia="zh-CN" w:bidi="ar-SA"/>
            </w:rPr>
            <w:t xml:space="preserve">第三节 </w:t>
          </w:r>
          <w:r>
            <w:rPr>
              <w:rFonts w:hint="default" w:ascii="Times New Roman" w:hAnsi="Times New Roman" w:eastAsia="仿宋" w:cs="Times New Roman"/>
              <w:sz w:val="28"/>
              <w:szCs w:val="28"/>
              <w:lang w:val="en-US" w:eastAsia="zh-CN"/>
            </w:rPr>
            <w:t>水生态系统保护修复</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_Toc3135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52FEB1F5">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_Toc8845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kern w:val="2"/>
              <w:sz w:val="28"/>
              <w:szCs w:val="28"/>
              <w:lang w:val="en-US" w:eastAsia="zh-CN" w:bidi="ar-SA"/>
            </w:rPr>
            <w:t xml:space="preserve">第四节 </w:t>
          </w:r>
          <w:r>
            <w:rPr>
              <w:rFonts w:hint="default" w:ascii="Times New Roman" w:hAnsi="Times New Roman" w:eastAsia="仿宋" w:cs="Times New Roman"/>
              <w:sz w:val="28"/>
              <w:szCs w:val="28"/>
              <w:lang w:val="en-US" w:eastAsia="zh-CN"/>
            </w:rPr>
            <w:t>农田生态系统保护修复</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_Toc8845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29</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413AD9EE">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_Toc27090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第五节 森林生态系统保护修复</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_Toc27090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30</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7F5033FC">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_Toc32361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第六节 生物多样性保护</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_Toc32361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3A8F88B5">
          <w:pPr>
            <w:pStyle w:val="15"/>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fldChar w:fldCharType="begin"/>
          </w:r>
          <w:r>
            <w:rPr>
              <w:rFonts w:hint="default" w:ascii="Times New Roman" w:hAnsi="Times New Roman" w:eastAsia="仿宋" w:cs="Times New Roman"/>
              <w:b/>
              <w:bCs/>
              <w:sz w:val="28"/>
              <w:szCs w:val="28"/>
            </w:rPr>
            <w:instrText xml:space="preserve"> HYPERLINK \l _Toc9885 </w:instrText>
          </w:r>
          <w:r>
            <w:rPr>
              <w:rFonts w:hint="default" w:ascii="Times New Roman" w:hAnsi="Times New Roman" w:eastAsia="仿宋" w:cs="Times New Roman"/>
              <w:b/>
              <w:bCs/>
              <w:sz w:val="28"/>
              <w:szCs w:val="28"/>
            </w:rPr>
            <w:fldChar w:fldCharType="separate"/>
          </w:r>
          <w:r>
            <w:rPr>
              <w:rFonts w:hint="default" w:ascii="Times New Roman" w:hAnsi="Times New Roman" w:eastAsia="仿宋" w:cs="Times New Roman"/>
              <w:b/>
              <w:bCs/>
              <w:sz w:val="28"/>
              <w:szCs w:val="28"/>
              <w:lang w:val="en-US" w:eastAsia="zh-CN"/>
            </w:rPr>
            <w:t>第六章 重点工程部署</w:t>
          </w:r>
          <w:r>
            <w:rPr>
              <w:rFonts w:hint="default" w:ascii="Times New Roman" w:hAnsi="Times New Roman" w:eastAsia="仿宋" w:cs="Times New Roman"/>
              <w:b/>
              <w:bCs/>
              <w:sz w:val="28"/>
              <w:szCs w:val="28"/>
            </w:rPr>
            <w:tab/>
          </w:r>
          <w:r>
            <w:rPr>
              <w:rFonts w:hint="default" w:ascii="Times New Roman" w:hAnsi="Times New Roman" w:eastAsia="仿宋" w:cs="Times New Roman"/>
              <w:b/>
              <w:bCs/>
              <w:sz w:val="28"/>
              <w:szCs w:val="28"/>
            </w:rPr>
            <w:fldChar w:fldCharType="begin"/>
          </w:r>
          <w:r>
            <w:rPr>
              <w:rFonts w:hint="default" w:ascii="Times New Roman" w:hAnsi="Times New Roman" w:eastAsia="仿宋" w:cs="Times New Roman"/>
              <w:b/>
              <w:bCs/>
              <w:sz w:val="28"/>
              <w:szCs w:val="28"/>
            </w:rPr>
            <w:instrText xml:space="preserve"> PAGEREF _Toc9885 \h </w:instrText>
          </w:r>
          <w:r>
            <w:rPr>
              <w:rFonts w:hint="default" w:ascii="Times New Roman" w:hAnsi="Times New Roman" w:eastAsia="仿宋" w:cs="Times New Roman"/>
              <w:b/>
              <w:bCs/>
              <w:sz w:val="28"/>
              <w:szCs w:val="28"/>
            </w:rPr>
            <w:fldChar w:fldCharType="separate"/>
          </w:r>
          <w:r>
            <w:rPr>
              <w:rFonts w:hint="default" w:ascii="Times New Roman" w:hAnsi="Times New Roman" w:eastAsia="仿宋" w:cs="Times New Roman"/>
              <w:b/>
              <w:bCs/>
              <w:sz w:val="28"/>
              <w:szCs w:val="28"/>
            </w:rPr>
            <w:t>33</w:t>
          </w:r>
          <w:r>
            <w:rPr>
              <w:rFonts w:hint="default" w:ascii="Times New Roman" w:hAnsi="Times New Roman" w:eastAsia="仿宋" w:cs="Times New Roman"/>
              <w:b/>
              <w:bCs/>
              <w:sz w:val="28"/>
              <w:szCs w:val="28"/>
            </w:rPr>
            <w:fldChar w:fldCharType="end"/>
          </w:r>
          <w:r>
            <w:rPr>
              <w:rFonts w:hint="default" w:ascii="Times New Roman" w:hAnsi="Times New Roman" w:eastAsia="仿宋" w:cs="Times New Roman"/>
              <w:b/>
              <w:bCs/>
              <w:sz w:val="28"/>
              <w:szCs w:val="28"/>
            </w:rPr>
            <w:fldChar w:fldCharType="end"/>
          </w:r>
        </w:p>
        <w:p w14:paraId="4CB72239">
          <w:pPr>
            <w:pStyle w:val="15"/>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fldChar w:fldCharType="begin"/>
          </w:r>
          <w:r>
            <w:rPr>
              <w:rFonts w:hint="default" w:ascii="Times New Roman" w:hAnsi="Times New Roman" w:eastAsia="仿宋" w:cs="Times New Roman"/>
              <w:b/>
              <w:bCs/>
              <w:sz w:val="28"/>
              <w:szCs w:val="28"/>
            </w:rPr>
            <w:instrText xml:space="preserve"> HYPERLINK \l _Toc19954 </w:instrText>
          </w:r>
          <w:r>
            <w:rPr>
              <w:rFonts w:hint="default" w:ascii="Times New Roman" w:hAnsi="Times New Roman" w:eastAsia="仿宋" w:cs="Times New Roman"/>
              <w:b/>
              <w:bCs/>
              <w:sz w:val="28"/>
              <w:szCs w:val="28"/>
            </w:rPr>
            <w:fldChar w:fldCharType="separate"/>
          </w:r>
          <w:r>
            <w:rPr>
              <w:rFonts w:hint="default" w:ascii="Times New Roman" w:hAnsi="Times New Roman" w:eastAsia="仿宋" w:cs="Times New Roman"/>
              <w:b/>
              <w:bCs/>
              <w:sz w:val="28"/>
              <w:szCs w:val="28"/>
              <w:lang w:val="en-US" w:eastAsia="zh-CN"/>
            </w:rPr>
            <w:t>第七章 综合效益分析</w:t>
          </w:r>
          <w:r>
            <w:rPr>
              <w:rFonts w:hint="default" w:ascii="Times New Roman" w:hAnsi="Times New Roman" w:eastAsia="仿宋" w:cs="Times New Roman"/>
              <w:b/>
              <w:bCs/>
              <w:sz w:val="28"/>
              <w:szCs w:val="28"/>
            </w:rPr>
            <w:tab/>
          </w:r>
          <w:r>
            <w:rPr>
              <w:rFonts w:hint="default" w:ascii="Times New Roman" w:hAnsi="Times New Roman" w:eastAsia="仿宋" w:cs="Times New Roman"/>
              <w:b/>
              <w:bCs/>
              <w:sz w:val="28"/>
              <w:szCs w:val="28"/>
            </w:rPr>
            <w:fldChar w:fldCharType="begin"/>
          </w:r>
          <w:r>
            <w:rPr>
              <w:rFonts w:hint="default" w:ascii="Times New Roman" w:hAnsi="Times New Roman" w:eastAsia="仿宋" w:cs="Times New Roman"/>
              <w:b/>
              <w:bCs/>
              <w:sz w:val="28"/>
              <w:szCs w:val="28"/>
            </w:rPr>
            <w:instrText xml:space="preserve"> PAGEREF _Toc19954 \h </w:instrText>
          </w:r>
          <w:r>
            <w:rPr>
              <w:rFonts w:hint="default" w:ascii="Times New Roman" w:hAnsi="Times New Roman" w:eastAsia="仿宋" w:cs="Times New Roman"/>
              <w:b/>
              <w:bCs/>
              <w:sz w:val="28"/>
              <w:szCs w:val="28"/>
            </w:rPr>
            <w:fldChar w:fldCharType="separate"/>
          </w:r>
          <w:r>
            <w:rPr>
              <w:rFonts w:hint="default" w:ascii="Times New Roman" w:hAnsi="Times New Roman" w:eastAsia="仿宋" w:cs="Times New Roman"/>
              <w:b/>
              <w:bCs/>
              <w:sz w:val="28"/>
              <w:szCs w:val="28"/>
            </w:rPr>
            <w:t>35</w:t>
          </w:r>
          <w:r>
            <w:rPr>
              <w:rFonts w:hint="default" w:ascii="Times New Roman" w:hAnsi="Times New Roman" w:eastAsia="仿宋" w:cs="Times New Roman"/>
              <w:b/>
              <w:bCs/>
              <w:sz w:val="28"/>
              <w:szCs w:val="28"/>
            </w:rPr>
            <w:fldChar w:fldCharType="end"/>
          </w:r>
          <w:r>
            <w:rPr>
              <w:rFonts w:hint="default" w:ascii="Times New Roman" w:hAnsi="Times New Roman" w:eastAsia="仿宋" w:cs="Times New Roman"/>
              <w:b/>
              <w:bCs/>
              <w:sz w:val="28"/>
              <w:szCs w:val="28"/>
            </w:rPr>
            <w:fldChar w:fldCharType="end"/>
          </w:r>
        </w:p>
        <w:p w14:paraId="17559EFE">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_Toc17454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第一节 生态效益分析</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_Toc17454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35</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1A8AD466">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_Toc13858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第二节 经济效益分析</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_Toc13858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35</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73E16547">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_Toc21955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第三节 社会效益分析</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_Toc21955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597DE32D">
          <w:pPr>
            <w:pStyle w:val="15"/>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fldChar w:fldCharType="begin"/>
          </w:r>
          <w:r>
            <w:rPr>
              <w:rFonts w:hint="default" w:ascii="Times New Roman" w:hAnsi="Times New Roman" w:eastAsia="仿宋" w:cs="Times New Roman"/>
              <w:b/>
              <w:bCs/>
              <w:sz w:val="28"/>
              <w:szCs w:val="28"/>
            </w:rPr>
            <w:instrText xml:space="preserve"> HYPERLINK \l _Toc31766 </w:instrText>
          </w:r>
          <w:r>
            <w:rPr>
              <w:rFonts w:hint="default" w:ascii="Times New Roman" w:hAnsi="Times New Roman" w:eastAsia="仿宋" w:cs="Times New Roman"/>
              <w:b/>
              <w:bCs/>
              <w:sz w:val="28"/>
              <w:szCs w:val="28"/>
            </w:rPr>
            <w:fldChar w:fldCharType="separate"/>
          </w:r>
          <w:r>
            <w:rPr>
              <w:rFonts w:hint="default" w:ascii="Times New Roman" w:hAnsi="Times New Roman" w:eastAsia="仿宋" w:cs="Times New Roman"/>
              <w:b/>
              <w:bCs/>
              <w:sz w:val="28"/>
              <w:szCs w:val="28"/>
              <w:lang w:val="en-US" w:eastAsia="zh-CN"/>
            </w:rPr>
            <w:t>第八章 保障措施</w:t>
          </w:r>
          <w:r>
            <w:rPr>
              <w:rFonts w:hint="default" w:ascii="Times New Roman" w:hAnsi="Times New Roman" w:eastAsia="仿宋" w:cs="Times New Roman"/>
              <w:b/>
              <w:bCs/>
              <w:sz w:val="28"/>
              <w:szCs w:val="28"/>
            </w:rPr>
            <w:tab/>
          </w:r>
          <w:r>
            <w:rPr>
              <w:rFonts w:hint="default" w:ascii="Times New Roman" w:hAnsi="Times New Roman" w:eastAsia="仿宋" w:cs="Times New Roman"/>
              <w:b/>
              <w:bCs/>
              <w:sz w:val="28"/>
              <w:szCs w:val="28"/>
            </w:rPr>
            <w:fldChar w:fldCharType="begin"/>
          </w:r>
          <w:r>
            <w:rPr>
              <w:rFonts w:hint="default" w:ascii="Times New Roman" w:hAnsi="Times New Roman" w:eastAsia="仿宋" w:cs="Times New Roman"/>
              <w:b/>
              <w:bCs/>
              <w:sz w:val="28"/>
              <w:szCs w:val="28"/>
            </w:rPr>
            <w:instrText xml:space="preserve"> PAGEREF _Toc31766 \h </w:instrText>
          </w:r>
          <w:r>
            <w:rPr>
              <w:rFonts w:hint="default" w:ascii="Times New Roman" w:hAnsi="Times New Roman" w:eastAsia="仿宋" w:cs="Times New Roman"/>
              <w:b/>
              <w:bCs/>
              <w:sz w:val="28"/>
              <w:szCs w:val="28"/>
            </w:rPr>
            <w:fldChar w:fldCharType="separate"/>
          </w:r>
          <w:r>
            <w:rPr>
              <w:rFonts w:hint="default" w:ascii="Times New Roman" w:hAnsi="Times New Roman" w:eastAsia="仿宋" w:cs="Times New Roman"/>
              <w:b/>
              <w:bCs/>
              <w:sz w:val="28"/>
              <w:szCs w:val="28"/>
            </w:rPr>
            <w:t>37</w:t>
          </w:r>
          <w:r>
            <w:rPr>
              <w:rFonts w:hint="default" w:ascii="Times New Roman" w:hAnsi="Times New Roman" w:eastAsia="仿宋" w:cs="Times New Roman"/>
              <w:b/>
              <w:bCs/>
              <w:sz w:val="28"/>
              <w:szCs w:val="28"/>
            </w:rPr>
            <w:fldChar w:fldCharType="end"/>
          </w:r>
          <w:r>
            <w:rPr>
              <w:rFonts w:hint="default" w:ascii="Times New Roman" w:hAnsi="Times New Roman" w:eastAsia="仿宋" w:cs="Times New Roman"/>
              <w:b/>
              <w:bCs/>
              <w:sz w:val="28"/>
              <w:szCs w:val="28"/>
            </w:rPr>
            <w:fldChar w:fldCharType="end"/>
          </w:r>
        </w:p>
        <w:p w14:paraId="5B3BC240">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_Toc2153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第一节 组织领导</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_Toc2153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22CBE10B">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_Toc30909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第二节 制度保障</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_Toc30909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53408647">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_Toc28231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第三节 技术保障</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_Toc28231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38</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7407696E">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_Toc26318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第四节 资金保障</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_Toc26318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38</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181E0597">
          <w:pPr>
            <w:pStyle w:val="16"/>
            <w:keepNext w:val="0"/>
            <w:keepLines w:val="0"/>
            <w:pageBreakBefore w:val="0"/>
            <w:tabs>
              <w:tab w:val="right" w:leader="dot" w:pos="9412"/>
            </w:tabs>
            <w:kinsoku/>
            <w:wordWrap/>
            <w:overflowPunct/>
            <w:topLinePunct w:val="0"/>
            <w:autoSpaceDE/>
            <w:autoSpaceDN/>
            <w:bidi w:val="0"/>
            <w:adjustRightInd w:val="0"/>
            <w:snapToGrid w:val="0"/>
            <w:spacing w:line="300" w:lineRule="auto"/>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_Toc11191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lang w:val="en-US" w:eastAsia="zh-CN"/>
            </w:rPr>
            <w:t>第五节 公众参与</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_Toc11191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39</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1F2A3052">
          <w:pPr>
            <w:keepNext w:val="0"/>
            <w:keepLines w:val="0"/>
            <w:pageBreakBefore w:val="0"/>
            <w:kinsoku/>
            <w:wordWrap/>
            <w:overflowPunct/>
            <w:topLinePunct w:val="0"/>
            <w:autoSpaceDE/>
            <w:autoSpaceDN/>
            <w:bidi w:val="0"/>
            <w:adjustRightInd w:val="0"/>
            <w:snapToGrid w:val="0"/>
            <w:spacing w:line="300" w:lineRule="auto"/>
            <w:textAlignment w:val="auto"/>
            <w:sectPr>
              <w:pgSz w:w="11906" w:h="16838"/>
              <w:pgMar w:top="1247" w:right="1247" w:bottom="1247" w:left="1247" w:header="851" w:footer="992" w:gutter="0"/>
              <w:cols w:space="425" w:num="1"/>
              <w:docGrid w:type="lines" w:linePitch="312" w:charSpace="0"/>
            </w:sectPr>
          </w:pPr>
          <w:r>
            <w:rPr>
              <w:rFonts w:hint="default" w:ascii="Times New Roman" w:hAnsi="Times New Roman" w:eastAsia="仿宋" w:cs="Times New Roman"/>
              <w:sz w:val="28"/>
              <w:szCs w:val="28"/>
            </w:rPr>
            <w:fldChar w:fldCharType="end"/>
          </w:r>
        </w:p>
      </w:sdtContent>
    </w:sdt>
    <w:p w14:paraId="1F7BE124"/>
    <w:p w14:paraId="6DE06B59">
      <w:pPr>
        <w:pStyle w:val="2"/>
        <w:bidi w:val="0"/>
        <w:rPr>
          <w:rFonts w:hint="eastAsia"/>
          <w:lang w:val="en-US" w:eastAsia="zh-CN"/>
        </w:rPr>
      </w:pPr>
      <w:bookmarkStart w:id="1" w:name="_Toc11492"/>
      <w:r>
        <w:rPr>
          <w:rFonts w:hint="eastAsia"/>
          <w:lang w:val="en-US" w:eastAsia="zh-CN"/>
        </w:rPr>
        <w:t>前  言</w:t>
      </w:r>
      <w:bookmarkEnd w:id="1"/>
    </w:p>
    <w:p w14:paraId="00AEAB16">
      <w:pPr>
        <w:bidi w:val="0"/>
        <w:rPr>
          <w:rFonts w:hint="eastAsia"/>
          <w:lang w:val="en-US" w:eastAsia="zh-CN"/>
        </w:rPr>
      </w:pPr>
      <w:r>
        <w:rPr>
          <w:rFonts w:hint="eastAsia"/>
          <w:lang w:val="en-US" w:eastAsia="zh-CN"/>
        </w:rPr>
        <w:t>党的十八大以来，党中央、国务院高度重视生态保护和修复支撑体系建设，不断提升生态保护领域基础保障能力，在重点生态功能区、生态保护红线、自然资源保护地等各类生态地区实施重点生态工程、开展山水林田湖草沙保护修复，自然生态系统稳中向好，国家生态安全屏障基本建立。党的二十大报告中指出：“尊重自然、顺应自然、保护自然，是全面建设社会主义现代化国家的内在要求。必须牢固树立和践行绿水青山就是金山银山的理念，站在人与自然和谐共生的高度谋划发展。”党的二十届四中全会提出，加快经济社会发展全面绿色转型，建设美丽中国。</w:t>
      </w:r>
    </w:p>
    <w:p w14:paraId="57C4A54E">
      <w:pPr>
        <w:bidi w:val="0"/>
        <w:rPr>
          <w:rFonts w:hint="default"/>
          <w:lang w:val="en-US" w:eastAsia="zh-CN"/>
        </w:rPr>
      </w:pPr>
      <w:r>
        <w:rPr>
          <w:rFonts w:hint="eastAsia"/>
          <w:lang w:val="en-US" w:eastAsia="zh-CN"/>
        </w:rPr>
        <w:t>“十五五”时期是美丽中国建设的重要时期，是一个承上启下的节点，站立在已经形成的高品质生态环境新起点上，在习近平生态文明思想指引下，阿克陶县积极探索统筹生态保护和修复，完善生态功能保护修复分区管控体系，持续推进各项重点生态工程建设。</w:t>
      </w:r>
    </w:p>
    <w:p w14:paraId="5732D221">
      <w:pPr>
        <w:bidi w:val="0"/>
        <w:rPr>
          <w:rFonts w:hint="default"/>
          <w:lang w:val="en-US" w:eastAsia="zh-CN"/>
        </w:rPr>
      </w:pPr>
      <w:r>
        <w:rPr>
          <w:rFonts w:hint="eastAsia"/>
          <w:lang w:val="en-US" w:eastAsia="zh-CN"/>
        </w:rPr>
        <w:t>依据中共中央、国务院《关于全面推进美丽中国建设的意见》、《生态环境规划编制技术导则 总纲（HJ 1359—2024）》等相关要求，阿克陶县自然资源局认真研究规划基本思路和重大工程项目，确定了规划目标，组织编制了《阿克陶县“十五五”生态功能保护修复规划》（以下简称《规划》）。《规划》全面总结梳理生态环境现状与存在问题、充分衔接县国土空间总体规划等相关内容，遵照山水林田湖草生命共同体理念，体现生态功能保护修复的系统性、完整性和原真性，系统谋划全县重要生态系统保护和修复的主要任务、重大工程。</w:t>
      </w:r>
      <w:r>
        <w:rPr>
          <w:rFonts w:hint="default"/>
          <w:lang w:val="en-US" w:eastAsia="zh-CN"/>
        </w:rPr>
        <w:t>规划期限为202</w:t>
      </w:r>
      <w:r>
        <w:rPr>
          <w:rFonts w:hint="eastAsia"/>
          <w:lang w:val="en-US" w:eastAsia="zh-CN"/>
        </w:rPr>
        <w:t>5</w:t>
      </w:r>
      <w:r>
        <w:rPr>
          <w:rFonts w:hint="default"/>
          <w:lang w:val="en-US" w:eastAsia="zh-CN"/>
        </w:rPr>
        <w:t>年—20</w:t>
      </w:r>
      <w:r>
        <w:rPr>
          <w:rFonts w:hint="eastAsia"/>
          <w:lang w:val="en-US" w:eastAsia="zh-CN"/>
        </w:rPr>
        <w:t>30</w:t>
      </w:r>
      <w:r>
        <w:rPr>
          <w:rFonts w:hint="default"/>
          <w:lang w:val="en-US" w:eastAsia="zh-CN"/>
        </w:rPr>
        <w:t>年，基准年为202</w:t>
      </w:r>
      <w:r>
        <w:rPr>
          <w:rFonts w:hint="eastAsia"/>
          <w:lang w:val="en-US" w:eastAsia="zh-CN"/>
        </w:rPr>
        <w:t>5</w:t>
      </w:r>
      <w:r>
        <w:rPr>
          <w:rFonts w:hint="default"/>
          <w:lang w:val="en-US" w:eastAsia="zh-CN"/>
        </w:rPr>
        <w:t>年。</w:t>
      </w:r>
    </w:p>
    <w:p w14:paraId="3B4F909C">
      <w:pPr>
        <w:pStyle w:val="2"/>
        <w:bidi w:val="0"/>
        <w:rPr>
          <w:rFonts w:hint="eastAsia"/>
          <w:lang w:val="en-US" w:eastAsia="zh-CN"/>
        </w:rPr>
      </w:pPr>
      <w:bookmarkStart w:id="2" w:name="_Toc12666"/>
      <w:r>
        <w:rPr>
          <w:rFonts w:hint="eastAsia"/>
          <w:lang w:val="en-US" w:eastAsia="zh-CN"/>
        </w:rPr>
        <w:t>第一章 生态环境现状与存在问题</w:t>
      </w:r>
      <w:bookmarkEnd w:id="2"/>
    </w:p>
    <w:p w14:paraId="413F13FA">
      <w:pPr>
        <w:pStyle w:val="3"/>
        <w:bidi w:val="0"/>
        <w:rPr>
          <w:rFonts w:hint="eastAsia"/>
          <w:lang w:val="en-US" w:eastAsia="zh-CN"/>
        </w:rPr>
      </w:pPr>
      <w:bookmarkStart w:id="3" w:name="_Toc25856"/>
      <w:r>
        <w:rPr>
          <w:rFonts w:hint="eastAsia"/>
          <w:lang w:val="en-US" w:eastAsia="zh-CN"/>
        </w:rPr>
        <w:t>第一节 自然地理</w:t>
      </w:r>
      <w:bookmarkEnd w:id="3"/>
    </w:p>
    <w:p w14:paraId="348150D3">
      <w:pPr>
        <w:pStyle w:val="4"/>
        <w:bidi w:val="0"/>
        <w:rPr>
          <w:rFonts w:hint="default"/>
          <w:lang w:val="en-US" w:eastAsia="zh-CN"/>
        </w:rPr>
      </w:pPr>
      <w:bookmarkStart w:id="4" w:name="_Toc25927"/>
      <w:r>
        <w:rPr>
          <w:rFonts w:hint="eastAsia"/>
          <w:lang w:val="en-US" w:eastAsia="zh-CN"/>
        </w:rPr>
        <w:t>一、行政区位</w:t>
      </w:r>
      <w:bookmarkEnd w:id="4"/>
    </w:p>
    <w:p w14:paraId="61949D3C">
      <w:pPr>
        <w:rPr>
          <w:rFonts w:hint="default"/>
          <w:lang w:val="en-US" w:eastAsia="zh-CN"/>
        </w:rPr>
      </w:pPr>
      <w:r>
        <w:rPr>
          <w:rFonts w:hint="default"/>
          <w:lang w:val="en-US" w:eastAsia="zh-CN"/>
        </w:rPr>
        <w:t>阿克陶县位于我国的西部边陲，新疆维吾尔自治区西南部，帕米尔高原东部，塔里木盆地西部边缘，地处东经73°26′05″-76°43′31″，北纬37°41′28″-39°29′55″。南北长283.2公里，东西宽216.0公里，总面积24115.61平方公里。北部与乌恰县和疏附县为邻，东北部以岳普湖河为界与疏勒县、新疆生产建设兵团农三师四十一团场隔河相望，东部与英吉沙县、莎车县相连，南部与塔什库尔干塔吉克自治县相接，西部、西南部分别与吉尔吉斯共和国和塔吉克斯坦共和国接壤。阿克陶县行政隶属克孜勒苏柯尔克孜自治州管辖，共辖5镇（阿克陶镇、奥依塔克镇、玉麦镇、克孜勒陶镇、恰尔隆镇）、7乡（皮拉勒乡、巴仁乡、加马铁热克乡、喀热开其克乡、布伦口乡、木吉乡、塔尔塔吉克族乡）、2场（托尔塔依农场、阿克达拉牧场）。县城距乌鲁木齐市1535千米，距阿图什市103千米，距喀什市37千米。</w:t>
      </w:r>
    </w:p>
    <w:p w14:paraId="58B51ED5">
      <w:pPr>
        <w:pStyle w:val="4"/>
        <w:bidi w:val="0"/>
        <w:rPr>
          <w:rFonts w:hint="eastAsia"/>
          <w:lang w:val="en-US" w:eastAsia="zh-CN"/>
        </w:rPr>
      </w:pPr>
      <w:bookmarkStart w:id="5" w:name="_Toc14299"/>
      <w:r>
        <w:rPr>
          <w:rFonts w:hint="eastAsia"/>
          <w:lang w:val="en-US" w:eastAsia="zh-CN"/>
        </w:rPr>
        <w:t>二、气候条件</w:t>
      </w:r>
      <w:bookmarkEnd w:id="5"/>
    </w:p>
    <w:p w14:paraId="37B8ADFB">
      <w:pPr>
        <w:bidi w:val="0"/>
        <w:rPr>
          <w:rFonts w:hint="default"/>
          <w:lang w:val="en-US" w:eastAsia="zh-CN"/>
        </w:rPr>
      </w:pPr>
      <w:r>
        <w:rPr>
          <w:rFonts w:hint="default"/>
          <w:lang w:val="en-US" w:eastAsia="zh-CN"/>
        </w:rPr>
        <w:t>境内的平原位于帕米尔高原东部坡下，塔里木盆地的西部边缘，总面积872平方公里。气候特征主要表现为温带大陆性干旱气候，四季分明，干燥少雨。年均气温在10.9℃至11.2℃之间，一月平均气温约为-6.3℃，无霜期在200至240天之间，年均降水量在70至120毫米之间。平原农区干旱少雨，光能丰富，降水量少，蒸发量大，四季较分明。春季升温快；夏季干热，月平均气温23.5～26.6℃；秋季降温快，昼夜温差大，气候凉爽宜人。同时，境内山区地势起伏大，气候复杂多样，差异极大，分布呈立体状。</w:t>
      </w:r>
    </w:p>
    <w:p w14:paraId="6A43A71A">
      <w:pPr>
        <w:pStyle w:val="4"/>
        <w:bidi w:val="0"/>
        <w:rPr>
          <w:rFonts w:hint="default"/>
          <w:lang w:val="en-US" w:eastAsia="zh-CN"/>
        </w:rPr>
      </w:pPr>
      <w:bookmarkStart w:id="6" w:name="_Toc6680"/>
      <w:r>
        <w:rPr>
          <w:rFonts w:hint="eastAsia"/>
          <w:lang w:val="en-US" w:eastAsia="zh-CN"/>
        </w:rPr>
        <w:t>三、地形地貌</w:t>
      </w:r>
      <w:bookmarkEnd w:id="6"/>
    </w:p>
    <w:p w14:paraId="0C193869">
      <w:pPr>
        <w:bidi w:val="0"/>
        <w:rPr>
          <w:rFonts w:hint="default"/>
          <w:lang w:val="en-US" w:eastAsia="zh-CN"/>
        </w:rPr>
      </w:pPr>
      <w:r>
        <w:rPr>
          <w:rFonts w:hint="default"/>
          <w:lang w:val="en-US" w:eastAsia="zh-CN"/>
        </w:rPr>
        <w:t>县域地处帕米尔高原东部，塔里木盆地的西部边缘，内地势西北高，东南低，呈西北东南走向</w:t>
      </w:r>
      <w:r>
        <w:rPr>
          <w:rFonts w:hint="eastAsia"/>
          <w:lang w:val="en-US" w:eastAsia="zh-CN"/>
        </w:rPr>
        <w:t>，</w:t>
      </w:r>
      <w:r>
        <w:rPr>
          <w:rFonts w:hint="default"/>
          <w:lang w:val="en-US" w:eastAsia="zh-CN"/>
        </w:rPr>
        <w:t>地形复杂多样。县境内的山地面积23364平方公里，占总面积的96.4%，海拔高度在4000～5000米之间，其中昆盖山海拔5753.7米，公格尔山最高峰海拔7719米，慕士塔格峰海拔7541米。境内共有大小冰山雪峰66座，其中较大的冰峰有36座，山顶常年戴雪，山峰四周分布有大小不等的冰川。这些高山雪峰形成了阿克陶县的主要地貌特征‌。</w:t>
      </w:r>
    </w:p>
    <w:p w14:paraId="52CC5902">
      <w:pPr>
        <w:pStyle w:val="4"/>
        <w:bidi w:val="0"/>
        <w:rPr>
          <w:rFonts w:hint="default"/>
          <w:lang w:val="en-US" w:eastAsia="zh-CN"/>
        </w:rPr>
      </w:pPr>
      <w:bookmarkStart w:id="7" w:name="_Toc10468"/>
      <w:r>
        <w:rPr>
          <w:rFonts w:hint="eastAsia"/>
          <w:lang w:val="en-US" w:eastAsia="zh-CN"/>
        </w:rPr>
        <w:t>四、土壤</w:t>
      </w:r>
      <w:bookmarkEnd w:id="7"/>
    </w:p>
    <w:p w14:paraId="33FAFA6B">
      <w:pPr>
        <w:bidi w:val="0"/>
        <w:rPr>
          <w:rFonts w:hint="default"/>
          <w:lang w:val="en-US" w:eastAsia="zh-CN"/>
        </w:rPr>
      </w:pPr>
      <w:r>
        <w:rPr>
          <w:rFonts w:hint="default"/>
          <w:lang w:val="en-US" w:eastAsia="zh-CN"/>
        </w:rPr>
        <w:t>境内土壤类型多样，主要包括潮土、水稻土、灌淤土和盐土。</w:t>
      </w:r>
      <w:r>
        <w:rPr>
          <w:rFonts w:hint="eastAsia"/>
          <w:lang w:val="en-US" w:eastAsia="zh-CN"/>
        </w:rPr>
        <w:t>由于</w:t>
      </w:r>
      <w:r>
        <w:rPr>
          <w:rFonts w:hint="default"/>
          <w:lang w:val="en-US" w:eastAsia="zh-CN"/>
        </w:rPr>
        <w:t>受到其复杂的地形和气候影响</w:t>
      </w:r>
      <w:r>
        <w:rPr>
          <w:rFonts w:hint="eastAsia"/>
          <w:lang w:val="en-US" w:eastAsia="zh-CN"/>
        </w:rPr>
        <w:t>，</w:t>
      </w:r>
      <w:r>
        <w:rPr>
          <w:rFonts w:hint="default"/>
          <w:lang w:val="en-US" w:eastAsia="zh-CN"/>
        </w:rPr>
        <w:t>土壤分布呈现出明显的立体垂直特征，从高山寒漠土到水成盐碱土，土壤类型依次为高山寒漠土—高山草甸土—亚高山草原土—灰褐色森林土—山地栗钙土—山地棕钙土—山地棕漠土—水成盐碱土‌。在平原地区，土壤类型包括草甸土、灌淤土、潮土、水稻土等，这些土壤类型主要分布在盖孜河和库山河流域的冲积平原和洪积扇边缘地带。这些土壤类型适宜农业发展，尤其是水稻种植，皮拉勒乡因其丰富的水资源和肥沃的土壤，被誉为“高原稻乡”。</w:t>
      </w:r>
    </w:p>
    <w:p w14:paraId="7ABC1868">
      <w:pPr>
        <w:pStyle w:val="4"/>
        <w:bidi w:val="0"/>
        <w:rPr>
          <w:rFonts w:hint="default"/>
          <w:lang w:val="en-US" w:eastAsia="zh-CN"/>
        </w:rPr>
      </w:pPr>
      <w:bookmarkStart w:id="8" w:name="_Toc20905"/>
      <w:r>
        <w:rPr>
          <w:rFonts w:hint="eastAsia"/>
          <w:lang w:val="en-US" w:eastAsia="zh-CN"/>
        </w:rPr>
        <w:t>五、河流水系</w:t>
      </w:r>
      <w:bookmarkEnd w:id="8"/>
    </w:p>
    <w:p w14:paraId="4C6B2123">
      <w:pPr>
        <w:bidi w:val="0"/>
        <w:rPr>
          <w:rFonts w:hint="default"/>
          <w:lang w:val="en-US" w:eastAsia="zh-CN"/>
        </w:rPr>
      </w:pPr>
      <w:r>
        <w:rPr>
          <w:rFonts w:hint="default"/>
          <w:lang w:val="en-US" w:eastAsia="zh-CN"/>
        </w:rPr>
        <w:t>境内河流属塔里木河流域，多发源于昆仑山脉、帕米尔高原上，由西南山区向东北平原而流。全县共有5大水系，即叶尔羌河水系，包括塔什库尔干河、帕斯热瓦提河、恰尔隆河三条河流；依格孜牙河及其支流青干河水系；库山河水系，其支流有卡拉塔布河、其木干河；盖孜河水系，其支流有奥依塔克河、木吉河、康西瓦尔河；玛尔坎苏河及其支流卡拉尔特河水系。农业灌溉用水主要引用库山河和盖孜河水，两河年径流量分别为</w:t>
      </w:r>
      <w:r>
        <w:rPr>
          <w:rFonts w:hint="eastAsia"/>
          <w:lang w:val="en-US" w:eastAsia="zh-CN"/>
        </w:rPr>
        <w:t>7.10</w:t>
      </w:r>
      <w:r>
        <w:rPr>
          <w:rFonts w:hint="default"/>
          <w:lang w:val="en-US" w:eastAsia="zh-CN"/>
        </w:rPr>
        <w:t>亿立方米和</w:t>
      </w:r>
      <w:r>
        <w:rPr>
          <w:rFonts w:hint="eastAsia"/>
          <w:lang w:val="en-US" w:eastAsia="zh-CN"/>
        </w:rPr>
        <w:t>14.19</w:t>
      </w:r>
      <w:r>
        <w:rPr>
          <w:rFonts w:hint="default"/>
          <w:lang w:val="en-US" w:eastAsia="zh-CN"/>
        </w:rPr>
        <w:t>亿立方米，以碳酸盐水为主，上游一般离子总量100～200克/升，呈弱碱性，水质较好。</w:t>
      </w:r>
    </w:p>
    <w:p w14:paraId="354D51DA">
      <w:pPr>
        <w:pStyle w:val="3"/>
        <w:bidi w:val="0"/>
        <w:rPr>
          <w:rFonts w:hint="default"/>
          <w:lang w:val="en-US" w:eastAsia="zh-CN"/>
        </w:rPr>
      </w:pPr>
      <w:bookmarkStart w:id="9" w:name="_Toc14027"/>
      <w:r>
        <w:rPr>
          <w:rFonts w:hint="eastAsia"/>
          <w:lang w:val="en-US" w:eastAsia="zh-CN"/>
        </w:rPr>
        <w:t>第二节 自然资源状况</w:t>
      </w:r>
      <w:bookmarkEnd w:id="9"/>
    </w:p>
    <w:p w14:paraId="7C0EC86E">
      <w:pPr>
        <w:pStyle w:val="4"/>
        <w:bidi w:val="0"/>
        <w:rPr>
          <w:rFonts w:hint="default"/>
          <w:lang w:val="en-US" w:eastAsia="zh-CN"/>
        </w:rPr>
      </w:pPr>
      <w:bookmarkStart w:id="10" w:name="_Toc3142"/>
      <w:r>
        <w:rPr>
          <w:rFonts w:hint="eastAsia"/>
          <w:lang w:val="en-US" w:eastAsia="zh-CN"/>
        </w:rPr>
        <w:t>一、矿产资源</w:t>
      </w:r>
      <w:bookmarkEnd w:id="10"/>
    </w:p>
    <w:p w14:paraId="0EF9CCC4">
      <w:pPr>
        <w:bidi w:val="0"/>
        <w:rPr>
          <w:rFonts w:hint="default"/>
          <w:lang w:val="en-US" w:eastAsia="zh-CN"/>
        </w:rPr>
      </w:pPr>
      <w:r>
        <w:rPr>
          <w:rFonts w:hint="default"/>
          <w:lang w:val="en-US" w:eastAsia="zh-CN"/>
        </w:rPr>
        <w:t>阿克陶县矿产资源具有分布广、矿种较多、部分矿种储量大、质量较好以及还有少数特色矿产等特点。截止目前已探明或初步探明储量并计入储量库的矿产有：煤、铁、锰、铜、铅、锌、金、银、铟、硫（自然硫）、砷、水晶、滑石、石膏、石灰岩、</w:t>
      </w:r>
      <w:r>
        <w:rPr>
          <w:rFonts w:hint="eastAsia"/>
          <w:lang w:val="en-US" w:eastAsia="zh-CN"/>
        </w:rPr>
        <w:t>石英</w:t>
      </w:r>
      <w:r>
        <w:rPr>
          <w:rFonts w:hint="default"/>
          <w:lang w:val="en-US" w:eastAsia="zh-CN"/>
        </w:rPr>
        <w:t>、粘土、建筑用砂等。目前阿克陶县已经查明优势矿产资源有：铁、锰、铜、铅、锌、金、石灰岩、潜在优势矿产资源有：花岗岩，水晶、石墨、滑石、石膏、自然硫、石棉、安山岩、玄武岩、煤、矿泉水。</w:t>
      </w:r>
    </w:p>
    <w:p w14:paraId="2390409F">
      <w:pPr>
        <w:pStyle w:val="4"/>
        <w:bidi w:val="0"/>
        <w:rPr>
          <w:rFonts w:hint="default"/>
          <w:lang w:val="en-US" w:eastAsia="zh-CN"/>
        </w:rPr>
      </w:pPr>
      <w:bookmarkStart w:id="11" w:name="_Toc21406"/>
      <w:r>
        <w:rPr>
          <w:rFonts w:hint="eastAsia"/>
          <w:lang w:val="en-US" w:eastAsia="zh-CN"/>
        </w:rPr>
        <w:t>二、水资源</w:t>
      </w:r>
      <w:bookmarkEnd w:id="11"/>
    </w:p>
    <w:p w14:paraId="168F06D6">
      <w:pPr>
        <w:bidi w:val="0"/>
        <w:rPr>
          <w:rFonts w:hint="default"/>
          <w:lang w:val="en-US" w:eastAsia="zh-CN"/>
        </w:rPr>
      </w:pPr>
      <w:r>
        <w:rPr>
          <w:rFonts w:hint="eastAsia"/>
          <w:lang w:val="en-US" w:eastAsia="zh-CN"/>
        </w:rPr>
        <w:t>依据《</w:t>
      </w:r>
      <w:r>
        <w:rPr>
          <w:rFonts w:hint="default"/>
          <w:lang w:val="en-US" w:eastAsia="zh-CN"/>
        </w:rPr>
        <w:t>新疆维吾尔自治区克孜勒苏柯尔克孜自治州阿克陶县水资源综合规划</w:t>
      </w:r>
      <w:r>
        <w:rPr>
          <w:rFonts w:hint="eastAsia"/>
          <w:lang w:val="en-US" w:eastAsia="zh-CN"/>
        </w:rPr>
        <w:t>》（2024年）和</w:t>
      </w:r>
      <w:r>
        <w:rPr>
          <w:rFonts w:hint="default"/>
          <w:lang w:val="en-US" w:eastAsia="zh-CN"/>
        </w:rPr>
        <w:t>202</w:t>
      </w:r>
      <w:r>
        <w:rPr>
          <w:rFonts w:hint="eastAsia"/>
          <w:lang w:val="en-US" w:eastAsia="zh-CN"/>
        </w:rPr>
        <w:t>4</w:t>
      </w:r>
      <w:r>
        <w:rPr>
          <w:rFonts w:hint="default"/>
          <w:lang w:val="en-US" w:eastAsia="zh-CN"/>
        </w:rPr>
        <w:t>年度国土变更调查，阿克陶县河流水面1916.65平方公里</w:t>
      </w:r>
      <w:r>
        <w:rPr>
          <w:rFonts w:hint="eastAsia"/>
          <w:lang w:val="en-US" w:eastAsia="zh-CN"/>
        </w:rPr>
        <w:t>，阿克陶县分属五个流域，其中盖孜河流域面积11405.22km</w:t>
      </w:r>
      <w:r>
        <w:rPr>
          <w:rFonts w:hint="eastAsia"/>
          <w:vertAlign w:val="superscript"/>
          <w:lang w:val="en-US" w:eastAsia="zh-CN"/>
        </w:rPr>
        <w:t>2</w:t>
      </w:r>
      <w:r>
        <w:rPr>
          <w:rFonts w:hint="eastAsia"/>
          <w:lang w:val="en-US" w:eastAsia="zh-CN"/>
        </w:rPr>
        <w:t>，库山河流域2955.72km</w:t>
      </w:r>
      <w:r>
        <w:rPr>
          <w:rFonts w:hint="eastAsia"/>
          <w:vertAlign w:val="superscript"/>
          <w:lang w:val="en-US" w:eastAsia="zh-CN"/>
        </w:rPr>
        <w:t>2</w:t>
      </w:r>
      <w:r>
        <w:rPr>
          <w:rFonts w:hint="eastAsia"/>
          <w:lang w:val="en-US" w:eastAsia="zh-CN"/>
        </w:rPr>
        <w:t>，依格孜牙河流域3996.85km</w:t>
      </w:r>
      <w:r>
        <w:rPr>
          <w:rFonts w:hint="eastAsia"/>
          <w:vertAlign w:val="superscript"/>
          <w:lang w:val="en-US" w:eastAsia="zh-CN"/>
        </w:rPr>
        <w:t>2</w:t>
      </w:r>
      <w:r>
        <w:rPr>
          <w:rFonts w:hint="eastAsia"/>
          <w:lang w:val="en-US" w:eastAsia="zh-CN"/>
        </w:rPr>
        <w:t>，叶尔羌河流域3742.54km</w:t>
      </w:r>
      <w:r>
        <w:rPr>
          <w:rFonts w:hint="eastAsia"/>
          <w:vertAlign w:val="superscript"/>
          <w:lang w:val="en-US" w:eastAsia="zh-CN"/>
        </w:rPr>
        <w:t>2</w:t>
      </w:r>
      <w:r>
        <w:rPr>
          <w:rFonts w:hint="eastAsia"/>
          <w:lang w:val="en-US" w:eastAsia="zh-CN"/>
        </w:rPr>
        <w:t>，玛尔坎苏河流域1993.24km</w:t>
      </w:r>
      <w:r>
        <w:rPr>
          <w:rFonts w:hint="eastAsia"/>
          <w:vertAlign w:val="superscript"/>
          <w:lang w:val="en-US" w:eastAsia="zh-CN"/>
        </w:rPr>
        <w:t>2</w:t>
      </w:r>
      <w:r>
        <w:rPr>
          <w:rFonts w:hint="eastAsia"/>
          <w:lang w:val="en-US" w:eastAsia="zh-CN"/>
        </w:rPr>
        <w:t>。全县多年平均水资源总量为28.00亿m</w:t>
      </w:r>
      <w:r>
        <w:rPr>
          <w:rFonts w:hint="eastAsia"/>
          <w:vertAlign w:val="superscript"/>
          <w:lang w:val="en-US" w:eastAsia="zh-CN"/>
        </w:rPr>
        <w:t>3</w:t>
      </w:r>
      <w:r>
        <w:rPr>
          <w:rFonts w:hint="eastAsia"/>
          <w:lang w:val="en-US" w:eastAsia="zh-CN"/>
        </w:rPr>
        <w:t>，其中地表水27.34亿m</w:t>
      </w:r>
      <w:r>
        <w:rPr>
          <w:rFonts w:hint="eastAsia"/>
          <w:vertAlign w:val="superscript"/>
          <w:lang w:val="en-US" w:eastAsia="zh-CN"/>
        </w:rPr>
        <w:t>3</w:t>
      </w:r>
      <w:r>
        <w:rPr>
          <w:rFonts w:hint="eastAsia"/>
          <w:lang w:val="en-US" w:eastAsia="zh-CN"/>
        </w:rPr>
        <w:t>，地下水资源量的不重复计算量0.6628亿m</w:t>
      </w:r>
      <w:r>
        <w:rPr>
          <w:rFonts w:hint="eastAsia"/>
          <w:vertAlign w:val="superscript"/>
          <w:lang w:val="en-US" w:eastAsia="zh-CN"/>
        </w:rPr>
        <w:t>3</w:t>
      </w:r>
      <w:r>
        <w:rPr>
          <w:rFonts w:hint="eastAsia"/>
          <w:lang w:val="en-US" w:eastAsia="zh-CN"/>
        </w:rPr>
        <w:t>，农业灌溉用水主要引用库山河和盖孜河水，两河年径流量分别为6.36亿立方米和9.85亿立方米。阿克陶县水资源量丰富，但时间上与主要用水时段不匹配，季节变异性大，且开发利用难度大、程度低，季节性缺水与工程型缺水问题并存。</w:t>
      </w:r>
    </w:p>
    <w:p w14:paraId="5CC36C79">
      <w:pPr>
        <w:pStyle w:val="4"/>
        <w:bidi w:val="0"/>
        <w:rPr>
          <w:rFonts w:hint="default"/>
          <w:lang w:val="en-US" w:eastAsia="zh-CN"/>
        </w:rPr>
      </w:pPr>
      <w:bookmarkStart w:id="12" w:name="_Toc25328"/>
      <w:r>
        <w:rPr>
          <w:rFonts w:hint="eastAsia"/>
          <w:lang w:val="en-US" w:eastAsia="zh-CN"/>
        </w:rPr>
        <w:t>三、土地资源</w:t>
      </w:r>
      <w:bookmarkEnd w:id="12"/>
    </w:p>
    <w:p w14:paraId="7682D1AE">
      <w:pPr>
        <w:bidi w:val="0"/>
        <w:rPr>
          <w:rFonts w:hint="default"/>
          <w:lang w:val="en-US" w:eastAsia="zh-CN"/>
        </w:rPr>
      </w:pPr>
      <w:r>
        <w:rPr>
          <w:rFonts w:hint="default"/>
          <w:lang w:val="en-US" w:eastAsia="zh-CN"/>
        </w:rPr>
        <w:t>依据202</w:t>
      </w:r>
      <w:r>
        <w:rPr>
          <w:rFonts w:hint="eastAsia"/>
          <w:lang w:val="en-US" w:eastAsia="zh-CN"/>
        </w:rPr>
        <w:t>4</w:t>
      </w:r>
      <w:r>
        <w:rPr>
          <w:rFonts w:hint="default"/>
          <w:lang w:val="en-US" w:eastAsia="zh-CN"/>
        </w:rPr>
        <w:t>年度国土变更调查，阿克陶县耕地面积3</w:t>
      </w:r>
      <w:r>
        <w:rPr>
          <w:rFonts w:hint="eastAsia"/>
          <w:lang w:val="en-US" w:eastAsia="zh-CN"/>
        </w:rPr>
        <w:t>98.72</w:t>
      </w:r>
      <w:r>
        <w:rPr>
          <w:rFonts w:hint="default"/>
          <w:lang w:val="en-US" w:eastAsia="zh-CN"/>
        </w:rPr>
        <w:t>平方公里，园地面积为</w:t>
      </w:r>
      <w:r>
        <w:rPr>
          <w:rFonts w:hint="eastAsia"/>
          <w:lang w:val="en-US" w:eastAsia="zh-CN"/>
        </w:rPr>
        <w:t>17.86</w:t>
      </w:r>
      <w:r>
        <w:rPr>
          <w:rFonts w:hint="default"/>
          <w:lang w:val="en-US" w:eastAsia="zh-CN"/>
        </w:rPr>
        <w:t>平方公里，林地面积为</w:t>
      </w:r>
      <w:r>
        <w:rPr>
          <w:rFonts w:hint="eastAsia"/>
          <w:lang w:val="en-US" w:eastAsia="zh-CN"/>
        </w:rPr>
        <w:t>606.29</w:t>
      </w:r>
      <w:r>
        <w:rPr>
          <w:rFonts w:hint="default"/>
          <w:lang w:val="en-US" w:eastAsia="zh-CN"/>
        </w:rPr>
        <w:t>平方公里，草地面积为14765.48平方公里，建设用地总面积为154.02平方公里，湿地170.85平方公里，水域1916.65平方公里，其他土地7029.5平方公里。根据《克州资源环境承载能力和国土空间开发适宜性评价》成果，阿克陶县土地资源约束下的种植业生产规模为2601.00平方公里，天然草地载畜量总计为34.17万羊单位，城镇建设用地承载规模为2596.30平方公里。</w:t>
      </w:r>
    </w:p>
    <w:p w14:paraId="3D6A6B74">
      <w:pPr>
        <w:pStyle w:val="4"/>
        <w:bidi w:val="0"/>
        <w:rPr>
          <w:rFonts w:hint="default"/>
          <w:lang w:val="en-US" w:eastAsia="zh-CN"/>
        </w:rPr>
      </w:pPr>
      <w:bookmarkStart w:id="13" w:name="_Toc3803"/>
      <w:r>
        <w:rPr>
          <w:rFonts w:hint="eastAsia"/>
          <w:lang w:val="en-US" w:eastAsia="zh-CN"/>
        </w:rPr>
        <w:t>四、林业资源</w:t>
      </w:r>
      <w:bookmarkEnd w:id="13"/>
    </w:p>
    <w:p w14:paraId="26594263">
      <w:pPr>
        <w:bidi w:val="0"/>
        <w:rPr>
          <w:rFonts w:hint="default"/>
          <w:lang w:val="en-US" w:eastAsia="zh-CN"/>
        </w:rPr>
      </w:pPr>
      <w:r>
        <w:rPr>
          <w:rFonts w:hint="default"/>
          <w:lang w:val="en-US" w:eastAsia="zh-CN"/>
        </w:rPr>
        <w:t>阿克陶县植被垂直分布明显，自然植被稀疏。海拔5500米以上为高寒冰雪带，海拔4500米以上为高山寒漠带，个别地方可分布到海拔3700米左右。海拔3000～4500米之间为高山草甸带和高山草原带，但高山草甸带分布不够完整，仅西部有小面积分布，东部渐少甚至完全缺失。在木吉谷地以北、苏巴什谷地以东等地，山地荒漠带一直分布到海拔3500～4000米，并直接与高山寒漠带相接。半荒漠化植被分布广泛，分布高度可从海拔2000米直至海拔3500米左右。在海拔2500～3100米之间的阴坡，分布有小面积天然森林，主要为云杉、卷柏、山柳等。</w:t>
      </w:r>
    </w:p>
    <w:p w14:paraId="33835D16">
      <w:pPr>
        <w:pStyle w:val="4"/>
        <w:bidi w:val="0"/>
        <w:rPr>
          <w:rFonts w:hint="default"/>
          <w:lang w:val="en-US" w:eastAsia="zh-CN"/>
        </w:rPr>
      </w:pPr>
      <w:bookmarkStart w:id="14" w:name="_Toc8098"/>
      <w:r>
        <w:rPr>
          <w:rFonts w:hint="eastAsia"/>
          <w:lang w:val="en-US" w:eastAsia="zh-CN"/>
        </w:rPr>
        <w:t>五、生物资源</w:t>
      </w:r>
      <w:bookmarkEnd w:id="14"/>
    </w:p>
    <w:p w14:paraId="44D59C5D">
      <w:pPr>
        <w:bidi w:val="0"/>
        <w:rPr>
          <w:rFonts w:hint="default"/>
          <w:lang w:val="en-US" w:eastAsia="zh-CN"/>
        </w:rPr>
      </w:pPr>
      <w:r>
        <w:rPr>
          <w:rFonts w:hint="default"/>
          <w:lang w:val="en-US" w:eastAsia="zh-CN"/>
        </w:rPr>
        <w:t>阿克陶县生物资源丰富。主要野生动物有熊、雪豹、扫雪、盘羊、狼、狐狸、黄羊、旱獭、野兔、田鼠等；鸟类有天鹅、鹰、鹞、雕、鸮鸱、大鸨、鹫、雪鸡、石鸡、麻雀、乌鸦、啄木鸟、布谷鸟、喜鹊、黄莺、鸽子等；主要药用植物有紫草、麻黄、掌参、党参、土大黄、大黄、老头草、独活、大蓟、锁阳、列当、木贼、板兰、红花、蒲公英、车前草、甘草、野薄荷、老鼠瓜、马先蒿、侧柏叶、西河柳、苍耳、马齿苋、荆三棱、小茴香、曼陀罗、菟丝子、骆驼蓬、阿魏等；主要林木有雪岭云杉、松树、柏树、白杨、钻天杨、新疆杨、柳、槐、榆、泡桐等；主要瓜果有西瓜、甜瓜、杏、梨、苹果、桃、桑椹、沙枣、石榴、核桃、葡萄、酸梅、樱桃、无花果、巴旦木等。</w:t>
      </w:r>
    </w:p>
    <w:p w14:paraId="591C4A0E">
      <w:pPr>
        <w:pStyle w:val="4"/>
        <w:bidi w:val="0"/>
        <w:rPr>
          <w:rFonts w:hint="default"/>
          <w:lang w:val="en-US" w:eastAsia="zh-CN"/>
        </w:rPr>
      </w:pPr>
      <w:bookmarkStart w:id="15" w:name="_Toc2342"/>
      <w:r>
        <w:rPr>
          <w:rFonts w:hint="eastAsia"/>
          <w:lang w:val="en-US" w:eastAsia="zh-CN"/>
        </w:rPr>
        <w:t>六、自然资源保护地</w:t>
      </w:r>
      <w:bookmarkEnd w:id="15"/>
      <w:r>
        <w:rPr>
          <w:rFonts w:hint="eastAsia"/>
          <w:lang w:val="en-US" w:eastAsia="zh-CN"/>
        </w:rPr>
        <w:t>资源</w:t>
      </w:r>
    </w:p>
    <w:p w14:paraId="096B9CF7">
      <w:pPr>
        <w:bidi w:val="0"/>
        <w:rPr>
          <w:rFonts w:hint="default"/>
          <w:lang w:val="en-US" w:eastAsia="zh-CN"/>
        </w:rPr>
      </w:pPr>
      <w:r>
        <w:rPr>
          <w:rFonts w:hint="default"/>
          <w:lang w:val="en-US" w:eastAsia="zh-CN"/>
        </w:rPr>
        <w:t>全县自然保护地3个，总面积2230.25平方公里，占国土面积的8.90%,包括自然保护区1个，风景名胜区2个。</w:t>
      </w:r>
      <w:r>
        <w:rPr>
          <w:rFonts w:hint="eastAsia"/>
          <w:lang w:val="en-US" w:eastAsia="zh-CN"/>
        </w:rPr>
        <w:t>分别为新疆帕米尔高原湿地地方级自然保护区为自治区级自然保护区（面积1255.91平方公里）、奥依塔克地方级风景名胜区（面积210.15平方公里）、喀拉库勒-慕士塔格地方级风景名胜区（面积764.19平方公里）。</w:t>
      </w:r>
    </w:p>
    <w:p w14:paraId="2E2B4CC9">
      <w:pPr>
        <w:pStyle w:val="4"/>
        <w:bidi w:val="0"/>
        <w:rPr>
          <w:rFonts w:hint="default"/>
          <w:lang w:val="en-US" w:eastAsia="zh-CN"/>
        </w:rPr>
      </w:pPr>
      <w:bookmarkStart w:id="16" w:name="_Toc11454"/>
      <w:r>
        <w:rPr>
          <w:rFonts w:hint="eastAsia"/>
          <w:lang w:val="en-US" w:eastAsia="zh-CN"/>
        </w:rPr>
        <w:t>七、文化旅游资源</w:t>
      </w:r>
      <w:bookmarkEnd w:id="16"/>
    </w:p>
    <w:p w14:paraId="61500890">
      <w:pPr>
        <w:bidi w:val="0"/>
        <w:rPr>
          <w:rFonts w:hint="default"/>
          <w:lang w:val="en-US" w:eastAsia="zh-CN"/>
        </w:rPr>
      </w:pPr>
      <w:r>
        <w:rPr>
          <w:rFonts w:hint="default"/>
          <w:lang w:val="en-US" w:eastAsia="zh-CN"/>
        </w:rPr>
        <w:t>阿克陶县旅游资源丰富，拥有冰川公园、白沙山、布伦库勒湖、喀拉库勒湖、帕米尔百里湿地、木吉火山岩地貌、帕尼尔大峡谷、苏巴什大草原等众多具有帕米尔高原特色的自然风光。县境西南部为高寒山区，东北部为平原绿洲。阿克陶城区位于县境东北部、雪山之下的喀什噶尔绿洲平原，西南部高，东北部低，生态景观独具特色。玉麦镇、恰尔隆镇、巴仁乡、皮拉勒乡、加马铁热克乡、托尔塔依农场、喀热开其克乡等城镇环绕县城布局。</w:t>
      </w:r>
    </w:p>
    <w:p w14:paraId="3448E7C3">
      <w:pPr>
        <w:pStyle w:val="3"/>
        <w:bidi w:val="0"/>
        <w:rPr>
          <w:rFonts w:hint="default"/>
          <w:lang w:val="en-US" w:eastAsia="zh-CN"/>
        </w:rPr>
      </w:pPr>
      <w:bookmarkStart w:id="17" w:name="_Toc18042"/>
      <w:r>
        <w:rPr>
          <w:rFonts w:hint="eastAsia"/>
          <w:lang w:val="en-US" w:eastAsia="zh-CN"/>
        </w:rPr>
        <w:t>第三节 生态环境现状</w:t>
      </w:r>
      <w:bookmarkEnd w:id="17"/>
    </w:p>
    <w:p w14:paraId="15EBFF25">
      <w:pPr>
        <w:pStyle w:val="4"/>
        <w:bidi w:val="0"/>
        <w:rPr>
          <w:rFonts w:hint="default"/>
          <w:lang w:val="en-US" w:eastAsia="zh-CN"/>
        </w:rPr>
      </w:pPr>
      <w:bookmarkStart w:id="18" w:name="_Toc15597"/>
      <w:r>
        <w:rPr>
          <w:rFonts w:hint="eastAsia"/>
          <w:lang w:val="en-US" w:eastAsia="zh-CN"/>
        </w:rPr>
        <w:t>一、矿山地质环境现状</w:t>
      </w:r>
      <w:bookmarkEnd w:id="18"/>
    </w:p>
    <w:p w14:paraId="5591892F">
      <w:pPr>
        <w:rPr>
          <w:rFonts w:hint="eastAsia"/>
          <w:lang w:val="en-US" w:eastAsia="zh-CN"/>
        </w:rPr>
      </w:pPr>
      <w:r>
        <w:rPr>
          <w:rFonts w:hint="eastAsia"/>
          <w:lang w:val="en-US" w:eastAsia="zh-CN"/>
        </w:rPr>
        <w:t>阿克陶县的地质灾害主要包括泥石流、崩塌和滑坡。根据风险调查评价，全县共分布各类地质灾害隐患点510处，其中泥石流302处、崩塌200处、滑坡8处。地质灾害集中分布于314国道中巴公路进山口处—布伦口乡政府-苏巴什达坂公路沿线和地处西北部、中部、东南部山区的各乡（镇、场）辖区内以及克孜勒陶镇-阿克塔拉牧场-恰尔隆镇-老塔尔乡公路沿线等三处主要地段。地质灾害主要受控于雨季和融雪季节，每年汛期（5～8月）因融雪或强降雨引发的地质灾害占地质灾害总数的90%以上。‌</w:t>
      </w:r>
    </w:p>
    <w:p w14:paraId="32432741">
      <w:pPr>
        <w:rPr>
          <w:rFonts w:hint="eastAsia"/>
          <w:lang w:val="en-US" w:eastAsia="zh-CN"/>
        </w:rPr>
      </w:pPr>
      <w:r>
        <w:rPr>
          <w:rFonts w:hint="eastAsia"/>
          <w:lang w:val="en-US" w:eastAsia="zh-CN"/>
        </w:rPr>
        <w:t>314国道盖孜—布伦口沿线是新丝绸之路经济带重要节点，该带位于我国境内西段（南线），同时也是中-巴经济走廊关键区段，是国家向西开放的重要窗口，目前道路两侧零星分布有简易盘山道路、探矿工程，部分地段有国道改扩建、水利和电力项目施工、农村生产建设及采矿等历史遗留废弃工矿地（实地核查历史遗留废弃工矿土地已恢复治理844.27公顷），已严重影响到了自然景观环境。</w:t>
      </w:r>
    </w:p>
    <w:p w14:paraId="7EA9E6C0">
      <w:pPr>
        <w:pStyle w:val="4"/>
        <w:bidi w:val="0"/>
        <w:rPr>
          <w:rFonts w:hint="default"/>
          <w:lang w:val="en-US" w:eastAsia="zh-CN"/>
        </w:rPr>
      </w:pPr>
      <w:bookmarkStart w:id="19" w:name="_Toc23309"/>
      <w:r>
        <w:rPr>
          <w:rFonts w:hint="eastAsia"/>
          <w:lang w:val="en-US" w:eastAsia="zh-CN"/>
        </w:rPr>
        <w:t>二、水土流失现状</w:t>
      </w:r>
      <w:bookmarkEnd w:id="19"/>
    </w:p>
    <w:p w14:paraId="067A5D1B">
      <w:pPr>
        <w:bidi w:val="0"/>
        <w:rPr>
          <w:rFonts w:hint="eastAsia"/>
          <w:lang w:val="en-US" w:eastAsia="zh-CN"/>
        </w:rPr>
      </w:pPr>
      <w:r>
        <w:rPr>
          <w:rFonts w:hint="default"/>
          <w:lang w:val="en-US" w:eastAsia="zh-CN"/>
        </w:rPr>
        <w:t>阿克陶县的土地沙化、土壤盐渍化问题仍然突出、水土流失较为严重。由于阿克陶县内陆封闭，地表水和地下水携带的盐分不断向盆地积聚，降水稀少，使聚积在土壤中的盐分不能被淋洗，在洪水和暴雨影响下，不断向山麓聚积，盐分含量高，盐分组成复杂多样。水土流失现状主要表现为地质灾害隐患点多，</w:t>
      </w:r>
      <w:r>
        <w:rPr>
          <w:rFonts w:hint="eastAsia"/>
          <w:lang w:val="en-US" w:eastAsia="zh-CN"/>
        </w:rPr>
        <w:t>与矿山地质环境密切关联。</w:t>
      </w:r>
      <w:r>
        <w:rPr>
          <w:rFonts w:hint="default"/>
          <w:lang w:val="en-US" w:eastAsia="zh-CN"/>
        </w:rPr>
        <w:t>主要集中在山区，且存在严重的土壤侵蚀问题。尽管阿克陶县的水土流失现状较为严重，但通过一系列的治理措施，已经取得了一定的成效。例如，通过治理和避让，消除了部分地质灾害隐患点</w:t>
      </w:r>
      <w:r>
        <w:rPr>
          <w:rFonts w:hint="eastAsia"/>
          <w:lang w:val="en-US" w:eastAsia="zh-CN"/>
        </w:rPr>
        <w:t>；新增水土流失治理面积8.23平方公里，水土保持率达到77.1%。</w:t>
      </w:r>
    </w:p>
    <w:p w14:paraId="33E9A627">
      <w:pPr>
        <w:pStyle w:val="4"/>
        <w:bidi w:val="0"/>
        <w:rPr>
          <w:rFonts w:hint="default"/>
          <w:lang w:val="en-US" w:eastAsia="zh-CN"/>
        </w:rPr>
      </w:pPr>
      <w:bookmarkStart w:id="20" w:name="_Toc22263"/>
      <w:r>
        <w:rPr>
          <w:rFonts w:hint="eastAsia"/>
          <w:lang w:val="en-US" w:eastAsia="zh-CN"/>
        </w:rPr>
        <w:t>三、水生态系统现状</w:t>
      </w:r>
      <w:bookmarkEnd w:id="20"/>
    </w:p>
    <w:p w14:paraId="68B02DD9">
      <w:pPr>
        <w:bidi w:val="0"/>
        <w:rPr>
          <w:rFonts w:hint="default"/>
          <w:lang w:val="en-US" w:eastAsia="zh-CN"/>
        </w:rPr>
      </w:pPr>
      <w:r>
        <w:rPr>
          <w:rFonts w:hint="default"/>
          <w:lang w:val="en-US" w:eastAsia="zh-CN"/>
        </w:rPr>
        <w:t>阿克陶县</w:t>
      </w:r>
      <w:r>
        <w:rPr>
          <w:rFonts w:hint="eastAsia"/>
          <w:lang w:val="en-US" w:eastAsia="zh-CN"/>
        </w:rPr>
        <w:t>全县多年平均水资源总量为28.00亿m</w:t>
      </w:r>
      <w:r>
        <w:rPr>
          <w:rFonts w:hint="eastAsia"/>
          <w:vertAlign w:val="superscript"/>
          <w:lang w:val="en-US" w:eastAsia="zh-CN"/>
        </w:rPr>
        <w:t>3</w:t>
      </w:r>
      <w:r>
        <w:rPr>
          <w:rFonts w:hint="eastAsia"/>
          <w:lang w:val="en-US" w:eastAsia="zh-CN"/>
        </w:rPr>
        <w:t>，其中地表水27.34亿m</w:t>
      </w:r>
      <w:r>
        <w:rPr>
          <w:rFonts w:hint="eastAsia"/>
          <w:vertAlign w:val="superscript"/>
          <w:lang w:val="en-US" w:eastAsia="zh-CN"/>
        </w:rPr>
        <w:t>3</w:t>
      </w:r>
      <w:r>
        <w:rPr>
          <w:rFonts w:hint="eastAsia"/>
          <w:lang w:val="en-US" w:eastAsia="zh-CN"/>
        </w:rPr>
        <w:t>，地下水资源量的不重复计算量0.6628亿m</w:t>
      </w:r>
      <w:r>
        <w:rPr>
          <w:rFonts w:hint="eastAsia"/>
          <w:vertAlign w:val="superscript"/>
          <w:lang w:val="en-US" w:eastAsia="zh-CN"/>
        </w:rPr>
        <w:t>3</w:t>
      </w:r>
      <w:r>
        <w:rPr>
          <w:rFonts w:hint="default"/>
          <w:lang w:val="en-US" w:eastAsia="zh-CN"/>
        </w:rPr>
        <w:t>‌。县</w:t>
      </w:r>
      <w:r>
        <w:rPr>
          <w:rFonts w:hint="eastAsia"/>
          <w:lang w:val="en-US" w:eastAsia="zh-CN"/>
        </w:rPr>
        <w:t>境内拥有</w:t>
      </w:r>
      <w:r>
        <w:rPr>
          <w:rFonts w:hint="default"/>
          <w:lang w:val="en-US" w:eastAsia="zh-CN"/>
        </w:rPr>
        <w:t>丰富的冰川和积雪资源，冰川面积达600平方公里，山区积雪面积为790平方公里，这些“固体水库”消融成为众多河流的源头，地表水极为丰富。境内有5大水系，包括叶尔羌河水系、依格孜牙河水系、库山河水系、盖孜河水系和玛尔坎苏河水系，这些水系多发源于昆仑山脉和帕米尔高原，向东北平原流去。包括塔什库尔干河、帕斯热瓦提河、恰尔隆河三条河流</w:t>
      </w:r>
      <w:r>
        <w:rPr>
          <w:rFonts w:hint="eastAsia"/>
          <w:lang w:val="en-US" w:eastAsia="zh-CN"/>
        </w:rPr>
        <w:t>、</w:t>
      </w:r>
      <w:r>
        <w:rPr>
          <w:rFonts w:hint="default"/>
          <w:lang w:val="en-US" w:eastAsia="zh-CN"/>
        </w:rPr>
        <w:t>青干河水系</w:t>
      </w:r>
      <w:r>
        <w:rPr>
          <w:rFonts w:hint="eastAsia"/>
          <w:lang w:val="en-US" w:eastAsia="zh-CN"/>
        </w:rPr>
        <w:t>、</w:t>
      </w:r>
      <w:r>
        <w:rPr>
          <w:rFonts w:hint="default"/>
          <w:lang w:val="en-US" w:eastAsia="zh-CN"/>
        </w:rPr>
        <w:t>卡拉塔布河、其木干河</w:t>
      </w:r>
      <w:r>
        <w:rPr>
          <w:rFonts w:hint="eastAsia"/>
          <w:lang w:val="en-US" w:eastAsia="zh-CN"/>
        </w:rPr>
        <w:t>、</w:t>
      </w:r>
      <w:r>
        <w:rPr>
          <w:rFonts w:hint="default"/>
          <w:lang w:val="en-US" w:eastAsia="zh-CN"/>
        </w:rPr>
        <w:t>奥依塔克河、木吉河、康西瓦尔河</w:t>
      </w:r>
      <w:r>
        <w:rPr>
          <w:rFonts w:hint="eastAsia"/>
          <w:lang w:val="en-US" w:eastAsia="zh-CN"/>
        </w:rPr>
        <w:t>、</w:t>
      </w:r>
      <w:r>
        <w:rPr>
          <w:rFonts w:hint="default"/>
          <w:lang w:val="en-US" w:eastAsia="zh-CN"/>
        </w:rPr>
        <w:t>卡拉尔特河水系</w:t>
      </w:r>
      <w:r>
        <w:rPr>
          <w:rFonts w:hint="eastAsia"/>
          <w:lang w:val="en-US" w:eastAsia="zh-CN"/>
        </w:rPr>
        <w:t>等支流</w:t>
      </w:r>
      <w:r>
        <w:rPr>
          <w:rFonts w:hint="default"/>
          <w:lang w:val="en-US" w:eastAsia="zh-CN"/>
        </w:rPr>
        <w:t>。其中盖孜河和库山河发源于帕米尔公格山、幕士塔格山，水源主要为冰雪消融补给，在中山、浅山地带</w:t>
      </w:r>
      <w:r>
        <w:rPr>
          <w:rFonts w:hint="eastAsia"/>
          <w:lang w:val="en-US" w:eastAsia="zh-CN"/>
        </w:rPr>
        <w:t>。</w:t>
      </w:r>
    </w:p>
    <w:p w14:paraId="068B488B">
      <w:pPr>
        <w:pStyle w:val="4"/>
        <w:bidi w:val="0"/>
        <w:rPr>
          <w:rFonts w:hint="default"/>
          <w:lang w:val="en-US" w:eastAsia="zh-CN"/>
        </w:rPr>
      </w:pPr>
      <w:bookmarkStart w:id="21" w:name="_Toc4166"/>
      <w:r>
        <w:rPr>
          <w:rFonts w:hint="eastAsia"/>
          <w:lang w:val="en-US" w:eastAsia="zh-CN"/>
        </w:rPr>
        <w:t>四、农田生态系统现状</w:t>
      </w:r>
      <w:bookmarkEnd w:id="21"/>
    </w:p>
    <w:p w14:paraId="2EC60376">
      <w:pPr>
        <w:bidi w:val="0"/>
        <w:rPr>
          <w:rFonts w:hint="default"/>
          <w:lang w:val="en-US" w:eastAsia="zh-CN"/>
        </w:rPr>
      </w:pPr>
      <w:r>
        <w:rPr>
          <w:rFonts w:hint="eastAsia"/>
          <w:lang w:val="en-US" w:eastAsia="zh-CN"/>
        </w:rPr>
        <w:t>阿克陶县</w:t>
      </w:r>
      <w:r>
        <w:rPr>
          <w:rFonts w:hint="default"/>
          <w:lang w:val="en-US" w:eastAsia="zh-CN"/>
        </w:rPr>
        <w:t>耕地主要用于种植小麦、玉米、水稻等农作物。阿克陶县紧紧围绕克州“四个百万”工程重点任务，坚持“藏粮于地、藏粮于技”的粮食生产思路，加强科技创新引领，加快结构调整，确保粮食产能提升。</w:t>
      </w:r>
    </w:p>
    <w:p w14:paraId="249235D1">
      <w:pPr>
        <w:bidi w:val="0"/>
        <w:rPr>
          <w:rFonts w:hint="default"/>
          <w:lang w:val="en-US" w:eastAsia="zh-CN"/>
        </w:rPr>
      </w:pPr>
      <w:r>
        <w:rPr>
          <w:rFonts w:hint="default"/>
          <w:lang w:val="en-US" w:eastAsia="zh-CN"/>
        </w:rPr>
        <w:t>根据202</w:t>
      </w:r>
      <w:r>
        <w:rPr>
          <w:rFonts w:hint="eastAsia"/>
          <w:lang w:val="en-US" w:eastAsia="zh-CN"/>
        </w:rPr>
        <w:t>4</w:t>
      </w:r>
      <w:r>
        <w:rPr>
          <w:rFonts w:hint="default"/>
          <w:lang w:val="en-US" w:eastAsia="zh-CN"/>
        </w:rPr>
        <w:t>年国土变更调查，阿克陶县耕地面积3</w:t>
      </w:r>
      <w:r>
        <w:rPr>
          <w:rFonts w:hint="eastAsia"/>
          <w:lang w:val="en-US" w:eastAsia="zh-CN"/>
        </w:rPr>
        <w:t>98.72</w:t>
      </w:r>
      <w:r>
        <w:rPr>
          <w:rFonts w:hint="default"/>
          <w:lang w:val="en-US" w:eastAsia="zh-CN"/>
        </w:rPr>
        <w:t>平方公里，占全域土地总面积的1.</w:t>
      </w:r>
      <w:r>
        <w:rPr>
          <w:rFonts w:hint="eastAsia"/>
          <w:lang w:val="en-US" w:eastAsia="zh-CN"/>
        </w:rPr>
        <w:t>65</w:t>
      </w:r>
      <w:r>
        <w:rPr>
          <w:rFonts w:hint="default"/>
          <w:lang w:val="en-US" w:eastAsia="zh-CN"/>
        </w:rPr>
        <w:t>%</w:t>
      </w:r>
      <w:r>
        <w:rPr>
          <w:rFonts w:hint="eastAsia"/>
          <w:lang w:val="en-US" w:eastAsia="zh-CN"/>
        </w:rPr>
        <w:t>，</w:t>
      </w:r>
      <w:r>
        <w:rPr>
          <w:rFonts w:hint="default"/>
          <w:lang w:val="en-US" w:eastAsia="zh-CN"/>
        </w:rPr>
        <w:t>其中水田</w:t>
      </w:r>
      <w:r>
        <w:rPr>
          <w:rFonts w:hint="eastAsia"/>
          <w:lang w:val="en-US" w:eastAsia="zh-CN"/>
        </w:rPr>
        <w:t>14</w:t>
      </w:r>
      <w:r>
        <w:rPr>
          <w:rFonts w:hint="default"/>
          <w:lang w:val="en-US" w:eastAsia="zh-CN"/>
        </w:rPr>
        <w:t>.8</w:t>
      </w:r>
      <w:r>
        <w:rPr>
          <w:rFonts w:hint="eastAsia"/>
          <w:lang w:val="en-US" w:eastAsia="zh-CN"/>
        </w:rPr>
        <w:t>3</w:t>
      </w:r>
      <w:r>
        <w:rPr>
          <w:rFonts w:hint="default"/>
          <w:lang w:val="en-US" w:eastAsia="zh-CN"/>
        </w:rPr>
        <w:t>平方公里，占耕地总面积的</w:t>
      </w:r>
      <w:r>
        <w:rPr>
          <w:rFonts w:hint="eastAsia"/>
          <w:lang w:val="en-US" w:eastAsia="zh-CN"/>
        </w:rPr>
        <w:t>3</w:t>
      </w:r>
      <w:r>
        <w:rPr>
          <w:rFonts w:hint="default"/>
          <w:lang w:val="en-US" w:eastAsia="zh-CN"/>
        </w:rPr>
        <w:t>.</w:t>
      </w:r>
      <w:r>
        <w:rPr>
          <w:rFonts w:hint="eastAsia"/>
          <w:lang w:val="en-US" w:eastAsia="zh-CN"/>
        </w:rPr>
        <w:t>72</w:t>
      </w:r>
      <w:r>
        <w:rPr>
          <w:rFonts w:hint="default"/>
          <w:lang w:val="en-US" w:eastAsia="zh-CN"/>
        </w:rPr>
        <w:t>%，水浇地面积383.86平方公里，占耕地总面积的9</w:t>
      </w:r>
      <w:r>
        <w:rPr>
          <w:rFonts w:hint="eastAsia"/>
          <w:lang w:val="en-US" w:eastAsia="zh-CN"/>
        </w:rPr>
        <w:t>6</w:t>
      </w:r>
      <w:r>
        <w:rPr>
          <w:rFonts w:hint="default"/>
          <w:lang w:val="en-US" w:eastAsia="zh-CN"/>
        </w:rPr>
        <w:t>.</w:t>
      </w:r>
      <w:r>
        <w:rPr>
          <w:rFonts w:hint="eastAsia"/>
          <w:lang w:val="en-US" w:eastAsia="zh-CN"/>
        </w:rPr>
        <w:t>27</w:t>
      </w:r>
      <w:r>
        <w:rPr>
          <w:rFonts w:hint="default"/>
          <w:lang w:val="en-US" w:eastAsia="zh-CN"/>
        </w:rPr>
        <w:t>%；旱地面积0.03平方公里，占耕地总面积的0.01%。</w:t>
      </w:r>
    </w:p>
    <w:p w14:paraId="7CC3E52B">
      <w:pPr>
        <w:pStyle w:val="4"/>
        <w:bidi w:val="0"/>
        <w:rPr>
          <w:rFonts w:hint="default"/>
          <w:lang w:val="en-US" w:eastAsia="zh-CN"/>
        </w:rPr>
      </w:pPr>
      <w:bookmarkStart w:id="22" w:name="_Toc3423"/>
      <w:r>
        <w:rPr>
          <w:rFonts w:hint="eastAsia"/>
          <w:lang w:val="en-US" w:eastAsia="zh-CN"/>
        </w:rPr>
        <w:t>五、森林生态系统现状</w:t>
      </w:r>
      <w:bookmarkEnd w:id="22"/>
    </w:p>
    <w:p w14:paraId="14C79DA1">
      <w:pPr>
        <w:bidi w:val="0"/>
        <w:rPr>
          <w:rFonts w:hint="default"/>
          <w:lang w:val="en-US" w:eastAsia="zh-CN"/>
        </w:rPr>
      </w:pPr>
      <w:r>
        <w:rPr>
          <w:rFonts w:hint="default"/>
          <w:lang w:val="en-US" w:eastAsia="zh-CN"/>
        </w:rPr>
        <w:t>阿克陶县位于帕米尔高原东部，塔里木盆地西部边缘，地形地貌多样，气候特征独特。全县林地面积60629.4公顷，森林覆盖率2.</w:t>
      </w:r>
      <w:r>
        <w:rPr>
          <w:rFonts w:hint="eastAsia"/>
          <w:lang w:val="en-US" w:eastAsia="zh-CN"/>
        </w:rPr>
        <w:t>51</w:t>
      </w:r>
      <w:r>
        <w:rPr>
          <w:rFonts w:hint="default"/>
          <w:lang w:val="en-US" w:eastAsia="zh-CN"/>
        </w:rPr>
        <w:t>%。阿克陶县全县活立木蓄积量达51.32万立方米，特色林果种植面积达1.4万公顷，果品总产量8.4万吨。林业有害生物防控工作对于阿克陶县的林木经济产业发展起着重要的保障作用。有效的防控措施能够减少有害生物对林木的损害，保护林农的利益，促进林业的可持续发展</w:t>
      </w:r>
      <w:r>
        <w:rPr>
          <w:rFonts w:hint="eastAsia"/>
          <w:lang w:val="en-US" w:eastAsia="zh-CN"/>
        </w:rPr>
        <w:t>。</w:t>
      </w:r>
    </w:p>
    <w:p w14:paraId="3AF942C9">
      <w:pPr>
        <w:pStyle w:val="4"/>
        <w:bidi w:val="0"/>
        <w:rPr>
          <w:rFonts w:hint="eastAsia"/>
          <w:lang w:val="en-US" w:eastAsia="zh-CN"/>
        </w:rPr>
      </w:pPr>
      <w:bookmarkStart w:id="23" w:name="_Toc19062"/>
      <w:r>
        <w:rPr>
          <w:rFonts w:hint="eastAsia"/>
          <w:lang w:val="en-US" w:eastAsia="zh-CN"/>
        </w:rPr>
        <w:t>六、生物多样性现状</w:t>
      </w:r>
      <w:bookmarkEnd w:id="23"/>
    </w:p>
    <w:p w14:paraId="223C30FB">
      <w:pPr>
        <w:bidi w:val="0"/>
        <w:rPr>
          <w:rFonts w:hint="default"/>
          <w:lang w:val="en-US" w:eastAsia="zh-CN"/>
        </w:rPr>
      </w:pPr>
      <w:r>
        <w:rPr>
          <w:rFonts w:hint="default"/>
          <w:lang w:val="en-US" w:eastAsia="zh-CN"/>
        </w:rPr>
        <w:t>阿克陶县的气候特征是立体垂直分布的，这种气候特点导致了植被的立体垂直分布。县境南部属西昆仑山末端的北坡，北部属帕米尔高原东侧，东部为塔里木盆地西缘。最低处的平原海拔仅1150米，最高处公格尔峰达7719米，高差6569米。这种地形和气候的复杂性使得阿克陶县的植被类型多样且分布立体‌。阿克陶县的动植物资源丰富，包括多种野生动植物，这些资源对于当地的生态系统和经济发展具有重要意义</w:t>
      </w:r>
      <w:r>
        <w:rPr>
          <w:rFonts w:hint="eastAsia"/>
          <w:lang w:val="en-US" w:eastAsia="zh-CN"/>
        </w:rPr>
        <w:t>。</w:t>
      </w:r>
      <w:r>
        <w:rPr>
          <w:rFonts w:hint="default"/>
          <w:lang w:val="en-US" w:eastAsia="zh-CN"/>
        </w:rPr>
        <w:t>主要树种包括杨树、柳树、沙枣等20余个树种</w:t>
      </w:r>
      <w:r>
        <w:rPr>
          <w:rFonts w:hint="eastAsia"/>
          <w:lang w:val="en-US" w:eastAsia="zh-CN"/>
        </w:rPr>
        <w:t>，</w:t>
      </w:r>
      <w:r>
        <w:rPr>
          <w:rFonts w:hint="default"/>
          <w:lang w:val="en-US" w:eastAsia="zh-CN"/>
        </w:rPr>
        <w:t>野生动物资源包括胡兀鹫、帕米尔盘羊、帕米尔牦牛、鹅喉羚、金雕、红隼等</w:t>
      </w:r>
      <w:r>
        <w:rPr>
          <w:rFonts w:hint="eastAsia"/>
          <w:lang w:val="en-US" w:eastAsia="zh-CN"/>
        </w:rPr>
        <w:t>十余种</w:t>
      </w:r>
      <w:r>
        <w:rPr>
          <w:rFonts w:hint="default"/>
          <w:lang w:val="en-US" w:eastAsia="zh-CN"/>
        </w:rPr>
        <w:t>。‌</w:t>
      </w:r>
    </w:p>
    <w:p w14:paraId="48FACBBC">
      <w:pPr>
        <w:pStyle w:val="3"/>
        <w:bidi w:val="0"/>
        <w:rPr>
          <w:rFonts w:hint="default"/>
          <w:lang w:val="en-US" w:eastAsia="zh-CN"/>
        </w:rPr>
      </w:pPr>
      <w:bookmarkStart w:id="24" w:name="_Toc10174"/>
      <w:r>
        <w:rPr>
          <w:rFonts w:hint="eastAsia"/>
          <w:lang w:val="en-US" w:eastAsia="zh-CN"/>
        </w:rPr>
        <w:t>第四节 现状问题识别</w:t>
      </w:r>
      <w:bookmarkEnd w:id="24"/>
    </w:p>
    <w:p w14:paraId="7A6B7F04">
      <w:pPr>
        <w:bidi w:val="0"/>
        <w:rPr>
          <w:rFonts w:hint="default"/>
          <w:lang w:val="en-US" w:eastAsia="zh-CN"/>
        </w:rPr>
      </w:pPr>
      <w:r>
        <w:rPr>
          <w:rFonts w:hint="eastAsia"/>
          <w:b/>
          <w:bCs/>
          <w:lang w:val="en-US" w:eastAsia="zh-CN"/>
        </w:rPr>
        <w:t>阿克陶县</w:t>
      </w:r>
      <w:r>
        <w:rPr>
          <w:rFonts w:hint="default"/>
          <w:b/>
          <w:bCs/>
          <w:lang w:val="en-US" w:eastAsia="zh-CN"/>
        </w:rPr>
        <w:t>地质环境十分脆弱</w:t>
      </w:r>
      <w:r>
        <w:rPr>
          <w:rFonts w:hint="eastAsia"/>
          <w:lang w:val="en-US" w:eastAsia="zh-CN"/>
        </w:rPr>
        <w:t>。</w:t>
      </w:r>
      <w:r>
        <w:rPr>
          <w:rFonts w:hint="default"/>
          <w:lang w:val="en-US" w:eastAsia="zh-CN"/>
        </w:rPr>
        <w:t>在矿产资源开发利用中，忽视环境保护、生态恢复和污染治理，导致“三废”达标排放率低，地质环境治理恢复率低，土地复垦率低，矿山植被、土地、水环境恶化等问题在局部区域表现较为严重；有的矿山开发和工程建设诱发的滑坡、泥石流、地面塌陷、水土流失、植被破坏、水污染等问题时有发生。需要治理恢复的历史遗留矿山及无主废弃矿山较多（</w:t>
      </w:r>
      <w:r>
        <w:rPr>
          <w:rFonts w:hint="eastAsia"/>
          <w:lang w:val="en-US" w:eastAsia="zh-CN"/>
        </w:rPr>
        <w:t>已恢复治理844.27公顷</w:t>
      </w:r>
      <w:r>
        <w:rPr>
          <w:rFonts w:hint="default"/>
          <w:lang w:val="en-US" w:eastAsia="zh-CN"/>
        </w:rPr>
        <w:t>，</w:t>
      </w:r>
      <w:r>
        <w:rPr>
          <w:rFonts w:hint="eastAsia"/>
          <w:lang w:val="en-US" w:eastAsia="zh-CN"/>
        </w:rPr>
        <w:t>剩余655.73公顷，</w:t>
      </w:r>
      <w:r>
        <w:rPr>
          <w:rFonts w:hint="default"/>
          <w:lang w:val="en-US" w:eastAsia="zh-CN"/>
        </w:rPr>
        <w:t>以早期砂金开采及建筑用砂为主）。</w:t>
      </w:r>
    </w:p>
    <w:p w14:paraId="3F360FB0">
      <w:pPr>
        <w:rPr>
          <w:rFonts w:hint="default"/>
          <w:lang w:val="en-US" w:eastAsia="zh-CN"/>
        </w:rPr>
      </w:pPr>
      <w:r>
        <w:rPr>
          <w:rFonts w:hint="default"/>
          <w:b/>
          <w:bCs/>
          <w:lang w:val="en-US" w:eastAsia="zh-CN"/>
        </w:rPr>
        <w:t>土地资源方面，土地沙化、土壤盐渍化问题仍然突出、水土流失较为严重，土地的节约集约利用效率有待进一步提高。</w:t>
      </w:r>
      <w:r>
        <w:rPr>
          <w:rFonts w:hint="default"/>
          <w:lang w:val="en-US" w:eastAsia="zh-CN"/>
        </w:rPr>
        <w:t>土地沙化、土壤盐渍化、水土流失问题。盐碱化耕地主要分布在皮拉勒乡、托塔依农场和加马铁热克、玉麦镇，制约农业发展，在人为活动影响下，如不合理的灌溉、渠道渗漏、水库渗漏，引起地下水位上升，超过临界深度后形成次生盐渍化。土地沙化、土壤盐渍化、水土流失问题是制约土地资源利用的重要因素。</w:t>
      </w:r>
    </w:p>
    <w:p w14:paraId="05DAF569">
      <w:pPr>
        <w:rPr>
          <w:rFonts w:hint="default"/>
          <w:lang w:val="en-US" w:eastAsia="zh-CN"/>
        </w:rPr>
      </w:pPr>
      <w:r>
        <w:rPr>
          <w:rFonts w:hint="default"/>
          <w:b/>
          <w:bCs/>
          <w:lang w:val="en-US" w:eastAsia="zh-CN"/>
        </w:rPr>
        <w:t>水资源方面，灌区地表水灌溉用水主要来自盖孜河和库山河</w:t>
      </w:r>
      <w:r>
        <w:rPr>
          <w:rFonts w:hint="eastAsia"/>
          <w:b/>
          <w:bCs/>
          <w:lang w:val="en-US" w:eastAsia="zh-CN"/>
        </w:rPr>
        <w:t>，</w:t>
      </w:r>
      <w:r>
        <w:rPr>
          <w:rFonts w:hint="default"/>
          <w:b/>
          <w:bCs/>
          <w:lang w:val="en-US" w:eastAsia="zh-CN"/>
        </w:rPr>
        <w:t>水资源浪费严重。</w:t>
      </w:r>
      <w:r>
        <w:rPr>
          <w:rFonts w:hint="eastAsia"/>
          <w:b w:val="0"/>
          <w:bCs w:val="0"/>
          <w:lang w:val="en-US" w:eastAsia="zh-CN"/>
        </w:rPr>
        <w:t>与</w:t>
      </w:r>
      <w:r>
        <w:rPr>
          <w:rFonts w:hint="default"/>
          <w:lang w:val="en-US" w:eastAsia="zh-CN"/>
        </w:rPr>
        <w:t>阿克陶县社会生产密切相关的盖孜河、库山河、依格孜牙河，其水资源开发利用处于“吃干榨尽”的状态，甚至水资源开发利用已经到了挤兑河道内生态用水的程度，处于过度开发利用的状态，现状流域内经济社会与自然生态争水予盾尖锐，流域生态濒临危机。阿克陶县干旱少雨，蒸发强烈，水资源时空分布不均匀，且地表水资源及地下水开开采利用低，水资源春旱矛盾突出，灌区农业生产基础设施相对落后。灌区农民节水意识淡薄，大水漫灌浪费水量现象依然较为普遍，严重制约了灌区经济和社会的发展。</w:t>
      </w:r>
    </w:p>
    <w:p w14:paraId="73441986">
      <w:pPr>
        <w:bidi w:val="0"/>
        <w:rPr>
          <w:rFonts w:hint="default"/>
          <w:lang w:val="en-US" w:eastAsia="zh-CN"/>
        </w:rPr>
      </w:pPr>
      <w:r>
        <w:rPr>
          <w:rFonts w:hint="default"/>
          <w:b/>
          <w:bCs/>
          <w:lang w:val="en-US" w:eastAsia="zh-CN"/>
        </w:rPr>
        <w:t>阿克陶县植被</w:t>
      </w:r>
      <w:r>
        <w:rPr>
          <w:rFonts w:hint="eastAsia"/>
          <w:b/>
          <w:bCs/>
          <w:lang w:val="en-US" w:eastAsia="zh-CN"/>
        </w:rPr>
        <w:t>覆盖率仍然较低。</w:t>
      </w:r>
      <w:r>
        <w:rPr>
          <w:rFonts w:hint="eastAsia"/>
          <w:b w:val="0"/>
          <w:bCs w:val="0"/>
          <w:lang w:val="en-US" w:eastAsia="zh-CN"/>
        </w:rPr>
        <w:t>县境内</w:t>
      </w:r>
      <w:r>
        <w:rPr>
          <w:rFonts w:hint="default"/>
          <w:lang w:val="en-US" w:eastAsia="zh-CN"/>
        </w:rPr>
        <w:t>类型虽较多，有森林、灌丛、草甸、草原，但森林面积相对偏小。另一方面，荒漠植被的覆盖度很低，退化程度严重。植物区系组成极贫乏，群落单调，结构大都是单层的，生物生产能力很低，食物链简单，系统稳定性低，自我调节能力差，现状草地面积14765.48平方公里，整体植被覆盖偏低，抵御灾害能力弱。</w:t>
      </w:r>
    </w:p>
    <w:p w14:paraId="779D0051">
      <w:pPr>
        <w:rPr>
          <w:rFonts w:hint="default"/>
          <w:lang w:val="en-US" w:eastAsia="zh-CN"/>
        </w:rPr>
      </w:pPr>
      <w:r>
        <w:rPr>
          <w:rFonts w:hint="default"/>
          <w:b/>
          <w:bCs/>
          <w:lang w:val="en-US" w:eastAsia="zh-CN"/>
        </w:rPr>
        <w:t>土壤环境治理和环境风险防范能力有待加强。</w:t>
      </w:r>
      <w:r>
        <w:rPr>
          <w:rFonts w:hint="default"/>
          <w:lang w:val="en-US" w:eastAsia="zh-CN"/>
        </w:rPr>
        <w:t>土壤污染防治工作基础薄、起步晚，本土化有效的治理和修复技术储备不足，相关监测、风险评估、治理修复、执法监管等方面的能力及技术水平有待提升。涉重金属行业、农业面源污染、农村生活垃圾等土壤环境安全问题不容忽视。危险废物、危险化学品等重大环境风险源仍存在，风险防控、安全监管、应急处置能力尚需进一步提高。</w:t>
      </w:r>
    </w:p>
    <w:p w14:paraId="5693B97D">
      <w:pPr>
        <w:rPr>
          <w:rFonts w:hint="default"/>
          <w:lang w:val="en-US" w:eastAsia="zh-CN"/>
        </w:rPr>
      </w:pPr>
      <w:r>
        <w:rPr>
          <w:rFonts w:hint="default"/>
          <w:b/>
          <w:bCs/>
          <w:lang w:val="en-US" w:eastAsia="zh-CN"/>
        </w:rPr>
        <w:t>生态环境脆弱，农业农村生态环境保护任务艰巨。</w:t>
      </w:r>
      <w:r>
        <w:rPr>
          <w:rFonts w:hint="default"/>
          <w:lang w:val="en-US" w:eastAsia="zh-CN"/>
        </w:rPr>
        <w:t>农村环境质量持续改善难度加大，生活垃圾无害化处理能力偏低，农村污水治理资金投入不足，治理基础设施薄弱，污水收集、处理设施建设不到位，污水治理率、资源化利用率仍然较低。</w:t>
      </w:r>
    </w:p>
    <w:p w14:paraId="78942A2E">
      <w:pPr>
        <w:rPr>
          <w:rFonts w:hint="default"/>
          <w:lang w:val="en-US" w:eastAsia="zh-CN"/>
        </w:rPr>
      </w:pPr>
      <w:r>
        <w:rPr>
          <w:rFonts w:hint="default"/>
          <w:b/>
          <w:bCs/>
          <w:lang w:val="en-US" w:eastAsia="zh-CN"/>
        </w:rPr>
        <w:t>环境治理供给能力和治理能力需求不平衡。</w:t>
      </w:r>
      <w:r>
        <w:rPr>
          <w:rFonts w:hint="default"/>
          <w:lang w:val="en-US" w:eastAsia="zh-CN"/>
        </w:rPr>
        <w:t>农业污染治理技术体系尚不健全，畜禽养殖场粪污污染仍存在问题，规模以下养殖户环境监管力度较弱，农膜、秸秆等农业废弃物资源化利用率仍有提升空间，化肥农药使用量逐年降低的要求落实难度大，节水、节地、节肥、节料的生产方式推广应用和标准化程度有待进一步提高。</w:t>
      </w:r>
    </w:p>
    <w:p w14:paraId="3A86AD6A">
      <w:pPr>
        <w:pStyle w:val="2"/>
        <w:bidi w:val="0"/>
        <w:outlineLvl w:val="9"/>
        <w:rPr>
          <w:rFonts w:hint="eastAsia"/>
          <w:lang w:val="en-US" w:eastAsia="zh-CN"/>
        </w:rPr>
        <w:sectPr>
          <w:footerReference r:id="rId5" w:type="default"/>
          <w:pgSz w:w="11906" w:h="16838"/>
          <w:pgMar w:top="1247" w:right="1247" w:bottom="1247" w:left="1247" w:header="851" w:footer="992" w:gutter="0"/>
          <w:pgNumType w:fmt="decimal" w:start="1"/>
          <w:cols w:space="425" w:num="1"/>
          <w:docGrid w:type="lines" w:linePitch="312" w:charSpace="0"/>
        </w:sectPr>
      </w:pPr>
    </w:p>
    <w:p w14:paraId="6984AAD9">
      <w:pPr>
        <w:pStyle w:val="2"/>
        <w:bidi w:val="0"/>
        <w:rPr>
          <w:rFonts w:hint="eastAsia"/>
          <w:lang w:val="en-US" w:eastAsia="zh-CN"/>
        </w:rPr>
      </w:pPr>
      <w:bookmarkStart w:id="25" w:name="_Toc32045"/>
      <w:r>
        <w:rPr>
          <w:rFonts w:hint="eastAsia"/>
          <w:lang w:val="en-US" w:eastAsia="zh-CN"/>
        </w:rPr>
        <w:t>第二章 面临形式</w:t>
      </w:r>
      <w:bookmarkEnd w:id="25"/>
    </w:p>
    <w:p w14:paraId="581A21EE">
      <w:pPr>
        <w:pStyle w:val="3"/>
        <w:bidi w:val="0"/>
        <w:rPr>
          <w:rFonts w:hint="eastAsia"/>
          <w:lang w:val="en-US" w:eastAsia="zh-CN"/>
        </w:rPr>
      </w:pPr>
      <w:bookmarkStart w:id="26" w:name="_Toc29757"/>
      <w:r>
        <w:rPr>
          <w:rFonts w:hint="eastAsia"/>
          <w:lang w:val="en-US" w:eastAsia="zh-CN"/>
        </w:rPr>
        <w:t>第一节 形式与要求</w:t>
      </w:r>
      <w:bookmarkEnd w:id="26"/>
    </w:p>
    <w:p w14:paraId="60D46002">
      <w:pPr>
        <w:rPr>
          <w:rFonts w:hint="eastAsia"/>
          <w:lang w:val="en-US" w:eastAsia="zh-CN"/>
        </w:rPr>
      </w:pPr>
      <w:r>
        <w:rPr>
          <w:rFonts w:hint="eastAsia"/>
          <w:lang w:val="en-US" w:eastAsia="zh-CN"/>
        </w:rPr>
        <w:t>党的十八大以来，我国生态文明建设进程加快推进，在重点生态功能区、生态保护红线、自然保护地等各类生态地区实施重点生态工程、开展山水林田湖草沙保护修复。随着我国经济社会发展进入加快绿色化、低碳化的高质量发展阶段，生态地区在守牢生态保护红线、健全生态安全体系的前提下，需要更好地处理生态环境保护和经济社会发展的关系，稳固生态系统供给、调节、支持和文化服务规模的同时，更加注重生态系统服务质量。</w:t>
      </w:r>
    </w:p>
    <w:p w14:paraId="44563594">
      <w:pPr>
        <w:rPr>
          <w:rFonts w:hint="default"/>
          <w:lang w:val="en-US" w:eastAsia="zh-CN"/>
        </w:rPr>
      </w:pPr>
      <w:r>
        <w:rPr>
          <w:rFonts w:hint="eastAsia"/>
          <w:lang w:val="en-US" w:eastAsia="zh-CN"/>
        </w:rPr>
        <w:t>“十五五”时期对生态功能保护修复工作，不能只满足于生态文明建设中取得的生态空间扩大及生态资源规模增长，更需要考虑“扩绿”的可持续性和生态质量，分类提升生态基底的多样性、稳定性、可持续性。在</w:t>
      </w:r>
      <w:r>
        <w:rPr>
          <w:rFonts w:hint="default"/>
          <w:lang w:val="en-US" w:eastAsia="zh-CN"/>
        </w:rPr>
        <w:t>围绕“三区四带”统筹布局实施山水林田湖草沙保护和修复工程的同时，以流域为主要单元，重点解决约束区域高质量发展、资源绿色高效利用的突出生态问题</w:t>
      </w:r>
      <w:r>
        <w:rPr>
          <w:rFonts w:hint="eastAsia"/>
          <w:lang w:val="en-US" w:eastAsia="zh-CN"/>
        </w:rPr>
        <w:t>。深入推动重点生态功能区功能定位自上而下逐级传导、精准落地，健全完善生态环境分区管控体系及差别化管控措施，以空间准入与正、负面清单相结合的方式引导生态价值转换。</w:t>
      </w:r>
    </w:p>
    <w:p w14:paraId="6B4466AD">
      <w:pPr>
        <w:pStyle w:val="3"/>
        <w:numPr>
          <w:ilvl w:val="0"/>
          <w:numId w:val="0"/>
        </w:numPr>
        <w:bidi w:val="0"/>
        <w:ind w:firstLine="602" w:firstLineChars="200"/>
        <w:rPr>
          <w:rFonts w:hint="eastAsia"/>
          <w:lang w:val="en-US" w:eastAsia="zh-CN"/>
        </w:rPr>
      </w:pPr>
      <w:bookmarkStart w:id="27" w:name="_Toc11107"/>
      <w:r>
        <w:rPr>
          <w:rFonts w:hint="eastAsia" w:ascii="Times New Roman" w:hAnsi="Times New Roman" w:eastAsia="楷体" w:cstheme="minorBidi"/>
          <w:b/>
          <w:kern w:val="2"/>
          <w:sz w:val="30"/>
          <w:szCs w:val="24"/>
          <w:lang w:val="en-US" w:eastAsia="zh-CN" w:bidi="ar-SA"/>
        </w:rPr>
        <w:t>第二节</w:t>
      </w:r>
      <w:r>
        <w:rPr>
          <w:rFonts w:hint="eastAsia" w:cstheme="minorBidi"/>
          <w:b/>
          <w:kern w:val="2"/>
          <w:sz w:val="30"/>
          <w:szCs w:val="24"/>
          <w:lang w:val="en-US" w:eastAsia="zh-CN" w:bidi="ar-SA"/>
        </w:rPr>
        <w:t xml:space="preserve"> </w:t>
      </w:r>
      <w:r>
        <w:rPr>
          <w:rFonts w:hint="eastAsia"/>
          <w:lang w:val="en-US" w:eastAsia="zh-CN"/>
        </w:rPr>
        <w:t>生态修复工作成效</w:t>
      </w:r>
      <w:bookmarkEnd w:id="27"/>
    </w:p>
    <w:p w14:paraId="73915933">
      <w:pPr>
        <w:rPr>
          <w:rFonts w:hint="eastAsia"/>
          <w:lang w:val="en-US" w:eastAsia="zh-CN"/>
        </w:rPr>
      </w:pPr>
      <w:r>
        <w:rPr>
          <w:rFonts w:hint="eastAsia"/>
          <w:b/>
          <w:bCs/>
          <w:lang w:val="en-US" w:eastAsia="zh-CN"/>
        </w:rPr>
        <w:t>地质环境和生态环境初具成效</w:t>
      </w:r>
      <w:r>
        <w:rPr>
          <w:rFonts w:hint="eastAsia"/>
          <w:lang w:val="en-US" w:eastAsia="zh-CN"/>
        </w:rPr>
        <w:t>：阿克陶县通过矿山的地质环境恢复治理工作，使得矿山地质环境得到了恢复，与周边地形地貌相协调‌。根据风险调查评价，全县共分布各类地质灾害隐患点510处，其中泥石流302处、崩塌200处、滑坡8处。重要地质灾害隐患点56处，一般地质灾害隐患点454处。在2023年冬季至2024年春季，阿克陶县山区积雪面积较大，夏季升温后融雪引发的泥石流灾害风险较高，主要位于3000米左右的中高海拔地区。主要防范的区域包括阿克陶县的巴仁乡、奥依塔克镇、克孜勒陶镇等。</w:t>
      </w:r>
    </w:p>
    <w:p w14:paraId="1FADE879">
      <w:pPr>
        <w:rPr>
          <w:rFonts w:hint="eastAsia"/>
          <w:lang w:val="en-US" w:eastAsia="zh-CN"/>
        </w:rPr>
      </w:pPr>
      <w:r>
        <w:rPr>
          <w:rFonts w:hint="eastAsia"/>
          <w:b/>
          <w:bCs/>
          <w:lang w:val="en-US" w:eastAsia="zh-CN"/>
        </w:rPr>
        <w:t>生态环境质量持续提升</w:t>
      </w:r>
      <w:r>
        <w:rPr>
          <w:rFonts w:hint="eastAsia"/>
          <w:lang w:val="en-US" w:eastAsia="zh-CN"/>
        </w:rPr>
        <w:t>‌：阿克陶县通过强化自然生态空间管控，深入打好污染防治攻坚战，推动生态环境质量持续提升。具体措施包括严格管控社会面扬尘污染、督促落实建筑施工防尘措施、推进燃煤锅炉淘汰改造、推进挥发性有机物污染治理等。</w:t>
      </w:r>
    </w:p>
    <w:p w14:paraId="68D8E061">
      <w:pPr>
        <w:rPr>
          <w:rFonts w:hint="eastAsia"/>
          <w:lang w:val="en-US" w:eastAsia="zh-CN"/>
        </w:rPr>
      </w:pPr>
      <w:r>
        <w:rPr>
          <w:rFonts w:hint="eastAsia"/>
          <w:b/>
          <w:bCs/>
          <w:lang w:val="en-US" w:eastAsia="zh-CN"/>
        </w:rPr>
        <w:t>‌生态产业发展</w:t>
      </w:r>
      <w:r>
        <w:rPr>
          <w:rFonts w:hint="eastAsia"/>
          <w:lang w:val="en-US" w:eastAsia="zh-CN"/>
        </w:rPr>
        <w:t>‌：阿克陶县聚焦生态产业发展，通过“生态修复+科技赋能”、“源头保护+产业发展”等模式，推动生态与经济的协调发展。例如，在白沙湖和冰川公园的保护中，通过生态修复和科技赋能，实现生态与经济的双赢。</w:t>
      </w:r>
    </w:p>
    <w:p w14:paraId="4BD7AEC6">
      <w:pPr>
        <w:bidi w:val="0"/>
        <w:rPr>
          <w:rFonts w:hint="eastAsia"/>
          <w:lang w:val="en-US" w:eastAsia="zh-CN"/>
        </w:rPr>
      </w:pPr>
      <w:r>
        <w:rPr>
          <w:rFonts w:hint="eastAsia"/>
          <w:b/>
          <w:bCs/>
          <w:lang w:val="en-US" w:eastAsia="zh-CN"/>
        </w:rPr>
        <w:t>‌生态旅游新格局</w:t>
      </w:r>
      <w:r>
        <w:rPr>
          <w:rFonts w:hint="eastAsia"/>
          <w:lang w:val="en-US" w:eastAsia="zh-CN"/>
        </w:rPr>
        <w:t>‌：阿克陶县致力于打造生态旅游新格局，通过发展生态旅游，激活生态红利。例如，在白山湖示范幸福湖泊的建设中，通过完善河湖管护体制机制，实现“防洪保安全、优质水资源、健康水生态、宜居水环境”的目标，推动生态旅游和休闲观光的发展。</w:t>
      </w:r>
    </w:p>
    <w:p w14:paraId="6498BF1C">
      <w:pPr>
        <w:pStyle w:val="3"/>
        <w:bidi w:val="0"/>
        <w:rPr>
          <w:rFonts w:hint="eastAsia"/>
          <w:lang w:val="en-US" w:eastAsia="zh-CN"/>
        </w:rPr>
      </w:pPr>
      <w:bookmarkStart w:id="28" w:name="_Toc27040"/>
      <w:r>
        <w:rPr>
          <w:rFonts w:hint="eastAsia"/>
          <w:lang w:val="en-US" w:eastAsia="zh-CN"/>
        </w:rPr>
        <w:t>第三节 机遇与挑战</w:t>
      </w:r>
      <w:bookmarkEnd w:id="28"/>
    </w:p>
    <w:p w14:paraId="60EAFCE6">
      <w:pPr>
        <w:pStyle w:val="4"/>
        <w:bidi w:val="0"/>
        <w:rPr>
          <w:rFonts w:hint="default"/>
          <w:lang w:val="en-US" w:eastAsia="zh-CN"/>
        </w:rPr>
      </w:pPr>
      <w:bookmarkStart w:id="29" w:name="_Toc6610"/>
      <w:r>
        <w:rPr>
          <w:rFonts w:hint="eastAsia"/>
          <w:lang w:val="en-US" w:eastAsia="zh-CN"/>
        </w:rPr>
        <w:t>一、发展机遇</w:t>
      </w:r>
      <w:bookmarkEnd w:id="29"/>
    </w:p>
    <w:p w14:paraId="483E7E85">
      <w:pPr>
        <w:bidi w:val="0"/>
        <w:rPr>
          <w:rFonts w:hint="eastAsia"/>
          <w:lang w:val="en-US" w:eastAsia="zh-CN"/>
        </w:rPr>
      </w:pPr>
      <w:r>
        <w:rPr>
          <w:rFonts w:hint="eastAsia"/>
          <w:lang w:val="en-US" w:eastAsia="zh-CN"/>
        </w:rPr>
        <w:t>习近平生态文明思想为“美丽”建设提出新要求。党的十八大以来，以习近平同志为核心的党中央站在战略全局高度，首次把生态文明建设提到中国特色社会主义建设“五位一体”总体布局的战略高度。党的二十大报告将“人与自然和谐共生的现代化上升到五个“中国式现代化”的内涵之一，强调要推动绿色发展促进人与自然和谐共生。并提出“快发展方式绿色转型，深入推进环境污染防治，提升生态系统多样性、稳定性、持续性，积极稳妥推进碳达峰碳中和。”新时期，习近平总书记对生态文明建设和生态环境保护提出一系列新思想、新论断和新要求，推动着生态保护体制机制改革各项任务和措施相继出台，党政同责、生态环境损害责任终身追究、环保督察等逐步落实，制度红利全面释放。</w:t>
      </w:r>
    </w:p>
    <w:p w14:paraId="0A6FDEF4">
      <w:pPr>
        <w:bidi w:val="0"/>
        <w:rPr>
          <w:rFonts w:hint="eastAsia"/>
          <w:lang w:val="en-US" w:eastAsia="zh-CN"/>
        </w:rPr>
      </w:pPr>
      <w:r>
        <w:rPr>
          <w:rFonts w:hint="eastAsia"/>
          <w:lang w:val="en-US" w:eastAsia="zh-CN"/>
        </w:rPr>
        <w:t>“十四五”是实现“两个一百年”奋斗目标的历史交汇期，是转型发展、创新发展的重要时期，是全面实现小康迈向现代化征程的关键时期。阿克陶县深学笃用习近平生态文明思想，高度重视生态文明建设和生态环境保护工作，始终将“生态优先、绿色发展”理念厚植全区。“十五五”时期，在业已形成的高品质生态环境新起点上，按高品质生态环境支撑高质量发展的新要求，生态地区不仅是国土空间与生态修复新安全格局的重要组成，还将是新发展格局的关键支撑。</w:t>
      </w:r>
    </w:p>
    <w:p w14:paraId="6840A706">
      <w:pPr>
        <w:bidi w:val="0"/>
        <w:rPr>
          <w:rFonts w:hint="default"/>
          <w:lang w:val="en-US" w:eastAsia="zh-CN"/>
        </w:rPr>
      </w:pPr>
      <w:r>
        <w:rPr>
          <w:rFonts w:hint="eastAsia"/>
          <w:lang w:val="en-US" w:eastAsia="zh-CN"/>
        </w:rPr>
        <w:t>在生态功能重要或生态系统脆弱的重点生态功能区，其功能定位需要在加强生态环境保护的同时，处理好发展和保护的关系、以高水平保护支撑高质量发展，优化的重点方向仍然应坚持一提供生态服务或生态产品为主的功能导向不变，在继续提升水源涵养、水土保持、防风固沙和生物多样性维护功能的基础上，全方位守牢安全格局底线，建设更具韧性的新型国土空间格局。以增进生态系统的文化服务功能为切入点。提升人们通过精神感受、知识获取、休闲游憩、美学体验等从生态系统获得非物质利益的可能性，解决增进居民福祉中优美生态环境的供需矛盾。</w:t>
      </w:r>
    </w:p>
    <w:p w14:paraId="6F1B608F">
      <w:pPr>
        <w:pStyle w:val="4"/>
        <w:bidi w:val="0"/>
        <w:rPr>
          <w:rFonts w:hint="eastAsia"/>
          <w:lang w:val="en-US" w:eastAsia="zh-CN"/>
        </w:rPr>
      </w:pPr>
      <w:bookmarkStart w:id="30" w:name="_Toc18094"/>
      <w:r>
        <w:rPr>
          <w:rFonts w:hint="eastAsia"/>
          <w:lang w:val="en-US" w:eastAsia="zh-CN"/>
        </w:rPr>
        <w:t>二、面临挑战</w:t>
      </w:r>
      <w:bookmarkEnd w:id="30"/>
    </w:p>
    <w:p w14:paraId="4D2672D8">
      <w:pPr>
        <w:bidi w:val="0"/>
        <w:rPr>
          <w:rFonts w:hint="eastAsia"/>
          <w:lang w:val="en-US" w:eastAsia="zh-CN"/>
        </w:rPr>
      </w:pPr>
      <w:r>
        <w:rPr>
          <w:rFonts w:hint="default"/>
          <w:lang w:val="en-US" w:eastAsia="zh-CN"/>
        </w:rPr>
        <w:t>近年来，</w:t>
      </w:r>
      <w:r>
        <w:rPr>
          <w:rFonts w:hint="eastAsia"/>
          <w:lang w:val="en-US" w:eastAsia="zh-CN"/>
        </w:rPr>
        <w:t>阿克陶县</w:t>
      </w:r>
      <w:r>
        <w:rPr>
          <w:rFonts w:hint="default"/>
          <w:lang w:val="en-US" w:eastAsia="zh-CN"/>
        </w:rPr>
        <w:t>积极践行“绿水青山就是金山银山”理念，生态环境明显改善，山清水秀美丽建设</w:t>
      </w:r>
      <w:r>
        <w:rPr>
          <w:rFonts w:hint="eastAsia"/>
          <w:lang w:val="en-US" w:eastAsia="zh-CN"/>
        </w:rPr>
        <w:t>初具</w:t>
      </w:r>
      <w:r>
        <w:rPr>
          <w:rFonts w:hint="default"/>
          <w:lang w:val="en-US" w:eastAsia="zh-CN"/>
        </w:rPr>
        <w:t>成效。但仍然面临着生态保护任务繁重、生态环境质量持续改善难度大、生态环境风险管控压力较大等一系列问题。在产业方面，</w:t>
      </w:r>
      <w:r>
        <w:rPr>
          <w:rFonts w:hint="eastAsia"/>
          <w:lang w:val="en-US" w:eastAsia="zh-CN"/>
        </w:rPr>
        <w:t>阿克陶县聚焦生态产业发展，通过“生态修复+科技赋能”、“源头保护+产业发展”等模式，推动生态与经济的协调发展。</w:t>
      </w:r>
    </w:p>
    <w:p w14:paraId="4AF11E89">
      <w:pPr>
        <w:rPr>
          <w:rFonts w:hint="eastAsia"/>
          <w:lang w:val="en-US" w:eastAsia="zh-CN"/>
        </w:rPr>
      </w:pPr>
      <w:r>
        <w:rPr>
          <w:rFonts w:hint="eastAsia"/>
          <w:lang w:val="en-US" w:eastAsia="zh-CN"/>
        </w:rPr>
        <w:t>在面向解决经济社会高质量发展的新需求、人民群众对生态环境改善的新期待，按照以高品质生态环境支撑高质量发展的新导向，生态地区需要进一步调整功能定位、优化战略格局，完善生态环境分区管控体系，形成更具多样性、稳定性、可持续性的生态基底，并把生态优势发挥出来，为高质量发展注入新动能、塑造新优势，加快形成各类生态地区人与自然和谐共生的现代化，成为了新的挑战。</w:t>
      </w:r>
    </w:p>
    <w:p w14:paraId="4374A238">
      <w:pPr>
        <w:rPr>
          <w:rFonts w:hint="eastAsia"/>
          <w:lang w:val="en-US" w:eastAsia="zh-CN"/>
        </w:rPr>
      </w:pPr>
      <w:r>
        <w:rPr>
          <w:rFonts w:hint="eastAsia"/>
          <w:lang w:val="en-US" w:eastAsia="zh-CN"/>
        </w:rPr>
        <w:t>阿克陶县现状问题也较为突出，将成为“十五五”时期生态功能保护修复又一挑战，主要围绕在以下几个方面：①地质环境十分脆弱。在矿产资源开发利用中，矿山开发和工程建设诱发的滑坡、泥石流、地面塌陷、水土流失、植被破坏、水污染等问题时有发生，地质环境治理恢复率低，土地复垦率低，矿山植被、土地、水环境恶化等问题在局部区域表现较为严重。②土地沙化、土壤盐渍化问题仍然突出、水土流失较为严重，土地的节约集约利用效率有待进一步提高。③水资源方面，阿克陶县干旱少雨，蒸发强烈，水资源时空分布不均匀，且地表水资源及地下水开开采利用低，水资源春旱矛盾突出，灌区农业生产基础设施相对落后。灌区农民节水意识淡薄，大水漫灌浪费水量现象依然较为普遍，严重制约了灌区经济和社会的发展。④阿克陶县植被覆盖率仍然较低。县境内类型虽较多，但森林面积相对偏小。另一方面，荒漠植被的覆盖度很低，退化程度严重。⑤生态环境脆弱，农业农村生态环境保护任务艰巨。</w:t>
      </w:r>
    </w:p>
    <w:p w14:paraId="3B14714A">
      <w:pPr>
        <w:rPr>
          <w:rFonts w:hint="eastAsia"/>
          <w:lang w:val="en-US" w:eastAsia="zh-CN"/>
        </w:rPr>
      </w:pPr>
    </w:p>
    <w:p w14:paraId="526109DB">
      <w:pPr>
        <w:numPr>
          <w:ilvl w:val="0"/>
          <w:numId w:val="1"/>
        </w:numPr>
        <w:bidi w:val="0"/>
        <w:ind w:firstLine="562" w:firstLineChars="200"/>
        <w:rPr>
          <w:rFonts w:hint="eastAsia"/>
          <w:b/>
          <w:bCs/>
          <w:lang w:val="en-US" w:eastAsia="zh-CN"/>
        </w:rPr>
        <w:sectPr>
          <w:pgSz w:w="11906" w:h="16838"/>
          <w:pgMar w:top="1247" w:right="1247" w:bottom="1247" w:left="1247" w:header="851" w:footer="992" w:gutter="0"/>
          <w:pgNumType w:fmt="decimal"/>
          <w:cols w:space="425" w:num="1"/>
          <w:docGrid w:type="lines" w:linePitch="312" w:charSpace="0"/>
        </w:sectPr>
      </w:pPr>
    </w:p>
    <w:p w14:paraId="3CEC7088">
      <w:pPr>
        <w:pStyle w:val="2"/>
        <w:bidi w:val="0"/>
        <w:rPr>
          <w:rFonts w:hint="default"/>
          <w:lang w:val="en-US" w:eastAsia="zh-CN"/>
        </w:rPr>
      </w:pPr>
      <w:bookmarkStart w:id="31" w:name="_Toc19762"/>
      <w:r>
        <w:rPr>
          <w:rFonts w:hint="eastAsia"/>
          <w:lang w:val="en-US" w:eastAsia="zh-CN"/>
        </w:rPr>
        <w:t>第三章 规划总体要求</w:t>
      </w:r>
      <w:bookmarkEnd w:id="31"/>
    </w:p>
    <w:p w14:paraId="243A59AA">
      <w:pPr>
        <w:pStyle w:val="3"/>
        <w:bidi w:val="0"/>
        <w:rPr>
          <w:rFonts w:hint="eastAsia"/>
          <w:lang w:val="en-US" w:eastAsia="zh-CN"/>
        </w:rPr>
      </w:pPr>
      <w:bookmarkStart w:id="32" w:name="_Toc526"/>
      <w:r>
        <w:rPr>
          <w:rFonts w:hint="eastAsia"/>
          <w:lang w:val="en-US" w:eastAsia="zh-CN"/>
        </w:rPr>
        <w:t>第一节 指导思想</w:t>
      </w:r>
      <w:bookmarkEnd w:id="32"/>
    </w:p>
    <w:p w14:paraId="00C70C94">
      <w:pPr>
        <w:rPr>
          <w:rFonts w:hint="eastAsia"/>
          <w:lang w:val="en-US" w:eastAsia="zh-CN"/>
        </w:rPr>
      </w:pPr>
      <w:r>
        <w:rPr>
          <w:rFonts w:hint="eastAsia"/>
          <w:lang w:val="en-US" w:eastAsia="zh-CN"/>
        </w:rPr>
        <w:t>以习近平新时代中国特色社会主义思想为指导，全面贯彻党的十九大和二十大精神，深入贯彻习近平生态文明思想，落实“山水林田湖草冰是一个生命共同体”理念，立足生态文明高地建设，牢固树立“绿水青山就是金山银山，冰天雪地也是金山银山”，以提升生态系统多样性、稳定性、持续性为核心，以统筹山水林田湖草沙冰一体化保护修复为主线，合理划分生态保护修复分区，确定生态保护修复主要目标任务，科学部署和实施重大工程，构建绿色生态廊道和生物多样性保护网络，切实增强生态系统稳定性，持续提升生态系统服务功能，全面扩大优质生态产品供给，筑牢生态屏障，以高水平保护推动高质量发展，努力建设经济好、格局新、环境优、活力足，人与自然和谐共生的美丽阿克陶。</w:t>
      </w:r>
    </w:p>
    <w:p w14:paraId="14423519">
      <w:pPr>
        <w:pStyle w:val="3"/>
        <w:numPr>
          <w:ilvl w:val="0"/>
          <w:numId w:val="0"/>
        </w:numPr>
        <w:bidi w:val="0"/>
        <w:ind w:firstLine="602" w:firstLineChars="200"/>
        <w:rPr>
          <w:rFonts w:hint="eastAsia"/>
          <w:lang w:val="en-US" w:eastAsia="zh-CN"/>
        </w:rPr>
      </w:pPr>
      <w:bookmarkStart w:id="33" w:name="_Toc31538"/>
      <w:r>
        <w:rPr>
          <w:rFonts w:hint="eastAsia" w:ascii="Times New Roman" w:hAnsi="Times New Roman" w:eastAsia="楷体" w:cstheme="minorBidi"/>
          <w:b/>
          <w:kern w:val="2"/>
          <w:sz w:val="30"/>
          <w:szCs w:val="24"/>
          <w:lang w:val="en-US" w:eastAsia="zh-CN" w:bidi="ar-SA"/>
        </w:rPr>
        <w:t>第二节</w:t>
      </w:r>
      <w:r>
        <w:rPr>
          <w:rFonts w:hint="eastAsia" w:cstheme="minorBidi"/>
          <w:b/>
          <w:kern w:val="2"/>
          <w:sz w:val="30"/>
          <w:szCs w:val="24"/>
          <w:lang w:val="en-US" w:eastAsia="zh-CN" w:bidi="ar-SA"/>
        </w:rPr>
        <w:t xml:space="preserve"> </w:t>
      </w:r>
      <w:r>
        <w:rPr>
          <w:rFonts w:hint="eastAsia"/>
          <w:lang w:val="en-US" w:eastAsia="zh-CN"/>
        </w:rPr>
        <w:t>基本原则</w:t>
      </w:r>
      <w:bookmarkEnd w:id="33"/>
    </w:p>
    <w:p w14:paraId="1A391DB8">
      <w:pPr>
        <w:pStyle w:val="4"/>
        <w:bidi w:val="0"/>
        <w:rPr>
          <w:rFonts w:hint="eastAsia"/>
          <w:lang w:val="en-US" w:eastAsia="zh-CN"/>
        </w:rPr>
      </w:pPr>
      <w:bookmarkStart w:id="34" w:name="_Toc13771"/>
      <w:r>
        <w:rPr>
          <w:rFonts w:hint="eastAsia"/>
          <w:lang w:val="en-US" w:eastAsia="zh-CN"/>
        </w:rPr>
        <w:t>一、战略引领，统筹兼顾。</w:t>
      </w:r>
      <w:bookmarkEnd w:id="34"/>
    </w:p>
    <w:p w14:paraId="56C2DA3E">
      <w:pPr>
        <w:bidi w:val="0"/>
        <w:rPr>
          <w:rFonts w:hint="eastAsia"/>
          <w:lang w:val="en-US" w:eastAsia="zh-CN"/>
        </w:rPr>
      </w:pPr>
      <w:r>
        <w:rPr>
          <w:rFonts w:hint="eastAsia"/>
          <w:lang w:val="en-US" w:eastAsia="zh-CN"/>
        </w:rPr>
        <w:t>全面贯彻党中央、国务院重大决策部署，落实落细国家和区域重大发展战略，坚持人与自然和谐共生，坚持尊重自然、顺应自然、保护自然，坚持节约优先、保护优先、自然恢复为主方针，按照保证生态安全、突出生态功能，兼顾生态景观秩序，科学安排生态保护修复工作坚持节约优先、保护优先、自然恢复为主、人工修复为辅、人与自然和谐共生；在保证生态环境不受破坏的前提下，充分利用生态优势保护生态环境。尊重自然、顺应自然、保护自然，遵循自然生态系统演替规律，充分发挥大自然的自我修复能力，避免人类对生态系统的过多干预，统筹部署、科学推进全县生态功能保护修复工作。</w:t>
      </w:r>
    </w:p>
    <w:p w14:paraId="2DF45B79">
      <w:pPr>
        <w:pStyle w:val="4"/>
        <w:bidi w:val="0"/>
        <w:rPr>
          <w:rFonts w:hint="eastAsia"/>
          <w:lang w:val="en-US" w:eastAsia="zh-CN"/>
        </w:rPr>
      </w:pPr>
      <w:bookmarkStart w:id="35" w:name="_Toc3175"/>
      <w:r>
        <w:rPr>
          <w:rFonts w:hint="eastAsia"/>
          <w:lang w:val="en-US" w:eastAsia="zh-CN"/>
        </w:rPr>
        <w:t>二、问题导向，突出重点。</w:t>
      </w:r>
      <w:bookmarkEnd w:id="35"/>
    </w:p>
    <w:p w14:paraId="7BEBDF93">
      <w:pPr>
        <w:bidi w:val="0"/>
        <w:rPr>
          <w:rFonts w:hint="eastAsia"/>
          <w:lang w:val="en-US" w:eastAsia="zh-CN"/>
        </w:rPr>
      </w:pPr>
      <w:r>
        <w:rPr>
          <w:rFonts w:hint="eastAsia"/>
          <w:lang w:val="en-US" w:eastAsia="zh-CN"/>
        </w:rPr>
        <w:t>立足全区自然地理条件、资源环境现状、生态系统状况、国土空间开发等现状特征及变化趋势，准确识别全区突出生态问题，科学研判全区主要生态风险。坚持长远结合、久久为功，综合考虑流域上下游的关系、区域间生态功能的互补作用，以及自然生态的系统性和生态功能的完整性，按照整体规划、总体设计的思路，统筹规划。坚持问题导向、目标导向和操作导向相结合，处理好整体和局部、保护和发展、当前和未来的关系，科学确定全区生态保护修复重、难点区域，加大政策、资金倾斜力度，推进形成整体统筹、重点突出的生态保护修复新格局。</w:t>
      </w:r>
    </w:p>
    <w:p w14:paraId="1B8939F6">
      <w:pPr>
        <w:pStyle w:val="4"/>
        <w:bidi w:val="0"/>
        <w:rPr>
          <w:rFonts w:hint="eastAsia"/>
          <w:lang w:val="en-US" w:eastAsia="zh-CN"/>
        </w:rPr>
      </w:pPr>
      <w:bookmarkStart w:id="36" w:name="_Toc19473"/>
      <w:r>
        <w:rPr>
          <w:rFonts w:hint="eastAsia"/>
          <w:lang w:val="en-US" w:eastAsia="zh-CN"/>
        </w:rPr>
        <w:t>三、因地制宜，稳妥推进。</w:t>
      </w:r>
      <w:bookmarkEnd w:id="36"/>
    </w:p>
    <w:p w14:paraId="41B6E204">
      <w:pPr>
        <w:bidi w:val="0"/>
        <w:rPr>
          <w:rFonts w:hint="eastAsia"/>
          <w:lang w:val="en-US" w:eastAsia="zh-CN"/>
        </w:rPr>
      </w:pPr>
      <w:r>
        <w:rPr>
          <w:rFonts w:hint="eastAsia"/>
          <w:lang w:val="en-US" w:eastAsia="zh-CN"/>
        </w:rPr>
        <w:t>以流域、山系等自然地理单元为基础遵循区域特色与资源禀赋，科学确定全区生态安全总体格局和生态保护修复分区，分类分区合理部署生态修复重大工程。坚持自然恢复为主、人工修复为辅的生态保护修复策略，科学配置保护和修复、自然和人工、生物和工程等修复措施，稳妥有序推进生态保护修复工作，逐步实现人与自然和谐共生遵循生态系统内在机理，充分研究规划区域的自然、环境，现状特点，以生态本底和自然禀赋为基础，关注生态质量提升和生态风险应对，强化科技支撑作用，因地制宜、实事求是，科学配置保护和修复、自然和人工、生物和工程等措施，推进一体化生态保护和修复。</w:t>
      </w:r>
    </w:p>
    <w:p w14:paraId="3DD6F00F">
      <w:pPr>
        <w:pStyle w:val="3"/>
        <w:numPr>
          <w:ilvl w:val="0"/>
          <w:numId w:val="0"/>
        </w:numPr>
        <w:bidi w:val="0"/>
        <w:ind w:firstLine="602" w:firstLineChars="200"/>
        <w:rPr>
          <w:rFonts w:hint="eastAsia"/>
          <w:lang w:val="en-US" w:eastAsia="zh-CN"/>
        </w:rPr>
      </w:pPr>
      <w:bookmarkStart w:id="37" w:name="_Toc32391"/>
      <w:r>
        <w:rPr>
          <w:rFonts w:hint="eastAsia" w:ascii="Times New Roman" w:hAnsi="Times New Roman" w:eastAsia="楷体" w:cstheme="minorBidi"/>
          <w:b/>
          <w:kern w:val="2"/>
          <w:sz w:val="30"/>
          <w:szCs w:val="24"/>
          <w:lang w:val="en-US" w:eastAsia="zh-CN" w:bidi="ar-SA"/>
        </w:rPr>
        <w:t>第三节</w:t>
      </w:r>
      <w:r>
        <w:rPr>
          <w:rFonts w:hint="eastAsia" w:cstheme="minorBidi"/>
          <w:b/>
          <w:kern w:val="2"/>
          <w:sz w:val="30"/>
          <w:szCs w:val="24"/>
          <w:lang w:val="en-US" w:eastAsia="zh-CN" w:bidi="ar-SA"/>
        </w:rPr>
        <w:t xml:space="preserve"> </w:t>
      </w:r>
      <w:r>
        <w:rPr>
          <w:rFonts w:hint="eastAsia"/>
          <w:lang w:val="en-US" w:eastAsia="zh-CN"/>
        </w:rPr>
        <w:t>规划范围</w:t>
      </w:r>
      <w:bookmarkEnd w:id="37"/>
    </w:p>
    <w:p w14:paraId="479E6EDF">
      <w:pPr>
        <w:bidi w:val="0"/>
        <w:rPr>
          <w:rFonts w:hint="default"/>
          <w:lang w:val="en-US" w:eastAsia="zh-CN"/>
        </w:rPr>
      </w:pPr>
      <w:r>
        <w:rPr>
          <w:rFonts w:hint="default"/>
          <w:lang w:val="en-US" w:eastAsia="zh-CN"/>
        </w:rPr>
        <w:t>规划范围为</w:t>
      </w:r>
      <w:r>
        <w:rPr>
          <w:rFonts w:hint="eastAsia"/>
          <w:lang w:val="en-US" w:eastAsia="zh-CN"/>
        </w:rPr>
        <w:t>阿克陶县</w:t>
      </w:r>
      <w:r>
        <w:rPr>
          <w:rFonts w:hint="default"/>
          <w:lang w:val="en-US" w:eastAsia="zh-CN"/>
        </w:rPr>
        <w:t>全域范围，下辖</w:t>
      </w:r>
      <w:r>
        <w:rPr>
          <w:rFonts w:hint="eastAsia"/>
          <w:lang w:val="en-US" w:eastAsia="zh-CN"/>
        </w:rPr>
        <w:t>5镇、7乡、2场，分别为</w:t>
      </w:r>
      <w:r>
        <w:rPr>
          <w:rFonts w:hint="default"/>
          <w:lang w:val="en-US" w:eastAsia="zh-CN"/>
        </w:rPr>
        <w:t>阿克陶镇、奥依塔克镇、玉麦镇、克孜勒陶镇、恰尔隆镇</w:t>
      </w:r>
      <w:r>
        <w:rPr>
          <w:rFonts w:hint="eastAsia"/>
          <w:lang w:val="en-US" w:eastAsia="zh-CN"/>
        </w:rPr>
        <w:t>、</w:t>
      </w:r>
      <w:r>
        <w:rPr>
          <w:rFonts w:hint="default"/>
          <w:lang w:val="en-US" w:eastAsia="zh-CN"/>
        </w:rPr>
        <w:t>皮拉勒乡、巴仁乡、加马铁热克乡、喀热开其克乡、布伦口乡、木吉乡、塔尔塔吉克族乡</w:t>
      </w:r>
      <w:r>
        <w:rPr>
          <w:rFonts w:hint="eastAsia"/>
          <w:lang w:val="en-US" w:eastAsia="zh-CN"/>
        </w:rPr>
        <w:t>、</w:t>
      </w:r>
      <w:r>
        <w:rPr>
          <w:rFonts w:hint="default"/>
          <w:lang w:val="en-US" w:eastAsia="zh-CN"/>
        </w:rPr>
        <w:t>托尔塔依农场、阿克达拉牧场，全县总面积24115.61平方公里。</w:t>
      </w:r>
    </w:p>
    <w:p w14:paraId="3B33F40A">
      <w:pPr>
        <w:pStyle w:val="3"/>
        <w:numPr>
          <w:ilvl w:val="0"/>
          <w:numId w:val="0"/>
        </w:numPr>
        <w:bidi w:val="0"/>
        <w:ind w:firstLine="602" w:firstLineChars="200"/>
        <w:rPr>
          <w:rFonts w:hint="eastAsia"/>
          <w:lang w:val="en-US" w:eastAsia="zh-CN"/>
        </w:rPr>
      </w:pPr>
      <w:bookmarkStart w:id="38" w:name="_Toc7925"/>
      <w:r>
        <w:rPr>
          <w:rFonts w:hint="eastAsia" w:ascii="Times New Roman" w:hAnsi="Times New Roman" w:eastAsia="楷体" w:cstheme="minorBidi"/>
          <w:b/>
          <w:kern w:val="2"/>
          <w:sz w:val="30"/>
          <w:szCs w:val="24"/>
          <w:lang w:val="en-US" w:eastAsia="zh-CN" w:bidi="ar-SA"/>
        </w:rPr>
        <w:t>第</w:t>
      </w:r>
      <w:r>
        <w:rPr>
          <w:rFonts w:hint="eastAsia" w:cstheme="minorBidi"/>
          <w:b/>
          <w:kern w:val="2"/>
          <w:sz w:val="30"/>
          <w:szCs w:val="24"/>
          <w:lang w:val="en-US" w:eastAsia="zh-CN" w:bidi="ar-SA"/>
        </w:rPr>
        <w:t>四</w:t>
      </w:r>
      <w:r>
        <w:rPr>
          <w:rFonts w:hint="eastAsia" w:ascii="Times New Roman" w:hAnsi="Times New Roman" w:eastAsia="楷体" w:cstheme="minorBidi"/>
          <w:b/>
          <w:kern w:val="2"/>
          <w:sz w:val="30"/>
          <w:szCs w:val="24"/>
          <w:lang w:val="en-US" w:eastAsia="zh-CN" w:bidi="ar-SA"/>
        </w:rPr>
        <w:t>节</w:t>
      </w:r>
      <w:r>
        <w:rPr>
          <w:rFonts w:hint="eastAsia" w:cstheme="minorBidi"/>
          <w:b/>
          <w:kern w:val="2"/>
          <w:sz w:val="30"/>
          <w:szCs w:val="24"/>
          <w:lang w:val="en-US" w:eastAsia="zh-CN" w:bidi="ar-SA"/>
        </w:rPr>
        <w:t xml:space="preserve"> </w:t>
      </w:r>
      <w:r>
        <w:rPr>
          <w:rFonts w:hint="eastAsia"/>
          <w:lang w:val="en-US" w:eastAsia="zh-CN"/>
        </w:rPr>
        <w:t>规划期限</w:t>
      </w:r>
      <w:bookmarkEnd w:id="38"/>
    </w:p>
    <w:p w14:paraId="0B67385A">
      <w:pPr>
        <w:bidi w:val="0"/>
        <w:rPr>
          <w:rFonts w:hint="default"/>
          <w:lang w:val="en-US" w:eastAsia="zh-CN"/>
        </w:rPr>
      </w:pPr>
      <w:r>
        <w:rPr>
          <w:rFonts w:hint="default"/>
          <w:lang w:val="en-US" w:eastAsia="zh-CN"/>
        </w:rPr>
        <w:t>规划范围为</w:t>
      </w:r>
      <w:r>
        <w:rPr>
          <w:rFonts w:hint="eastAsia"/>
          <w:lang w:val="en-US" w:eastAsia="zh-CN"/>
        </w:rPr>
        <w:t>阿克陶县</w:t>
      </w:r>
      <w:r>
        <w:rPr>
          <w:rFonts w:hint="default"/>
          <w:lang w:val="en-US" w:eastAsia="zh-CN"/>
        </w:rPr>
        <w:t>全域范围，202</w:t>
      </w:r>
      <w:r>
        <w:rPr>
          <w:rFonts w:hint="eastAsia"/>
          <w:lang w:val="en-US" w:eastAsia="zh-CN"/>
        </w:rPr>
        <w:t>5</w:t>
      </w:r>
      <w:r>
        <w:rPr>
          <w:rFonts w:hint="default"/>
          <w:lang w:val="en-US" w:eastAsia="zh-CN"/>
        </w:rPr>
        <w:t>—20</w:t>
      </w:r>
      <w:r>
        <w:rPr>
          <w:rFonts w:hint="eastAsia"/>
          <w:lang w:val="en-US" w:eastAsia="zh-CN"/>
        </w:rPr>
        <w:t>30</w:t>
      </w:r>
      <w:r>
        <w:rPr>
          <w:rFonts w:hint="default"/>
          <w:lang w:val="en-US" w:eastAsia="zh-CN"/>
        </w:rPr>
        <w:t>年，规划基准年为20</w:t>
      </w:r>
      <w:r>
        <w:rPr>
          <w:rFonts w:hint="eastAsia"/>
          <w:lang w:val="en-US" w:eastAsia="zh-CN"/>
        </w:rPr>
        <w:t>25</w:t>
      </w:r>
      <w:r>
        <w:rPr>
          <w:rFonts w:hint="default"/>
          <w:lang w:val="en-US" w:eastAsia="zh-CN"/>
        </w:rPr>
        <w:t>年，规划目标年为20</w:t>
      </w:r>
      <w:r>
        <w:rPr>
          <w:rFonts w:hint="eastAsia"/>
          <w:lang w:val="en-US" w:eastAsia="zh-CN"/>
        </w:rPr>
        <w:t>30</w:t>
      </w:r>
      <w:r>
        <w:rPr>
          <w:rFonts w:hint="default"/>
          <w:lang w:val="en-US" w:eastAsia="zh-CN"/>
        </w:rPr>
        <w:t>年。</w:t>
      </w:r>
    </w:p>
    <w:p w14:paraId="6C08491B">
      <w:pPr>
        <w:pStyle w:val="3"/>
        <w:bidi w:val="0"/>
        <w:rPr>
          <w:rFonts w:hint="eastAsia"/>
          <w:lang w:val="en-US" w:eastAsia="zh-CN"/>
        </w:rPr>
      </w:pPr>
      <w:bookmarkStart w:id="39" w:name="_Toc12715"/>
      <w:r>
        <w:rPr>
          <w:rFonts w:hint="eastAsia"/>
          <w:lang w:val="en-US" w:eastAsia="zh-CN"/>
        </w:rPr>
        <w:t>第五节 目标与要求</w:t>
      </w:r>
      <w:bookmarkEnd w:id="39"/>
    </w:p>
    <w:p w14:paraId="1AA69B6A">
      <w:pPr>
        <w:bidi w:val="0"/>
        <w:rPr>
          <w:rFonts w:hint="eastAsia"/>
          <w:lang w:val="en-US" w:eastAsia="zh-CN"/>
        </w:rPr>
      </w:pPr>
      <w:r>
        <w:rPr>
          <w:rFonts w:hint="eastAsia"/>
          <w:lang w:val="en-US" w:eastAsia="zh-CN"/>
        </w:rPr>
        <w:t>遵循“异质性、整体性、连续性”的原则，匹配阿克陶县“山川—林草—荒漠—绿洲”的自然基底条件，构建“一屏三核、五脉三区”的生态保护格局。塑造“雄山为屏、秀水化脉、林草相依、绿野绕城”生态美学意境。遵循“山水林田湖草沙生命共同体”的理念，充分了解各要素资源禀赋特征，认识自然系统和生态系统的结构、功能等，以资源的合理利用、永续发展以及生态系统功能的保护和修复为重点，科学划定生态空间，根据生态功能细化空间分类分区管治。坚持保护优先、自然恢复为主，深入实施生态保护和修复工作。依托流域生态综合治理相关项目，开展国土绿化行动，集中连片建设森林，继续加强防护林建设，推进天然林保护。继续推进沙漠化、盐渍化、水土流失综合治理。</w:t>
      </w:r>
    </w:p>
    <w:p w14:paraId="7B5B2EE5">
      <w:pPr>
        <w:pStyle w:val="4"/>
        <w:bidi w:val="0"/>
        <w:rPr>
          <w:rFonts w:hint="default"/>
          <w:lang w:val="en-US" w:eastAsia="zh-CN"/>
        </w:rPr>
      </w:pPr>
      <w:bookmarkStart w:id="40" w:name="_Toc2873"/>
      <w:r>
        <w:rPr>
          <w:rFonts w:hint="eastAsia"/>
          <w:lang w:val="en-US" w:eastAsia="zh-CN"/>
        </w:rPr>
        <w:t>一、</w:t>
      </w:r>
      <w:r>
        <w:rPr>
          <w:rFonts w:hint="default"/>
          <w:lang w:val="en-US" w:eastAsia="zh-CN"/>
        </w:rPr>
        <w:t>构建生物多样性保护网络</w:t>
      </w:r>
      <w:bookmarkEnd w:id="40"/>
    </w:p>
    <w:p w14:paraId="2AC4B49E">
      <w:pPr>
        <w:bidi w:val="0"/>
        <w:rPr>
          <w:rFonts w:hint="default"/>
          <w:lang w:val="en-US" w:eastAsia="zh-CN"/>
        </w:rPr>
      </w:pPr>
      <w:r>
        <w:rPr>
          <w:rFonts w:hint="default"/>
          <w:lang w:val="en-US" w:eastAsia="zh-CN"/>
        </w:rPr>
        <w:t>严格管控生物多样性保护优先区域。全面保护帕米尔高原生物多样性，开展生物多样性调查、监测和评估工作。</w:t>
      </w:r>
      <w:r>
        <w:rPr>
          <w:rFonts w:hint="eastAsia"/>
          <w:lang w:val="en-US" w:eastAsia="zh-CN"/>
        </w:rPr>
        <w:t>到2030年</w:t>
      </w:r>
      <w:r>
        <w:rPr>
          <w:rFonts w:hint="default"/>
          <w:lang w:val="en-US" w:eastAsia="zh-CN"/>
        </w:rPr>
        <w:t>典型生态系统、国家重点保护野生动植物物种，濒危野生动植物及其栖息地得到</w:t>
      </w:r>
      <w:r>
        <w:rPr>
          <w:rFonts w:hint="eastAsia"/>
          <w:lang w:val="en-US" w:eastAsia="zh-CN"/>
        </w:rPr>
        <w:t>初步</w:t>
      </w:r>
      <w:r>
        <w:rPr>
          <w:rFonts w:hint="default"/>
          <w:lang w:val="en-US" w:eastAsia="zh-CN"/>
        </w:rPr>
        <w:t>保护</w:t>
      </w:r>
      <w:r>
        <w:rPr>
          <w:rFonts w:hint="eastAsia"/>
          <w:lang w:val="en-US" w:eastAsia="zh-CN"/>
        </w:rPr>
        <w:t>；</w:t>
      </w:r>
      <w:r>
        <w:rPr>
          <w:rFonts w:hint="default"/>
          <w:lang w:val="en-US" w:eastAsia="zh-CN"/>
        </w:rPr>
        <w:t>到2035年，典型生态系统、国家重点保护野生动植物物种，濒危野生动植物及其栖息地得到全面保护。</w:t>
      </w:r>
    </w:p>
    <w:p w14:paraId="020B3759">
      <w:pPr>
        <w:pStyle w:val="4"/>
        <w:bidi w:val="0"/>
        <w:rPr>
          <w:rFonts w:hint="eastAsia"/>
          <w:lang w:val="en-US" w:eastAsia="zh-CN"/>
        </w:rPr>
      </w:pPr>
      <w:bookmarkStart w:id="41" w:name="_Toc16493"/>
      <w:r>
        <w:rPr>
          <w:rFonts w:hint="eastAsia"/>
          <w:lang w:val="en-US" w:eastAsia="zh-CN"/>
        </w:rPr>
        <w:t>二、优化自然保护地体系</w:t>
      </w:r>
      <w:bookmarkEnd w:id="41"/>
    </w:p>
    <w:p w14:paraId="730E8D8D">
      <w:pPr>
        <w:bidi w:val="0"/>
        <w:rPr>
          <w:rFonts w:hint="eastAsia"/>
          <w:lang w:val="en-US" w:eastAsia="zh-CN"/>
        </w:rPr>
      </w:pPr>
      <w:r>
        <w:rPr>
          <w:rFonts w:hint="eastAsia"/>
          <w:lang w:val="en-US" w:eastAsia="zh-CN"/>
        </w:rPr>
        <w:t>全县自然保护地3个。自然保护地体系以正式批复的自然保护地整合优化方案为准。建立分类科学、布局合理、保护有利、管理有效的自然保护地体系，确保重要自然生态系统、自然遗迹、自然景观和生物多样性得到系统保护，实现保育自然资源，保护生物多样性与地质地貌景观多样性，维护自然生态系统健康稳定，提高生态系统服务功能。</w:t>
      </w:r>
    </w:p>
    <w:p w14:paraId="15DECD11">
      <w:pPr>
        <w:pStyle w:val="4"/>
        <w:bidi w:val="0"/>
        <w:rPr>
          <w:rFonts w:hint="eastAsia"/>
          <w:lang w:val="en-US" w:eastAsia="zh-CN"/>
        </w:rPr>
      </w:pPr>
      <w:bookmarkStart w:id="42" w:name="_Toc13931"/>
      <w:r>
        <w:rPr>
          <w:rFonts w:hint="eastAsia"/>
          <w:lang w:val="en-US" w:eastAsia="zh-CN"/>
        </w:rPr>
        <w:t>三、提升水安全保障能力与水资源利用效率</w:t>
      </w:r>
      <w:bookmarkEnd w:id="42"/>
    </w:p>
    <w:p w14:paraId="383E66E6">
      <w:pPr>
        <w:numPr>
          <w:ilvl w:val="0"/>
          <w:numId w:val="0"/>
        </w:numPr>
        <w:bidi w:val="0"/>
        <w:ind w:firstLine="560" w:firstLineChars="200"/>
        <w:rPr>
          <w:rFonts w:hint="default"/>
          <w:lang w:val="en-US" w:eastAsia="zh-CN"/>
        </w:rPr>
      </w:pPr>
      <w:r>
        <w:rPr>
          <w:rFonts w:hint="eastAsia"/>
          <w:lang w:val="en-US" w:eastAsia="zh-CN"/>
        </w:rPr>
        <w:t>到2030年，全县用水总量控制在自治区下达指标以内</w:t>
      </w:r>
      <w:r>
        <w:rPr>
          <w:rFonts w:hint="default"/>
          <w:lang w:val="en-US" w:eastAsia="zh-CN"/>
        </w:rPr>
        <w:t>水</w:t>
      </w:r>
      <w:r>
        <w:rPr>
          <w:rFonts w:hint="eastAsia"/>
          <w:lang w:val="en-US" w:eastAsia="zh-CN"/>
        </w:rPr>
        <w:t>，</w:t>
      </w:r>
      <w:r>
        <w:rPr>
          <w:rFonts w:hint="default"/>
          <w:lang w:val="en-US" w:eastAsia="zh-CN"/>
        </w:rPr>
        <w:t>安全保障能力大幅提升，用水总量满足控制要求，水资源利用效率效益明显提高，水资源配置骨干格局基本形成，区域供水保障程度进一步增强。全县用水总量有效控制，农田灌溉水有效利用系数显著提高。</w:t>
      </w:r>
    </w:p>
    <w:p w14:paraId="0470FC2B">
      <w:pPr>
        <w:pStyle w:val="4"/>
        <w:bidi w:val="0"/>
        <w:rPr>
          <w:rFonts w:hint="eastAsia"/>
          <w:lang w:val="en-US" w:eastAsia="zh-CN"/>
        </w:rPr>
      </w:pPr>
      <w:bookmarkStart w:id="43" w:name="_Toc16917"/>
      <w:r>
        <w:rPr>
          <w:rFonts w:hint="eastAsia"/>
          <w:lang w:val="en-US" w:eastAsia="zh-CN"/>
        </w:rPr>
        <w:t>四、冰川保护与利用</w:t>
      </w:r>
      <w:bookmarkEnd w:id="43"/>
    </w:p>
    <w:p w14:paraId="5A458D83">
      <w:pPr>
        <w:bidi w:val="0"/>
        <w:rPr>
          <w:rFonts w:hint="eastAsia"/>
          <w:lang w:val="en-US" w:eastAsia="zh-CN"/>
        </w:rPr>
      </w:pPr>
      <w:r>
        <w:rPr>
          <w:rFonts w:hint="eastAsia"/>
          <w:lang w:val="en-US" w:eastAsia="zh-CN"/>
        </w:rPr>
        <w:t>重点保护奥依塔克冰川公园、慕士塔格峰等冰川雪山区域，设定“旅游接待区”，开展生态旅游，促进流域生态环境保护与经济并重发展。把冰川作为重点水源涵养区，对动植物资源及生态环境进行严格保护，按照生态规律合理开发利用其生物资源和旅游资源。加强雪山群、冰川群、冻土监测，定期观测记录冰川雪线后退情况。推进雪山冰川冻土评估分析，及时预测雪山冰川变化并发出预警。逐步在雪山冰川边界线，设置界桩、界碑及标示牌，拆除违法、违规设置的旅游游览设施，严格保护雪山冰川和多年冻土带，维持雪山冰川冻土“固体水库”功能。</w:t>
      </w:r>
    </w:p>
    <w:p w14:paraId="1A4A7BA9">
      <w:pPr>
        <w:pStyle w:val="4"/>
        <w:bidi w:val="0"/>
        <w:rPr>
          <w:rFonts w:hint="default"/>
          <w:lang w:val="en-US" w:eastAsia="zh-CN"/>
        </w:rPr>
      </w:pPr>
      <w:bookmarkStart w:id="44" w:name="_Toc2775"/>
      <w:r>
        <w:rPr>
          <w:rFonts w:hint="eastAsia"/>
          <w:lang w:val="en-US" w:eastAsia="zh-CN"/>
        </w:rPr>
        <w:t>五、</w:t>
      </w:r>
      <w:r>
        <w:rPr>
          <w:rFonts w:hint="default"/>
          <w:lang w:val="en-US" w:eastAsia="zh-CN"/>
        </w:rPr>
        <w:t>林草植被盖度和质量明显提高</w:t>
      </w:r>
      <w:bookmarkEnd w:id="44"/>
    </w:p>
    <w:p w14:paraId="034089DA">
      <w:pPr>
        <w:bidi w:val="0"/>
        <w:rPr>
          <w:rFonts w:hint="default"/>
          <w:lang w:val="en-US" w:eastAsia="zh-CN"/>
        </w:rPr>
      </w:pPr>
      <w:r>
        <w:rPr>
          <w:rFonts w:hint="default"/>
          <w:lang w:val="en-US" w:eastAsia="zh-CN"/>
        </w:rPr>
        <w:t>到20</w:t>
      </w:r>
      <w:r>
        <w:rPr>
          <w:rFonts w:hint="eastAsia"/>
          <w:lang w:val="en-US" w:eastAsia="zh-CN"/>
        </w:rPr>
        <w:t>30</w:t>
      </w:r>
      <w:r>
        <w:rPr>
          <w:rFonts w:hint="default"/>
          <w:lang w:val="en-US" w:eastAsia="zh-CN"/>
        </w:rPr>
        <w:t>年，阿克陶县林草植被盖度和质量明显提高，生态系统质量和稳定性大幅提升，国土生态安全屏障更加牢固，生态状况继续好转。森林生态系统更加完整，国土绿化进程稳步推进，林业生产力布局继续优化，生态承载力明显提升。天然林资源保护力度不断加大，退化草场和林分的修复能力增强，林草产业健康发展，森林覆盖率达到2.</w:t>
      </w:r>
      <w:r>
        <w:rPr>
          <w:rFonts w:hint="eastAsia"/>
          <w:lang w:val="en-US" w:eastAsia="zh-CN"/>
        </w:rPr>
        <w:t>51</w:t>
      </w:r>
      <w:r>
        <w:rPr>
          <w:rFonts w:hint="default"/>
          <w:lang w:val="en-US" w:eastAsia="zh-CN"/>
        </w:rPr>
        <w:t>％。确保阿克陶县湿地保有量不减少、功能不降低，湿地保护管理能力显著提升，湿地生态系统得到有效保护。展望2035年，阿克陶县森林生态系统状况根本好转，优质林草产品产量显著增加，产业结构更加优化，资源利用监管更加有效。湿地生态系统状况根本好转，生态系统质量和稳定性全面提升，森林覆盖率</w:t>
      </w:r>
      <w:r>
        <w:rPr>
          <w:rFonts w:hint="eastAsia"/>
          <w:lang w:val="en-US" w:eastAsia="zh-CN"/>
        </w:rPr>
        <w:t>稳步提升</w:t>
      </w:r>
      <w:r>
        <w:rPr>
          <w:rFonts w:hint="default"/>
          <w:lang w:val="en-US" w:eastAsia="zh-CN"/>
        </w:rPr>
        <w:t>。</w:t>
      </w:r>
    </w:p>
    <w:p w14:paraId="7B714750">
      <w:pPr>
        <w:pStyle w:val="4"/>
        <w:bidi w:val="0"/>
        <w:rPr>
          <w:rFonts w:hint="eastAsia"/>
          <w:lang w:val="en-US" w:eastAsia="zh-CN"/>
        </w:rPr>
      </w:pPr>
      <w:bookmarkStart w:id="45" w:name="_Toc3907"/>
      <w:r>
        <w:rPr>
          <w:rFonts w:hint="eastAsia"/>
          <w:lang w:val="en-US" w:eastAsia="zh-CN"/>
        </w:rPr>
        <w:t>六、水土流失治理新格局</w:t>
      </w:r>
      <w:bookmarkEnd w:id="45"/>
    </w:p>
    <w:p w14:paraId="59E51D79">
      <w:pPr>
        <w:bidi w:val="0"/>
        <w:rPr>
          <w:rFonts w:hint="eastAsia"/>
          <w:lang w:val="en-US" w:eastAsia="zh-CN"/>
        </w:rPr>
      </w:pPr>
      <w:r>
        <w:rPr>
          <w:rFonts w:hint="eastAsia"/>
          <w:lang w:val="en-US" w:eastAsia="zh-CN"/>
        </w:rPr>
        <w:t>到2030年继续深化已经初步建成经济社会发展与资源环境承载力相适应的水土保持防治体系，重点防治地区生态进一步趋向好转，新增水土流失治理面积11.82平方公里，水土保持率达到77.12%；到2035年，基本建成经济社会发展与资源环境承载力相适应的水土保持生态经济发展格局，重点防治地区生态实现良性循环，新增水土流失治理面积15.4平方公里，水土保持率达到77.13%。通过综合治理，水土流失面积和侵蚀强度有所下降，人为水土流失得到有效控制，林草植被得到有效保护和恢复，防风抗旱能力和农业生产基础条件提升。</w:t>
      </w:r>
    </w:p>
    <w:p w14:paraId="792B231B">
      <w:pPr>
        <w:pStyle w:val="4"/>
        <w:bidi w:val="0"/>
        <w:rPr>
          <w:rFonts w:hint="default"/>
          <w:lang w:val="en-US" w:eastAsia="zh-CN"/>
        </w:rPr>
      </w:pPr>
      <w:bookmarkStart w:id="46" w:name="_Toc16411"/>
      <w:r>
        <w:rPr>
          <w:rFonts w:hint="eastAsia"/>
          <w:lang w:val="en-US" w:eastAsia="zh-CN"/>
        </w:rPr>
        <w:t>七、积极在</w:t>
      </w:r>
      <w:r>
        <w:rPr>
          <w:rFonts w:hint="default"/>
          <w:lang w:val="en-US" w:eastAsia="zh-CN"/>
        </w:rPr>
        <w:t>盖孜河流域、</w:t>
      </w:r>
      <w:r>
        <w:rPr>
          <w:rFonts w:hint="eastAsia"/>
          <w:lang w:val="en-US" w:eastAsia="zh-CN"/>
        </w:rPr>
        <w:t>玛尔坎苏</w:t>
      </w:r>
      <w:r>
        <w:rPr>
          <w:rFonts w:hint="default"/>
          <w:lang w:val="en-US" w:eastAsia="zh-CN"/>
        </w:rPr>
        <w:t>河流域等重点治理区</w:t>
      </w:r>
      <w:r>
        <w:rPr>
          <w:rFonts w:hint="eastAsia"/>
          <w:lang w:val="en-US" w:eastAsia="zh-CN"/>
        </w:rPr>
        <w:t>，开展流域水环境综合质量</w:t>
      </w:r>
      <w:bookmarkEnd w:id="46"/>
      <w:r>
        <w:rPr>
          <w:rFonts w:hint="eastAsia"/>
          <w:lang w:val="en-US" w:eastAsia="zh-CN"/>
        </w:rPr>
        <w:t>提升</w:t>
      </w:r>
    </w:p>
    <w:p w14:paraId="56D4FBE6">
      <w:pPr>
        <w:bidi w:val="0"/>
        <w:rPr>
          <w:rFonts w:hint="eastAsia"/>
          <w:lang w:val="en-US" w:eastAsia="zh-CN"/>
        </w:rPr>
      </w:pPr>
      <w:r>
        <w:rPr>
          <w:rFonts w:hint="eastAsia"/>
          <w:lang w:val="en-US" w:eastAsia="zh-CN"/>
        </w:rPr>
        <w:t>按照《关于强化水资源刚性约束深入推进最严格水资源管理制度的通知》（总河（湖）长令第3号）、《关于落实自治区总河湖长第3号令的提示函》、《关于加快推进河湖管理范围划定及岸线保护利用规划编制等工作的通知》（新水办发[2020]118 号）、《关于开展重要河流生态水量和重要湖泊最低水位确定工作的通知》（新河长办[2020]1号）等文件要求，严格河湖生态流量管理，保障河湖生态流量，促进水生态恢复，尤其在岸线保护与水生植物、水生生物等方面。以河湖长制工作为抓手，水环境状况全面改善，重要河流湖泊水功能区水质达标率保持100%。重点流域和湖泊生态得到有效保护和修复。</w:t>
      </w:r>
    </w:p>
    <w:p w14:paraId="26D3491C">
      <w:pPr>
        <w:pStyle w:val="4"/>
        <w:bidi w:val="0"/>
        <w:rPr>
          <w:rFonts w:hint="eastAsia"/>
          <w:lang w:val="en-US" w:eastAsia="zh-CN"/>
        </w:rPr>
      </w:pPr>
      <w:bookmarkStart w:id="47" w:name="_Toc9385"/>
      <w:r>
        <w:rPr>
          <w:rFonts w:hint="eastAsia"/>
          <w:lang w:val="en-US" w:eastAsia="zh-CN"/>
        </w:rPr>
        <w:t>八、加强绿色矿山建设，地质灾害防治</w:t>
      </w:r>
      <w:bookmarkEnd w:id="47"/>
    </w:p>
    <w:p w14:paraId="62667BEC">
      <w:pPr>
        <w:bidi w:val="0"/>
        <w:rPr>
          <w:rFonts w:hint="eastAsia"/>
          <w:lang w:val="en-US" w:eastAsia="zh-CN"/>
        </w:rPr>
      </w:pPr>
      <w:r>
        <w:rPr>
          <w:rFonts w:hint="eastAsia"/>
          <w:lang w:val="en-US" w:eastAsia="zh-CN"/>
        </w:rPr>
        <w:t>矿区生态保护修复坚持“矿产资源开发利用与地质环境保护并举”的方针，坚持“谁开发谁保护、谁污染谁治理、谁破坏谁恢复”的原则。勘查及开发利用矿产资源要保护地质环境，保护地质地貌景观和地质遗迹。防治地质灾害，最大限度地减轻矿业活动对地质环境的污染和破坏。矿业活动应尽量避免或少占林地、草场，必须占用的，要依法办理审批手续。禁止矿山废气、废水、固体废弃物的无序排放。依法做好水土保持和土地复垦，逐步建立采矿权人的约束监测，专业队伍重点监测的矿山地质环境监测网，积极推进矿山地质环境的综合治理。</w:t>
      </w:r>
    </w:p>
    <w:p w14:paraId="1C405754">
      <w:pPr>
        <w:bidi w:val="0"/>
        <w:rPr>
          <w:rFonts w:hint="eastAsia"/>
          <w:lang w:val="en-US" w:eastAsia="zh-CN"/>
        </w:rPr>
        <w:sectPr>
          <w:pgSz w:w="11906" w:h="16838"/>
          <w:pgMar w:top="1247" w:right="1247" w:bottom="1247" w:left="1247" w:header="851" w:footer="992" w:gutter="0"/>
          <w:pgNumType w:fmt="decimal"/>
          <w:cols w:space="425" w:num="1"/>
          <w:docGrid w:type="lines" w:linePitch="312" w:charSpace="0"/>
        </w:sectPr>
      </w:pPr>
      <w:r>
        <w:rPr>
          <w:rFonts w:hint="eastAsia"/>
          <w:lang w:val="en-US" w:eastAsia="zh-CN"/>
        </w:rPr>
        <w:t>主要指标体系见下表。</w:t>
      </w:r>
    </w:p>
    <w:p w14:paraId="71099FFA">
      <w:pPr>
        <w:pStyle w:val="11"/>
        <w:bidi w:val="0"/>
        <w:outlineLvl w:val="0"/>
        <w:rPr>
          <w:rFonts w:hint="default"/>
          <w:b/>
          <w:bCs w:val="0"/>
          <w:lang w:val="en-US" w:eastAsia="zh-CN"/>
        </w:rPr>
      </w:pPr>
      <w:bookmarkStart w:id="48" w:name="_Toc15723"/>
      <w:r>
        <w:rPr>
          <w:rFonts w:hint="eastAsia"/>
          <w:b/>
          <w:bCs w:val="0"/>
          <w:lang w:val="en-US" w:eastAsia="zh-CN"/>
        </w:rPr>
        <w:t>生态功能保护修复规划主要指标表</w:t>
      </w:r>
      <w:bookmarkEnd w:id="48"/>
    </w:p>
    <w:tbl>
      <w:tblPr>
        <w:tblStyle w:val="9"/>
        <w:tblW w:w="44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06"/>
        <w:gridCol w:w="3440"/>
        <w:gridCol w:w="1134"/>
        <w:gridCol w:w="1297"/>
        <w:gridCol w:w="775"/>
        <w:gridCol w:w="1092"/>
      </w:tblGrid>
      <w:tr w14:paraId="2D62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tblHeader/>
          <w:jc w:val="center"/>
        </w:trPr>
        <w:tc>
          <w:tcPr>
            <w:tcW w:w="363" w:type="pct"/>
            <w:vAlign w:val="center"/>
          </w:tcPr>
          <w:p w14:paraId="4ED9768F">
            <w:pPr>
              <w:pStyle w:val="13"/>
              <w:widowControl w:val="0"/>
              <w:rPr>
                <w:rFonts w:hint="default" w:ascii="Times New Roman" w:hAnsi="Times New Roman" w:eastAsia="仿宋_GB2312" w:cs="Times New Roman"/>
                <w:sz w:val="21"/>
                <w:szCs w:val="21"/>
              </w:rPr>
            </w:pPr>
            <w:bookmarkStart w:id="49" w:name="_Hlk128074105"/>
            <w:bookmarkStart w:id="50" w:name="_Hlk128074065"/>
            <w:r>
              <w:rPr>
                <w:rFonts w:hint="default" w:ascii="Times New Roman" w:hAnsi="Times New Roman" w:eastAsia="仿宋_GB2312" w:cs="Times New Roman"/>
                <w:sz w:val="21"/>
                <w:szCs w:val="21"/>
              </w:rPr>
              <w:t>编号</w:t>
            </w:r>
          </w:p>
        </w:tc>
        <w:tc>
          <w:tcPr>
            <w:tcW w:w="2060" w:type="pct"/>
            <w:vAlign w:val="center"/>
          </w:tcPr>
          <w:p w14:paraId="07A637DA">
            <w:pPr>
              <w:pStyle w:val="13"/>
              <w:widowControl w:val="0"/>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指标项</w:t>
            </w:r>
          </w:p>
        </w:tc>
        <w:tc>
          <w:tcPr>
            <w:tcW w:w="679" w:type="pct"/>
            <w:vAlign w:val="center"/>
          </w:tcPr>
          <w:p w14:paraId="0EB948E4">
            <w:pPr>
              <w:pStyle w:val="13"/>
              <w:widowControl w:val="0"/>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规划基期年</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lang w:val="en-US" w:eastAsia="zh-CN"/>
              </w:rPr>
              <w:t>2025</w:t>
            </w:r>
            <w:r>
              <w:rPr>
                <w:rFonts w:hint="default" w:ascii="Times New Roman" w:hAnsi="Times New Roman" w:eastAsia="仿宋_GB2312" w:cs="Times New Roman"/>
                <w:sz w:val="21"/>
                <w:szCs w:val="21"/>
                <w:lang w:eastAsia="zh-CN"/>
              </w:rPr>
              <w:t>）</w:t>
            </w:r>
          </w:p>
        </w:tc>
        <w:tc>
          <w:tcPr>
            <w:tcW w:w="777" w:type="pct"/>
            <w:vAlign w:val="center"/>
          </w:tcPr>
          <w:p w14:paraId="03D82E9E">
            <w:pPr>
              <w:pStyle w:val="13"/>
              <w:widowControl w:val="0"/>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规划目标年</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lang w:val="en-US" w:eastAsia="zh-CN"/>
              </w:rPr>
              <w:t>2030</w:t>
            </w:r>
            <w:r>
              <w:rPr>
                <w:rFonts w:hint="default" w:ascii="Times New Roman" w:hAnsi="Times New Roman" w:eastAsia="仿宋_GB2312" w:cs="Times New Roman"/>
                <w:sz w:val="21"/>
                <w:szCs w:val="21"/>
                <w:lang w:eastAsia="zh-CN"/>
              </w:rPr>
              <w:t>）</w:t>
            </w:r>
          </w:p>
        </w:tc>
        <w:tc>
          <w:tcPr>
            <w:tcW w:w="464" w:type="pct"/>
            <w:vAlign w:val="center"/>
          </w:tcPr>
          <w:p w14:paraId="17812557">
            <w:pPr>
              <w:pStyle w:val="13"/>
              <w:widowControl w:val="0"/>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指标</w:t>
            </w:r>
          </w:p>
          <w:p w14:paraId="50823F14">
            <w:pPr>
              <w:pStyle w:val="13"/>
              <w:widowControl w:val="0"/>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属性</w:t>
            </w:r>
          </w:p>
        </w:tc>
        <w:tc>
          <w:tcPr>
            <w:tcW w:w="654" w:type="pct"/>
            <w:vAlign w:val="center"/>
          </w:tcPr>
          <w:p w14:paraId="2FBAD3F8">
            <w:pPr>
              <w:pStyle w:val="13"/>
              <w:widowControl w:val="0"/>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指标层级</w:t>
            </w:r>
          </w:p>
        </w:tc>
      </w:tr>
      <w:tr w14:paraId="5F22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363" w:type="pct"/>
            <w:vAlign w:val="center"/>
          </w:tcPr>
          <w:p w14:paraId="4FCC88AA">
            <w:pPr>
              <w:pStyle w:val="13"/>
              <w:widowControl w:val="0"/>
              <w:rPr>
                <w:rFonts w:ascii="Times New Roman" w:hAnsi="Times New Roman" w:eastAsia="仿宋_GB2312"/>
                <w:sz w:val="21"/>
                <w:szCs w:val="21"/>
              </w:rPr>
            </w:pPr>
            <w:r>
              <w:rPr>
                <w:rFonts w:ascii="Times New Roman" w:hAnsi="Times New Roman" w:eastAsia="仿宋_GB2312"/>
                <w:sz w:val="21"/>
                <w:szCs w:val="21"/>
              </w:rPr>
              <w:t>1</w:t>
            </w:r>
          </w:p>
        </w:tc>
        <w:tc>
          <w:tcPr>
            <w:tcW w:w="2060" w:type="pct"/>
            <w:vAlign w:val="center"/>
          </w:tcPr>
          <w:p w14:paraId="74A3C004">
            <w:pPr>
              <w:pStyle w:val="13"/>
              <w:widowControl w:val="0"/>
              <w:rPr>
                <w:rFonts w:ascii="仿宋_GB2312" w:hAnsi="仿宋" w:eastAsia="仿宋_GB2312"/>
                <w:sz w:val="21"/>
                <w:szCs w:val="21"/>
              </w:rPr>
            </w:pPr>
            <w:r>
              <w:rPr>
                <w:rFonts w:hint="eastAsia" w:ascii="仿宋_GB2312" w:hAnsi="仿宋" w:eastAsia="仿宋_GB2312"/>
                <w:sz w:val="21"/>
                <w:szCs w:val="21"/>
              </w:rPr>
              <w:t>耕地保有量（平方公里/万亩）</w:t>
            </w:r>
          </w:p>
        </w:tc>
        <w:tc>
          <w:tcPr>
            <w:tcW w:w="679" w:type="pct"/>
            <w:shd w:val="clear" w:color="auto" w:fill="auto"/>
            <w:vAlign w:val="center"/>
          </w:tcPr>
          <w:p w14:paraId="22BCAB5B">
            <w:pPr>
              <w:pStyle w:val="13"/>
              <w:widowControl w:val="0"/>
              <w:rPr>
                <w:rFonts w:ascii="仿宋_GB2312" w:hAnsi="仿宋" w:eastAsia="仿宋_GB2312"/>
                <w:sz w:val="21"/>
                <w:szCs w:val="21"/>
              </w:rPr>
            </w:pPr>
            <w:r>
              <w:rPr>
                <w:rFonts w:hint="eastAsia" w:ascii="Times New Roman" w:hAnsi="Times New Roman" w:eastAsia="仿宋_GB2312"/>
                <w:sz w:val="21"/>
                <w:szCs w:val="21"/>
              </w:rPr>
              <w:t>398.72</w:t>
            </w:r>
            <w:r>
              <w:rPr>
                <w:rFonts w:hint="eastAsia" w:ascii="仿宋_GB2312" w:hAnsi="仿宋" w:eastAsia="仿宋_GB2312"/>
                <w:sz w:val="21"/>
                <w:szCs w:val="21"/>
              </w:rPr>
              <w:t>/</w:t>
            </w:r>
          </w:p>
          <w:p w14:paraId="59082490">
            <w:pPr>
              <w:pStyle w:val="13"/>
              <w:widowControl w:val="0"/>
              <w:rPr>
                <w:rFonts w:hint="default" w:ascii="仿宋_GB2312" w:hAnsi="仿宋" w:eastAsia="仿宋_GB2312" w:cs="Times New Roman"/>
                <w:sz w:val="21"/>
                <w:szCs w:val="21"/>
                <w:lang w:val="en-US" w:eastAsia="zh-CN" w:bidi="ar-SA"/>
              </w:rPr>
            </w:pPr>
            <w:r>
              <w:rPr>
                <w:rFonts w:hint="eastAsia" w:eastAsia="仿宋_GB2312"/>
                <w:sz w:val="21"/>
                <w:szCs w:val="21"/>
                <w:lang w:val="en-US" w:eastAsia="zh-CN"/>
              </w:rPr>
              <w:t>59.81</w:t>
            </w:r>
          </w:p>
        </w:tc>
        <w:tc>
          <w:tcPr>
            <w:tcW w:w="777" w:type="pct"/>
            <w:vAlign w:val="center"/>
          </w:tcPr>
          <w:p w14:paraId="71F61AF8">
            <w:pPr>
              <w:pStyle w:val="13"/>
              <w:widowControl w:val="0"/>
              <w:rPr>
                <w:rFonts w:ascii="仿宋_GB2312" w:hAnsi="仿宋" w:eastAsia="仿宋_GB2312"/>
                <w:sz w:val="21"/>
                <w:szCs w:val="21"/>
              </w:rPr>
            </w:pPr>
            <w:r>
              <w:rPr>
                <w:rFonts w:hint="eastAsia" w:ascii="Times New Roman" w:hAnsi="Times New Roman" w:eastAsia="仿宋_GB2312"/>
                <w:sz w:val="21"/>
                <w:szCs w:val="21"/>
              </w:rPr>
              <w:t>398.</w:t>
            </w:r>
            <w:r>
              <w:rPr>
                <w:rFonts w:hint="eastAsia" w:eastAsia="仿宋_GB2312"/>
                <w:sz w:val="21"/>
                <w:szCs w:val="21"/>
                <w:lang w:val="en-US" w:eastAsia="zh-CN"/>
              </w:rPr>
              <w:t>80</w:t>
            </w:r>
            <w:r>
              <w:rPr>
                <w:rFonts w:hint="eastAsia" w:ascii="仿宋_GB2312" w:hAnsi="仿宋" w:eastAsia="仿宋_GB2312"/>
                <w:sz w:val="21"/>
                <w:szCs w:val="21"/>
              </w:rPr>
              <w:t>/</w:t>
            </w:r>
          </w:p>
          <w:p w14:paraId="4C4E8C5F">
            <w:pPr>
              <w:pStyle w:val="13"/>
              <w:widowControl w:val="0"/>
              <w:rPr>
                <w:rFonts w:ascii="仿宋_GB2312" w:hAnsi="仿宋" w:eastAsia="仿宋_GB2312"/>
                <w:sz w:val="21"/>
                <w:szCs w:val="21"/>
              </w:rPr>
            </w:pPr>
            <w:r>
              <w:rPr>
                <w:rFonts w:hint="eastAsia" w:eastAsia="仿宋_GB2312"/>
                <w:sz w:val="21"/>
                <w:szCs w:val="21"/>
                <w:lang w:val="en-US" w:eastAsia="zh-CN"/>
              </w:rPr>
              <w:t>59.82</w:t>
            </w:r>
          </w:p>
        </w:tc>
        <w:tc>
          <w:tcPr>
            <w:tcW w:w="464" w:type="pct"/>
            <w:vAlign w:val="center"/>
          </w:tcPr>
          <w:p w14:paraId="47731245">
            <w:pPr>
              <w:pStyle w:val="13"/>
              <w:widowControl w:val="0"/>
              <w:rPr>
                <w:rFonts w:ascii="仿宋_GB2312" w:hAnsi="仿宋" w:eastAsia="仿宋_GB2312"/>
                <w:sz w:val="21"/>
                <w:szCs w:val="21"/>
              </w:rPr>
            </w:pPr>
            <w:r>
              <w:rPr>
                <w:rFonts w:hint="eastAsia" w:ascii="仿宋_GB2312" w:hAnsi="仿宋" w:eastAsia="仿宋_GB2312"/>
                <w:sz w:val="21"/>
                <w:szCs w:val="21"/>
              </w:rPr>
              <w:t>约束性</w:t>
            </w:r>
          </w:p>
        </w:tc>
        <w:tc>
          <w:tcPr>
            <w:tcW w:w="654" w:type="pct"/>
            <w:vAlign w:val="center"/>
          </w:tcPr>
          <w:p w14:paraId="2490B955">
            <w:pPr>
              <w:pStyle w:val="13"/>
              <w:widowControl w:val="0"/>
              <w:rPr>
                <w:rFonts w:ascii="仿宋_GB2312" w:hAnsi="仿宋" w:eastAsia="仿宋_GB2312"/>
                <w:sz w:val="21"/>
                <w:szCs w:val="21"/>
              </w:rPr>
            </w:pPr>
            <w:r>
              <w:rPr>
                <w:rFonts w:hint="eastAsia" w:ascii="仿宋_GB2312" w:hAnsi="仿宋" w:eastAsia="仿宋_GB2312"/>
                <w:sz w:val="21"/>
                <w:szCs w:val="21"/>
              </w:rPr>
              <w:t>全域</w:t>
            </w:r>
          </w:p>
        </w:tc>
      </w:tr>
      <w:tr w14:paraId="2DCD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363" w:type="pct"/>
            <w:vAlign w:val="center"/>
          </w:tcPr>
          <w:p w14:paraId="7CBA9926">
            <w:pPr>
              <w:pStyle w:val="13"/>
              <w:widowControl w:val="0"/>
              <w:rPr>
                <w:rFonts w:ascii="Times New Roman" w:hAnsi="Times New Roman" w:eastAsia="仿宋_GB2312"/>
                <w:sz w:val="21"/>
                <w:szCs w:val="21"/>
              </w:rPr>
            </w:pPr>
            <w:r>
              <w:rPr>
                <w:rFonts w:ascii="Times New Roman" w:hAnsi="Times New Roman" w:eastAsia="仿宋_GB2312"/>
                <w:sz w:val="21"/>
                <w:szCs w:val="21"/>
              </w:rPr>
              <w:t>2</w:t>
            </w:r>
          </w:p>
        </w:tc>
        <w:tc>
          <w:tcPr>
            <w:tcW w:w="2060" w:type="pct"/>
            <w:vAlign w:val="center"/>
          </w:tcPr>
          <w:p w14:paraId="1D9250C0">
            <w:pPr>
              <w:pStyle w:val="13"/>
              <w:widowControl w:val="0"/>
              <w:rPr>
                <w:rFonts w:ascii="仿宋_GB2312" w:hAnsi="仿宋" w:eastAsia="仿宋_GB2312"/>
                <w:sz w:val="21"/>
                <w:szCs w:val="21"/>
              </w:rPr>
            </w:pPr>
            <w:r>
              <w:rPr>
                <w:rFonts w:hint="eastAsia" w:ascii="仿宋_GB2312" w:hAnsi="仿宋" w:eastAsia="仿宋_GB2312"/>
                <w:sz w:val="21"/>
                <w:szCs w:val="21"/>
              </w:rPr>
              <w:t>永久基本农田保护面积（平方公里/万亩）</w:t>
            </w:r>
          </w:p>
        </w:tc>
        <w:tc>
          <w:tcPr>
            <w:tcW w:w="679" w:type="pct"/>
            <w:shd w:val="clear" w:color="auto" w:fill="auto"/>
            <w:vAlign w:val="center"/>
          </w:tcPr>
          <w:p w14:paraId="5CA42E6F">
            <w:pPr>
              <w:pStyle w:val="13"/>
              <w:widowControl w:val="0"/>
              <w:rPr>
                <w:rFonts w:ascii="仿宋_GB2312" w:hAnsi="仿宋" w:eastAsia="仿宋_GB2312"/>
                <w:sz w:val="21"/>
                <w:szCs w:val="21"/>
              </w:rPr>
            </w:pPr>
            <w:r>
              <w:rPr>
                <w:rFonts w:ascii="Times New Roman" w:hAnsi="Times New Roman" w:eastAsia="仿宋_GB2312"/>
                <w:sz w:val="21"/>
                <w:szCs w:val="21"/>
              </w:rPr>
              <w:t>311</w:t>
            </w:r>
            <w:r>
              <w:rPr>
                <w:rFonts w:hint="eastAsia" w:ascii="仿宋_GB2312" w:hAnsi="仿宋" w:eastAsia="仿宋_GB2312"/>
                <w:sz w:val="21"/>
                <w:szCs w:val="21"/>
              </w:rPr>
              <w:t>.</w:t>
            </w:r>
            <w:r>
              <w:rPr>
                <w:rFonts w:ascii="Times New Roman" w:hAnsi="Times New Roman" w:eastAsia="仿宋_GB2312"/>
                <w:sz w:val="21"/>
                <w:szCs w:val="21"/>
              </w:rPr>
              <w:t>51</w:t>
            </w:r>
            <w:r>
              <w:rPr>
                <w:rFonts w:hint="eastAsia" w:ascii="仿宋_GB2312" w:hAnsi="仿宋" w:eastAsia="仿宋_GB2312"/>
                <w:sz w:val="21"/>
                <w:szCs w:val="21"/>
              </w:rPr>
              <w:t>/</w:t>
            </w:r>
          </w:p>
          <w:p w14:paraId="1CBD8122">
            <w:pPr>
              <w:pStyle w:val="13"/>
              <w:widowControl w:val="0"/>
              <w:rPr>
                <w:rFonts w:ascii="仿宋_GB2312" w:hAnsi="仿宋" w:eastAsia="仿宋_GB2312" w:cs="Times New Roman"/>
                <w:sz w:val="21"/>
                <w:szCs w:val="21"/>
                <w:lang w:val="en-US" w:eastAsia="zh-CN" w:bidi="ar-SA"/>
              </w:rPr>
            </w:pPr>
            <w:r>
              <w:rPr>
                <w:rFonts w:ascii="Times New Roman" w:hAnsi="Times New Roman" w:eastAsia="仿宋_GB2312"/>
                <w:sz w:val="21"/>
                <w:szCs w:val="21"/>
              </w:rPr>
              <w:t>46</w:t>
            </w:r>
            <w:r>
              <w:rPr>
                <w:rFonts w:hint="eastAsia" w:ascii="仿宋_GB2312" w:hAnsi="仿宋" w:eastAsia="仿宋_GB2312"/>
                <w:sz w:val="21"/>
                <w:szCs w:val="21"/>
              </w:rPr>
              <w:t>.</w:t>
            </w:r>
            <w:r>
              <w:rPr>
                <w:rFonts w:ascii="Times New Roman" w:hAnsi="Times New Roman" w:eastAsia="仿宋_GB2312"/>
                <w:sz w:val="21"/>
                <w:szCs w:val="21"/>
              </w:rPr>
              <w:t>73</w:t>
            </w:r>
          </w:p>
        </w:tc>
        <w:tc>
          <w:tcPr>
            <w:tcW w:w="777" w:type="pct"/>
            <w:vAlign w:val="center"/>
          </w:tcPr>
          <w:p w14:paraId="4019C9E9">
            <w:pPr>
              <w:pStyle w:val="13"/>
              <w:widowControl w:val="0"/>
              <w:rPr>
                <w:rFonts w:ascii="仿宋_GB2312" w:hAnsi="仿宋" w:eastAsia="仿宋_GB2312"/>
                <w:sz w:val="21"/>
                <w:szCs w:val="21"/>
              </w:rPr>
            </w:pPr>
            <w:r>
              <w:rPr>
                <w:rFonts w:ascii="Times New Roman" w:hAnsi="Times New Roman" w:eastAsia="仿宋_GB2312"/>
                <w:sz w:val="21"/>
                <w:szCs w:val="21"/>
              </w:rPr>
              <w:t>31</w:t>
            </w:r>
            <w:r>
              <w:rPr>
                <w:rFonts w:hint="eastAsia" w:eastAsia="仿宋_GB2312"/>
                <w:sz w:val="21"/>
                <w:szCs w:val="21"/>
                <w:lang w:val="en-US" w:eastAsia="zh-CN"/>
              </w:rPr>
              <w:t>2</w:t>
            </w:r>
            <w:r>
              <w:rPr>
                <w:rFonts w:hint="eastAsia" w:ascii="仿宋_GB2312" w:hAnsi="仿宋" w:eastAsia="仿宋_GB2312"/>
                <w:sz w:val="21"/>
                <w:szCs w:val="21"/>
              </w:rPr>
              <w:t>.</w:t>
            </w:r>
            <w:r>
              <w:rPr>
                <w:rFonts w:hint="eastAsia" w:eastAsia="仿宋_GB2312"/>
                <w:sz w:val="21"/>
                <w:szCs w:val="21"/>
                <w:lang w:val="en-US" w:eastAsia="zh-CN"/>
              </w:rPr>
              <w:t>2</w:t>
            </w:r>
            <w:r>
              <w:rPr>
                <w:rFonts w:hint="eastAsia" w:ascii="仿宋_GB2312" w:hAnsi="仿宋" w:eastAsia="仿宋_GB2312"/>
                <w:sz w:val="21"/>
                <w:szCs w:val="21"/>
              </w:rPr>
              <w:t>/</w:t>
            </w:r>
          </w:p>
          <w:p w14:paraId="6B2F52E3">
            <w:pPr>
              <w:pStyle w:val="13"/>
              <w:widowControl w:val="0"/>
              <w:rPr>
                <w:rFonts w:ascii="仿宋_GB2312" w:hAnsi="仿宋" w:eastAsia="仿宋_GB2312"/>
                <w:sz w:val="21"/>
                <w:szCs w:val="21"/>
              </w:rPr>
            </w:pPr>
            <w:r>
              <w:rPr>
                <w:rFonts w:ascii="Times New Roman" w:hAnsi="Times New Roman" w:eastAsia="仿宋_GB2312"/>
                <w:sz w:val="21"/>
                <w:szCs w:val="21"/>
              </w:rPr>
              <w:t>46</w:t>
            </w:r>
            <w:r>
              <w:rPr>
                <w:rFonts w:hint="eastAsia" w:ascii="仿宋_GB2312" w:hAnsi="仿宋" w:eastAsia="仿宋_GB2312"/>
                <w:sz w:val="21"/>
                <w:szCs w:val="21"/>
              </w:rPr>
              <w:t>.</w:t>
            </w:r>
            <w:r>
              <w:rPr>
                <w:rFonts w:hint="eastAsia" w:eastAsia="仿宋_GB2312"/>
                <w:sz w:val="21"/>
                <w:szCs w:val="21"/>
                <w:lang w:val="en-US" w:eastAsia="zh-CN"/>
              </w:rPr>
              <w:t>8</w:t>
            </w:r>
            <w:r>
              <w:rPr>
                <w:rFonts w:ascii="Times New Roman" w:hAnsi="Times New Roman" w:eastAsia="仿宋_GB2312"/>
                <w:sz w:val="21"/>
                <w:szCs w:val="21"/>
              </w:rPr>
              <w:t>3</w:t>
            </w:r>
          </w:p>
        </w:tc>
        <w:tc>
          <w:tcPr>
            <w:tcW w:w="464" w:type="pct"/>
            <w:vAlign w:val="center"/>
          </w:tcPr>
          <w:p w14:paraId="118BC382">
            <w:pPr>
              <w:pStyle w:val="13"/>
              <w:widowControl w:val="0"/>
              <w:rPr>
                <w:rFonts w:ascii="仿宋_GB2312" w:hAnsi="仿宋" w:eastAsia="仿宋_GB2312"/>
                <w:sz w:val="21"/>
                <w:szCs w:val="21"/>
              </w:rPr>
            </w:pPr>
            <w:r>
              <w:rPr>
                <w:rFonts w:hint="eastAsia" w:ascii="仿宋_GB2312" w:hAnsi="仿宋" w:eastAsia="仿宋_GB2312"/>
                <w:sz w:val="21"/>
                <w:szCs w:val="21"/>
              </w:rPr>
              <w:t>约束性</w:t>
            </w:r>
          </w:p>
        </w:tc>
        <w:tc>
          <w:tcPr>
            <w:tcW w:w="654" w:type="pct"/>
            <w:vAlign w:val="center"/>
          </w:tcPr>
          <w:p w14:paraId="39D7FB37">
            <w:pPr>
              <w:pStyle w:val="13"/>
              <w:widowControl w:val="0"/>
              <w:rPr>
                <w:rFonts w:ascii="仿宋_GB2312" w:hAnsi="仿宋" w:eastAsia="仿宋_GB2312"/>
                <w:sz w:val="21"/>
                <w:szCs w:val="21"/>
              </w:rPr>
            </w:pPr>
            <w:r>
              <w:rPr>
                <w:rFonts w:hint="eastAsia" w:ascii="仿宋_GB2312" w:hAnsi="仿宋" w:eastAsia="仿宋_GB2312"/>
                <w:sz w:val="21"/>
                <w:szCs w:val="21"/>
              </w:rPr>
              <w:t>全域</w:t>
            </w:r>
          </w:p>
        </w:tc>
      </w:tr>
      <w:tr w14:paraId="6F99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363" w:type="pct"/>
            <w:vAlign w:val="center"/>
          </w:tcPr>
          <w:p w14:paraId="0B508A16">
            <w:pPr>
              <w:pStyle w:val="13"/>
              <w:widowControl w:val="0"/>
              <w:rPr>
                <w:rFonts w:ascii="Times New Roman" w:hAnsi="Times New Roman" w:eastAsia="仿宋_GB2312"/>
                <w:sz w:val="21"/>
                <w:szCs w:val="21"/>
              </w:rPr>
            </w:pPr>
            <w:r>
              <w:rPr>
                <w:rFonts w:ascii="Times New Roman" w:hAnsi="Times New Roman" w:eastAsia="仿宋_GB2312"/>
                <w:sz w:val="21"/>
                <w:szCs w:val="21"/>
              </w:rPr>
              <w:t>3</w:t>
            </w:r>
          </w:p>
        </w:tc>
        <w:tc>
          <w:tcPr>
            <w:tcW w:w="2060" w:type="pct"/>
            <w:vAlign w:val="center"/>
          </w:tcPr>
          <w:p w14:paraId="2BCE34BA">
            <w:pPr>
              <w:pStyle w:val="13"/>
              <w:widowControl w:val="0"/>
              <w:rPr>
                <w:rFonts w:ascii="仿宋_GB2312" w:hAnsi="仿宋" w:eastAsia="仿宋_GB2312"/>
                <w:sz w:val="21"/>
                <w:szCs w:val="21"/>
              </w:rPr>
            </w:pPr>
            <w:r>
              <w:rPr>
                <w:rFonts w:hint="eastAsia" w:ascii="仿宋_GB2312" w:hAnsi="仿宋" w:eastAsia="仿宋_GB2312"/>
                <w:sz w:val="21"/>
                <w:szCs w:val="21"/>
              </w:rPr>
              <w:t>生态保护红线面积（平方公里）</w:t>
            </w:r>
          </w:p>
        </w:tc>
        <w:tc>
          <w:tcPr>
            <w:tcW w:w="679" w:type="pct"/>
            <w:shd w:val="clear" w:color="auto" w:fill="auto"/>
            <w:vAlign w:val="center"/>
          </w:tcPr>
          <w:p w14:paraId="20C98908">
            <w:pPr>
              <w:pStyle w:val="13"/>
              <w:widowControl w:val="0"/>
              <w:rPr>
                <w:rFonts w:ascii="仿宋_GB2312" w:hAnsi="仿宋" w:eastAsia="仿宋_GB2312" w:cs="Times New Roman"/>
                <w:sz w:val="21"/>
                <w:szCs w:val="21"/>
                <w:lang w:val="en-US" w:eastAsia="zh-CN" w:bidi="ar-SA"/>
              </w:rPr>
            </w:pPr>
            <w:r>
              <w:rPr>
                <w:rFonts w:ascii="Times New Roman" w:hAnsi="Times New Roman" w:eastAsia="仿宋_GB2312"/>
                <w:sz w:val="21"/>
                <w:szCs w:val="21"/>
              </w:rPr>
              <w:t>9202</w:t>
            </w:r>
            <w:r>
              <w:rPr>
                <w:rFonts w:hint="eastAsia" w:ascii="仿宋_GB2312" w:hAnsi="仿宋" w:eastAsia="仿宋_GB2312"/>
                <w:sz w:val="21"/>
                <w:szCs w:val="21"/>
              </w:rPr>
              <w:t>.</w:t>
            </w:r>
            <w:r>
              <w:rPr>
                <w:rFonts w:ascii="Times New Roman" w:hAnsi="Times New Roman" w:eastAsia="仿宋_GB2312"/>
                <w:sz w:val="21"/>
                <w:szCs w:val="21"/>
              </w:rPr>
              <w:t>12</w:t>
            </w:r>
          </w:p>
        </w:tc>
        <w:tc>
          <w:tcPr>
            <w:tcW w:w="777" w:type="pct"/>
            <w:vAlign w:val="center"/>
          </w:tcPr>
          <w:p w14:paraId="40DE270E">
            <w:pPr>
              <w:pStyle w:val="13"/>
              <w:widowControl w:val="0"/>
              <w:rPr>
                <w:rFonts w:ascii="仿宋_GB2312" w:hAnsi="仿宋" w:eastAsia="仿宋_GB2312"/>
                <w:sz w:val="21"/>
                <w:szCs w:val="21"/>
              </w:rPr>
            </w:pPr>
            <w:r>
              <w:rPr>
                <w:rFonts w:ascii="Times New Roman" w:hAnsi="Times New Roman" w:eastAsia="仿宋_GB2312"/>
                <w:sz w:val="21"/>
                <w:szCs w:val="21"/>
              </w:rPr>
              <w:t>92</w:t>
            </w:r>
            <w:r>
              <w:rPr>
                <w:rFonts w:hint="eastAsia" w:eastAsia="仿宋_GB2312"/>
                <w:sz w:val="21"/>
                <w:szCs w:val="21"/>
                <w:lang w:val="en-US" w:eastAsia="zh-CN"/>
              </w:rPr>
              <w:t>1</w:t>
            </w:r>
            <w:r>
              <w:rPr>
                <w:rFonts w:ascii="Times New Roman" w:hAnsi="Times New Roman" w:eastAsia="仿宋_GB2312"/>
                <w:sz w:val="21"/>
                <w:szCs w:val="21"/>
              </w:rPr>
              <w:t>2</w:t>
            </w:r>
            <w:r>
              <w:rPr>
                <w:rFonts w:hint="eastAsia" w:ascii="仿宋_GB2312" w:hAnsi="仿宋" w:eastAsia="仿宋_GB2312"/>
                <w:sz w:val="21"/>
                <w:szCs w:val="21"/>
              </w:rPr>
              <w:t>.</w:t>
            </w:r>
            <w:r>
              <w:rPr>
                <w:rFonts w:ascii="Times New Roman" w:hAnsi="Times New Roman" w:eastAsia="仿宋_GB2312"/>
                <w:sz w:val="21"/>
                <w:szCs w:val="21"/>
              </w:rPr>
              <w:t>12</w:t>
            </w:r>
          </w:p>
        </w:tc>
        <w:tc>
          <w:tcPr>
            <w:tcW w:w="464" w:type="pct"/>
            <w:vAlign w:val="center"/>
          </w:tcPr>
          <w:p w14:paraId="258D1F93">
            <w:pPr>
              <w:pStyle w:val="13"/>
              <w:widowControl w:val="0"/>
              <w:rPr>
                <w:rFonts w:ascii="仿宋_GB2312" w:hAnsi="仿宋" w:eastAsia="仿宋_GB2312"/>
                <w:sz w:val="21"/>
                <w:szCs w:val="21"/>
              </w:rPr>
            </w:pPr>
            <w:r>
              <w:rPr>
                <w:rFonts w:hint="eastAsia" w:ascii="仿宋_GB2312" w:hAnsi="仿宋" w:eastAsia="仿宋_GB2312"/>
                <w:sz w:val="21"/>
                <w:szCs w:val="21"/>
              </w:rPr>
              <w:t>约束性</w:t>
            </w:r>
          </w:p>
        </w:tc>
        <w:tc>
          <w:tcPr>
            <w:tcW w:w="654" w:type="pct"/>
            <w:vAlign w:val="center"/>
          </w:tcPr>
          <w:p w14:paraId="32011BED">
            <w:pPr>
              <w:pStyle w:val="13"/>
              <w:widowControl w:val="0"/>
              <w:rPr>
                <w:rFonts w:ascii="仿宋_GB2312" w:hAnsi="仿宋" w:eastAsia="仿宋_GB2312"/>
                <w:sz w:val="21"/>
                <w:szCs w:val="21"/>
              </w:rPr>
            </w:pPr>
            <w:r>
              <w:rPr>
                <w:rFonts w:hint="eastAsia" w:ascii="仿宋_GB2312" w:hAnsi="仿宋" w:eastAsia="仿宋_GB2312"/>
                <w:sz w:val="21"/>
                <w:szCs w:val="21"/>
              </w:rPr>
              <w:t>全域</w:t>
            </w:r>
          </w:p>
        </w:tc>
      </w:tr>
      <w:tr w14:paraId="68260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363" w:type="pct"/>
            <w:vAlign w:val="center"/>
          </w:tcPr>
          <w:p w14:paraId="54C5E553">
            <w:pPr>
              <w:pStyle w:val="13"/>
              <w:widowControl w:val="0"/>
              <w:rPr>
                <w:rFonts w:ascii="Times New Roman" w:hAnsi="Times New Roman" w:eastAsia="仿宋_GB2312"/>
                <w:sz w:val="21"/>
                <w:szCs w:val="21"/>
              </w:rPr>
            </w:pPr>
            <w:r>
              <w:rPr>
                <w:rFonts w:ascii="Times New Roman" w:hAnsi="Times New Roman" w:eastAsia="仿宋_GB2312"/>
                <w:sz w:val="21"/>
                <w:szCs w:val="21"/>
              </w:rPr>
              <w:t>4</w:t>
            </w:r>
          </w:p>
        </w:tc>
        <w:tc>
          <w:tcPr>
            <w:tcW w:w="2060" w:type="pct"/>
            <w:shd w:val="clear" w:color="auto" w:fill="auto"/>
            <w:vAlign w:val="center"/>
          </w:tcPr>
          <w:p w14:paraId="46FB8DE0">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自然保护地陆域面积占陆域国土面积比例（%）</w:t>
            </w:r>
          </w:p>
        </w:tc>
        <w:tc>
          <w:tcPr>
            <w:tcW w:w="679" w:type="pct"/>
            <w:shd w:val="clear" w:color="auto" w:fill="auto"/>
            <w:vAlign w:val="center"/>
          </w:tcPr>
          <w:p w14:paraId="3B7E935B">
            <w:pPr>
              <w:pStyle w:val="13"/>
              <w:widowControl w:val="0"/>
              <w:rPr>
                <w:rFonts w:ascii="仿宋_GB2312" w:hAnsi="仿宋" w:eastAsia="仿宋_GB2312" w:cs="Times New Roman"/>
                <w:sz w:val="21"/>
                <w:szCs w:val="21"/>
                <w:lang w:val="en-US" w:eastAsia="zh-CN" w:bidi="ar-SA"/>
              </w:rPr>
            </w:pPr>
            <w:r>
              <w:rPr>
                <w:rFonts w:ascii="Times New Roman" w:hAnsi="Times New Roman" w:eastAsia="仿宋_GB2312"/>
                <w:sz w:val="21"/>
                <w:szCs w:val="21"/>
              </w:rPr>
              <w:t>8</w:t>
            </w:r>
            <w:r>
              <w:rPr>
                <w:rFonts w:hint="eastAsia" w:ascii="仿宋_GB2312" w:hAnsi="仿宋" w:eastAsia="仿宋_GB2312"/>
                <w:sz w:val="21"/>
                <w:szCs w:val="21"/>
              </w:rPr>
              <w:t>.</w:t>
            </w:r>
            <w:r>
              <w:rPr>
                <w:rFonts w:ascii="Times New Roman" w:hAnsi="Times New Roman" w:eastAsia="仿宋_GB2312"/>
                <w:sz w:val="21"/>
                <w:szCs w:val="21"/>
              </w:rPr>
              <w:t>90</w:t>
            </w:r>
            <w:r>
              <w:rPr>
                <w:rFonts w:hint="eastAsia" w:ascii="仿宋_GB2312" w:hAnsi="仿宋" w:eastAsia="仿宋_GB2312"/>
                <w:sz w:val="21"/>
                <w:szCs w:val="21"/>
              </w:rPr>
              <w:t>%</w:t>
            </w:r>
          </w:p>
        </w:tc>
        <w:tc>
          <w:tcPr>
            <w:tcW w:w="777" w:type="pct"/>
            <w:shd w:val="clear" w:color="auto" w:fill="auto"/>
            <w:vAlign w:val="center"/>
          </w:tcPr>
          <w:p w14:paraId="37A605A9">
            <w:pPr>
              <w:pStyle w:val="13"/>
              <w:widowControl w:val="0"/>
              <w:rPr>
                <w:rFonts w:ascii="仿宋_GB2312" w:hAnsi="仿宋" w:eastAsia="仿宋_GB2312" w:cs="Times New Roman"/>
                <w:sz w:val="21"/>
                <w:szCs w:val="21"/>
                <w:lang w:val="en-US" w:eastAsia="zh-CN" w:bidi="ar-SA"/>
              </w:rPr>
            </w:pPr>
            <w:r>
              <w:rPr>
                <w:rFonts w:ascii="Times New Roman" w:hAnsi="Times New Roman" w:eastAsia="仿宋_GB2312"/>
                <w:sz w:val="21"/>
                <w:szCs w:val="21"/>
              </w:rPr>
              <w:t>8</w:t>
            </w:r>
            <w:r>
              <w:rPr>
                <w:rFonts w:hint="eastAsia" w:ascii="仿宋_GB2312" w:hAnsi="仿宋" w:eastAsia="仿宋_GB2312"/>
                <w:sz w:val="21"/>
                <w:szCs w:val="21"/>
              </w:rPr>
              <w:t>.</w:t>
            </w:r>
            <w:r>
              <w:rPr>
                <w:rFonts w:ascii="Times New Roman" w:hAnsi="Times New Roman" w:eastAsia="仿宋_GB2312"/>
                <w:sz w:val="21"/>
                <w:szCs w:val="21"/>
              </w:rPr>
              <w:t>90</w:t>
            </w:r>
            <w:r>
              <w:rPr>
                <w:rFonts w:hint="eastAsia" w:ascii="仿宋_GB2312" w:hAnsi="仿宋" w:eastAsia="仿宋_GB2312"/>
                <w:sz w:val="21"/>
                <w:szCs w:val="21"/>
              </w:rPr>
              <w:t>%</w:t>
            </w:r>
          </w:p>
        </w:tc>
        <w:tc>
          <w:tcPr>
            <w:tcW w:w="464" w:type="pct"/>
            <w:shd w:val="clear" w:color="auto" w:fill="auto"/>
            <w:vAlign w:val="center"/>
          </w:tcPr>
          <w:p w14:paraId="7733EB0D">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预期性</w:t>
            </w:r>
          </w:p>
        </w:tc>
        <w:tc>
          <w:tcPr>
            <w:tcW w:w="654" w:type="pct"/>
            <w:shd w:val="clear" w:color="auto" w:fill="auto"/>
            <w:vAlign w:val="center"/>
          </w:tcPr>
          <w:p w14:paraId="1DCD4D95">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全域</w:t>
            </w:r>
          </w:p>
        </w:tc>
      </w:tr>
      <w:tr w14:paraId="78EEE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363" w:type="pct"/>
            <w:vAlign w:val="center"/>
          </w:tcPr>
          <w:p w14:paraId="43CE2C1B">
            <w:pPr>
              <w:pStyle w:val="13"/>
              <w:widowControl w:val="0"/>
              <w:rPr>
                <w:rFonts w:ascii="Times New Roman" w:hAnsi="Times New Roman" w:eastAsia="仿宋_GB2312"/>
                <w:sz w:val="21"/>
                <w:szCs w:val="21"/>
              </w:rPr>
            </w:pPr>
            <w:r>
              <w:rPr>
                <w:rFonts w:ascii="Times New Roman" w:hAnsi="Times New Roman" w:eastAsia="仿宋_GB2312"/>
                <w:sz w:val="21"/>
                <w:szCs w:val="21"/>
              </w:rPr>
              <w:t>5</w:t>
            </w:r>
          </w:p>
        </w:tc>
        <w:tc>
          <w:tcPr>
            <w:tcW w:w="2060" w:type="pct"/>
            <w:shd w:val="clear" w:color="auto" w:fill="auto"/>
            <w:vAlign w:val="center"/>
          </w:tcPr>
          <w:p w14:paraId="577EDD27">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用水总量（亿立方米）</w:t>
            </w:r>
          </w:p>
        </w:tc>
        <w:tc>
          <w:tcPr>
            <w:tcW w:w="679" w:type="pct"/>
            <w:shd w:val="clear" w:color="auto" w:fill="auto"/>
            <w:vAlign w:val="center"/>
          </w:tcPr>
          <w:p w14:paraId="38F6F6BD">
            <w:pPr>
              <w:pStyle w:val="13"/>
              <w:widowControl w:val="0"/>
              <w:rPr>
                <w:rFonts w:hint="eastAsia" w:ascii="仿宋_GB2312" w:hAnsi="仿宋" w:eastAsia="仿宋_GB2312" w:cs="Times New Roman"/>
                <w:sz w:val="21"/>
                <w:szCs w:val="21"/>
                <w:lang w:val="en-US" w:eastAsia="zh-CN" w:bidi="ar-SA"/>
              </w:rPr>
            </w:pPr>
            <w:r>
              <w:rPr>
                <w:rFonts w:ascii="Times New Roman" w:hAnsi="Times New Roman" w:eastAsia="仿宋_GB2312"/>
                <w:sz w:val="21"/>
                <w:szCs w:val="21"/>
              </w:rPr>
              <w:t>4</w:t>
            </w:r>
            <w:r>
              <w:rPr>
                <w:rFonts w:hint="eastAsia" w:ascii="仿宋_GB2312" w:hAnsi="仿宋" w:eastAsia="仿宋_GB2312"/>
                <w:sz w:val="21"/>
                <w:szCs w:val="21"/>
              </w:rPr>
              <w:t>.</w:t>
            </w:r>
            <w:r>
              <w:rPr>
                <w:rFonts w:ascii="Times New Roman" w:hAnsi="Times New Roman" w:eastAsia="仿宋_GB2312"/>
                <w:sz w:val="21"/>
                <w:szCs w:val="21"/>
              </w:rPr>
              <w:t>2</w:t>
            </w:r>
            <w:r>
              <w:rPr>
                <w:rFonts w:hint="eastAsia" w:eastAsia="仿宋_GB2312"/>
                <w:sz w:val="21"/>
                <w:szCs w:val="21"/>
                <w:lang w:val="en-US" w:eastAsia="zh-CN"/>
              </w:rPr>
              <w:t>5</w:t>
            </w:r>
          </w:p>
        </w:tc>
        <w:tc>
          <w:tcPr>
            <w:tcW w:w="777" w:type="pct"/>
            <w:shd w:val="clear" w:color="auto" w:fill="auto"/>
            <w:vAlign w:val="center"/>
          </w:tcPr>
          <w:p w14:paraId="29E087AE">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控制在自治区下达指标内</w:t>
            </w:r>
          </w:p>
        </w:tc>
        <w:tc>
          <w:tcPr>
            <w:tcW w:w="464" w:type="pct"/>
            <w:shd w:val="clear" w:color="auto" w:fill="auto"/>
            <w:vAlign w:val="center"/>
          </w:tcPr>
          <w:p w14:paraId="25C1D715">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约束性</w:t>
            </w:r>
          </w:p>
        </w:tc>
        <w:tc>
          <w:tcPr>
            <w:tcW w:w="654" w:type="pct"/>
            <w:shd w:val="clear" w:color="auto" w:fill="auto"/>
            <w:vAlign w:val="center"/>
          </w:tcPr>
          <w:p w14:paraId="1865154D">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全域</w:t>
            </w:r>
          </w:p>
        </w:tc>
      </w:tr>
      <w:tr w14:paraId="03C8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363" w:type="pct"/>
            <w:vAlign w:val="center"/>
          </w:tcPr>
          <w:p w14:paraId="41AD2C91">
            <w:pPr>
              <w:pStyle w:val="13"/>
              <w:widowControl w:val="0"/>
              <w:rPr>
                <w:rFonts w:ascii="Times New Roman" w:hAnsi="Times New Roman" w:eastAsia="仿宋_GB2312"/>
                <w:sz w:val="21"/>
                <w:szCs w:val="21"/>
              </w:rPr>
            </w:pPr>
            <w:r>
              <w:rPr>
                <w:rFonts w:ascii="Times New Roman" w:hAnsi="Times New Roman" w:eastAsia="仿宋_GB2312"/>
                <w:sz w:val="21"/>
                <w:szCs w:val="21"/>
              </w:rPr>
              <w:t>6</w:t>
            </w:r>
          </w:p>
        </w:tc>
        <w:tc>
          <w:tcPr>
            <w:tcW w:w="2060" w:type="pct"/>
            <w:shd w:val="clear" w:color="auto" w:fill="auto"/>
            <w:vAlign w:val="center"/>
          </w:tcPr>
          <w:p w14:paraId="2B9394B6">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水域空间保有量（平方公里）</w:t>
            </w:r>
          </w:p>
        </w:tc>
        <w:tc>
          <w:tcPr>
            <w:tcW w:w="679" w:type="pct"/>
            <w:shd w:val="clear" w:color="auto" w:fill="auto"/>
            <w:vAlign w:val="center"/>
          </w:tcPr>
          <w:p w14:paraId="57BCE262">
            <w:pPr>
              <w:pStyle w:val="13"/>
              <w:widowControl w:val="0"/>
              <w:rPr>
                <w:rFonts w:ascii="仿宋_GB2312" w:hAnsi="仿宋" w:eastAsia="仿宋_GB2312" w:cs="Times New Roman"/>
                <w:sz w:val="21"/>
                <w:szCs w:val="21"/>
                <w:lang w:val="en-US" w:eastAsia="zh-CN" w:bidi="ar-SA"/>
              </w:rPr>
            </w:pPr>
            <w:r>
              <w:rPr>
                <w:rFonts w:hint="eastAsia" w:ascii="Times New Roman" w:hAnsi="Times New Roman" w:eastAsia="仿宋_GB2312"/>
                <w:sz w:val="21"/>
                <w:szCs w:val="21"/>
              </w:rPr>
              <w:t>1916.65</w:t>
            </w:r>
          </w:p>
        </w:tc>
        <w:tc>
          <w:tcPr>
            <w:tcW w:w="777" w:type="pct"/>
            <w:shd w:val="clear" w:color="auto" w:fill="auto"/>
            <w:vAlign w:val="center"/>
          </w:tcPr>
          <w:p w14:paraId="7E73B988">
            <w:pPr>
              <w:pStyle w:val="13"/>
              <w:widowControl w:val="0"/>
              <w:rPr>
                <w:rFonts w:ascii="仿宋_GB2312" w:hAnsi="仿宋" w:eastAsia="仿宋_GB2312" w:cs="Times New Roman"/>
                <w:sz w:val="21"/>
                <w:szCs w:val="21"/>
                <w:lang w:val="en-US" w:eastAsia="zh-CN" w:bidi="ar-SA"/>
              </w:rPr>
            </w:pPr>
            <w:r>
              <w:rPr>
                <w:rFonts w:hint="eastAsia" w:eastAsia="仿宋_GB2312"/>
                <w:sz w:val="21"/>
                <w:szCs w:val="21"/>
                <w:lang w:val="en-US" w:eastAsia="zh-CN"/>
              </w:rPr>
              <w:t>20</w:t>
            </w:r>
            <w:r>
              <w:rPr>
                <w:rFonts w:hint="eastAsia" w:ascii="Times New Roman" w:hAnsi="Times New Roman" w:eastAsia="仿宋_GB2312"/>
                <w:sz w:val="21"/>
                <w:szCs w:val="21"/>
              </w:rPr>
              <w:t>16.65</w:t>
            </w:r>
          </w:p>
        </w:tc>
        <w:tc>
          <w:tcPr>
            <w:tcW w:w="464" w:type="pct"/>
            <w:shd w:val="clear" w:color="auto" w:fill="auto"/>
            <w:vAlign w:val="center"/>
          </w:tcPr>
          <w:p w14:paraId="38A18321">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预期性</w:t>
            </w:r>
          </w:p>
        </w:tc>
        <w:tc>
          <w:tcPr>
            <w:tcW w:w="654" w:type="pct"/>
            <w:shd w:val="clear" w:color="auto" w:fill="auto"/>
            <w:vAlign w:val="center"/>
          </w:tcPr>
          <w:p w14:paraId="2730520C">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全域</w:t>
            </w:r>
          </w:p>
        </w:tc>
      </w:tr>
      <w:tr w14:paraId="5BCF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363" w:type="pct"/>
            <w:vAlign w:val="center"/>
          </w:tcPr>
          <w:p w14:paraId="1667BB2C">
            <w:pPr>
              <w:pStyle w:val="13"/>
              <w:widowControl w:val="0"/>
              <w:rPr>
                <w:rFonts w:ascii="Times New Roman" w:hAnsi="Times New Roman" w:eastAsia="仿宋_GB2312"/>
                <w:sz w:val="21"/>
                <w:szCs w:val="21"/>
              </w:rPr>
            </w:pPr>
            <w:r>
              <w:rPr>
                <w:rFonts w:ascii="Times New Roman" w:hAnsi="Times New Roman" w:eastAsia="仿宋_GB2312"/>
                <w:sz w:val="21"/>
                <w:szCs w:val="21"/>
              </w:rPr>
              <w:t>7</w:t>
            </w:r>
          </w:p>
        </w:tc>
        <w:tc>
          <w:tcPr>
            <w:tcW w:w="2060" w:type="pct"/>
            <w:shd w:val="clear" w:color="auto" w:fill="auto"/>
            <w:vAlign w:val="center"/>
          </w:tcPr>
          <w:p w14:paraId="24843B5C">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森林覆盖率（%）</w:t>
            </w:r>
          </w:p>
        </w:tc>
        <w:tc>
          <w:tcPr>
            <w:tcW w:w="679" w:type="pct"/>
            <w:shd w:val="clear" w:color="auto" w:fill="auto"/>
            <w:vAlign w:val="center"/>
          </w:tcPr>
          <w:p w14:paraId="7FE610FC">
            <w:pPr>
              <w:pStyle w:val="13"/>
              <w:widowControl w:val="0"/>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2.5</w:t>
            </w:r>
          </w:p>
        </w:tc>
        <w:tc>
          <w:tcPr>
            <w:tcW w:w="777" w:type="pct"/>
            <w:shd w:val="clear" w:color="auto" w:fill="auto"/>
            <w:vAlign w:val="center"/>
          </w:tcPr>
          <w:p w14:paraId="3944526A">
            <w:pPr>
              <w:pStyle w:val="13"/>
              <w:widowControl w:val="0"/>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2.51</w:t>
            </w:r>
          </w:p>
        </w:tc>
        <w:tc>
          <w:tcPr>
            <w:tcW w:w="464" w:type="pct"/>
            <w:shd w:val="clear" w:color="auto" w:fill="auto"/>
            <w:vAlign w:val="center"/>
          </w:tcPr>
          <w:p w14:paraId="0D1A7B56">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预期性</w:t>
            </w:r>
          </w:p>
        </w:tc>
        <w:tc>
          <w:tcPr>
            <w:tcW w:w="654" w:type="pct"/>
            <w:shd w:val="clear" w:color="auto" w:fill="auto"/>
            <w:vAlign w:val="center"/>
          </w:tcPr>
          <w:p w14:paraId="4BFA4904">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全域</w:t>
            </w:r>
          </w:p>
        </w:tc>
      </w:tr>
      <w:tr w14:paraId="44A2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363" w:type="pct"/>
            <w:vAlign w:val="center"/>
          </w:tcPr>
          <w:p w14:paraId="53305588">
            <w:pPr>
              <w:pStyle w:val="13"/>
              <w:widowControl w:val="0"/>
              <w:rPr>
                <w:rFonts w:ascii="Times New Roman" w:hAnsi="Times New Roman" w:eastAsia="仿宋_GB2312"/>
                <w:sz w:val="21"/>
                <w:szCs w:val="21"/>
              </w:rPr>
            </w:pPr>
            <w:r>
              <w:rPr>
                <w:rFonts w:ascii="Times New Roman" w:hAnsi="Times New Roman" w:eastAsia="仿宋_GB2312"/>
                <w:sz w:val="21"/>
                <w:szCs w:val="21"/>
              </w:rPr>
              <w:t>8</w:t>
            </w:r>
          </w:p>
        </w:tc>
        <w:tc>
          <w:tcPr>
            <w:tcW w:w="2060" w:type="pct"/>
            <w:shd w:val="clear" w:color="auto" w:fill="auto"/>
            <w:vAlign w:val="center"/>
          </w:tcPr>
          <w:p w14:paraId="004E211F">
            <w:pPr>
              <w:pStyle w:val="13"/>
              <w:widowControl w:val="0"/>
              <w:rPr>
                <w:rFonts w:ascii="Times New Roman" w:hAnsi="Times New Roman" w:eastAsia="仿宋_GB2312" w:cs="Times New Roman"/>
                <w:sz w:val="21"/>
                <w:szCs w:val="21"/>
                <w:lang w:val="en-US" w:eastAsia="zh-CN" w:bidi="ar-SA"/>
              </w:rPr>
            </w:pPr>
            <w:r>
              <w:rPr>
                <w:rFonts w:hint="eastAsia" w:ascii="Times New Roman" w:hAnsi="Times New Roman" w:eastAsia="仿宋_GB2312"/>
                <w:sz w:val="21"/>
                <w:szCs w:val="21"/>
              </w:rPr>
              <w:t>草原综合植被覆盖度（%）</w:t>
            </w:r>
          </w:p>
        </w:tc>
        <w:tc>
          <w:tcPr>
            <w:tcW w:w="679" w:type="pct"/>
            <w:shd w:val="clear" w:color="auto" w:fill="auto"/>
            <w:vAlign w:val="center"/>
          </w:tcPr>
          <w:p w14:paraId="50594627">
            <w:pPr>
              <w:pStyle w:val="13"/>
              <w:widowControl w:val="0"/>
              <w:rPr>
                <w:rFonts w:ascii="Times New Roman" w:hAnsi="Times New Roman" w:eastAsia="仿宋_GB2312" w:cs="Times New Roman"/>
                <w:sz w:val="21"/>
                <w:szCs w:val="21"/>
                <w:lang w:val="en-US" w:eastAsia="zh-CN" w:bidi="ar-SA"/>
              </w:rPr>
            </w:pPr>
            <w:r>
              <w:rPr>
                <w:rFonts w:hint="eastAsia" w:ascii="Times New Roman" w:hAnsi="Times New Roman" w:eastAsia="仿宋_GB2312"/>
                <w:sz w:val="21"/>
                <w:szCs w:val="21"/>
              </w:rPr>
              <w:t>3</w:t>
            </w:r>
            <w:r>
              <w:rPr>
                <w:rFonts w:ascii="Times New Roman" w:hAnsi="Times New Roman" w:eastAsia="仿宋_GB2312"/>
                <w:sz w:val="21"/>
                <w:szCs w:val="21"/>
              </w:rPr>
              <w:t>6</w:t>
            </w:r>
            <w:r>
              <w:rPr>
                <w:rFonts w:hint="eastAsia" w:ascii="Times New Roman" w:hAnsi="Times New Roman" w:eastAsia="仿宋_GB2312"/>
                <w:sz w:val="21"/>
                <w:szCs w:val="21"/>
              </w:rPr>
              <w:t>.</w:t>
            </w:r>
            <w:r>
              <w:rPr>
                <w:rFonts w:ascii="Times New Roman" w:hAnsi="Times New Roman" w:eastAsia="仿宋_GB2312"/>
                <w:sz w:val="21"/>
                <w:szCs w:val="21"/>
              </w:rPr>
              <w:t>07</w:t>
            </w:r>
          </w:p>
        </w:tc>
        <w:tc>
          <w:tcPr>
            <w:tcW w:w="777" w:type="pct"/>
            <w:shd w:val="clear" w:color="auto" w:fill="auto"/>
            <w:vAlign w:val="center"/>
          </w:tcPr>
          <w:p w14:paraId="70126C65">
            <w:pPr>
              <w:pStyle w:val="13"/>
              <w:widowControl w:val="0"/>
              <w:rPr>
                <w:rFonts w:ascii="Times New Roman" w:hAnsi="Times New Roman" w:eastAsia="仿宋_GB2312" w:cs="Times New Roman"/>
                <w:sz w:val="21"/>
                <w:szCs w:val="21"/>
                <w:lang w:val="en-US" w:eastAsia="zh-CN" w:bidi="ar-SA"/>
              </w:rPr>
            </w:pPr>
            <w:r>
              <w:rPr>
                <w:rFonts w:hint="eastAsia" w:ascii="Times New Roman" w:hAnsi="Times New Roman" w:eastAsia="仿宋_GB2312"/>
                <w:sz w:val="21"/>
                <w:szCs w:val="21"/>
              </w:rPr>
              <w:t>3</w:t>
            </w:r>
            <w:r>
              <w:rPr>
                <w:rFonts w:ascii="Times New Roman" w:hAnsi="Times New Roman" w:eastAsia="仿宋_GB2312"/>
                <w:sz w:val="21"/>
                <w:szCs w:val="21"/>
              </w:rPr>
              <w:t>7</w:t>
            </w:r>
            <w:r>
              <w:rPr>
                <w:rFonts w:hint="eastAsia" w:ascii="Times New Roman" w:hAnsi="Times New Roman" w:eastAsia="仿宋_GB2312"/>
                <w:sz w:val="21"/>
                <w:szCs w:val="21"/>
              </w:rPr>
              <w:t>.</w:t>
            </w:r>
            <w:r>
              <w:rPr>
                <w:rFonts w:hint="eastAsia" w:eastAsia="仿宋_GB2312"/>
                <w:sz w:val="21"/>
                <w:szCs w:val="21"/>
                <w:lang w:val="en-US" w:eastAsia="zh-CN"/>
              </w:rPr>
              <w:t>0</w:t>
            </w:r>
            <w:r>
              <w:rPr>
                <w:rFonts w:ascii="Times New Roman" w:hAnsi="Times New Roman" w:eastAsia="仿宋_GB2312"/>
                <w:sz w:val="21"/>
                <w:szCs w:val="21"/>
              </w:rPr>
              <w:t>3</w:t>
            </w:r>
          </w:p>
        </w:tc>
        <w:tc>
          <w:tcPr>
            <w:tcW w:w="464" w:type="pct"/>
            <w:shd w:val="clear" w:color="auto" w:fill="auto"/>
            <w:vAlign w:val="center"/>
          </w:tcPr>
          <w:p w14:paraId="0DD54D4A">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预期性</w:t>
            </w:r>
          </w:p>
        </w:tc>
        <w:tc>
          <w:tcPr>
            <w:tcW w:w="654" w:type="pct"/>
            <w:shd w:val="clear" w:color="auto" w:fill="auto"/>
            <w:vAlign w:val="center"/>
          </w:tcPr>
          <w:p w14:paraId="4B02C741">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全域</w:t>
            </w:r>
          </w:p>
        </w:tc>
      </w:tr>
      <w:tr w14:paraId="27B0B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363" w:type="pct"/>
            <w:vAlign w:val="center"/>
          </w:tcPr>
          <w:p w14:paraId="392C5E6C">
            <w:pPr>
              <w:pStyle w:val="13"/>
              <w:widowControl w:val="0"/>
              <w:rPr>
                <w:rFonts w:ascii="Times New Roman" w:hAnsi="Times New Roman" w:eastAsia="仿宋_GB2312"/>
                <w:sz w:val="21"/>
                <w:szCs w:val="21"/>
              </w:rPr>
            </w:pPr>
            <w:r>
              <w:rPr>
                <w:rFonts w:ascii="Times New Roman" w:hAnsi="Times New Roman" w:eastAsia="仿宋_GB2312"/>
                <w:sz w:val="21"/>
                <w:szCs w:val="21"/>
              </w:rPr>
              <w:t>9</w:t>
            </w:r>
          </w:p>
        </w:tc>
        <w:tc>
          <w:tcPr>
            <w:tcW w:w="2060" w:type="pct"/>
            <w:shd w:val="clear" w:color="auto" w:fill="auto"/>
            <w:vAlign w:val="center"/>
          </w:tcPr>
          <w:p w14:paraId="762F36F0">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湿地保护率（%）</w:t>
            </w:r>
          </w:p>
        </w:tc>
        <w:tc>
          <w:tcPr>
            <w:tcW w:w="679" w:type="pct"/>
            <w:shd w:val="clear" w:color="auto" w:fill="auto"/>
            <w:vAlign w:val="center"/>
          </w:tcPr>
          <w:p w14:paraId="0C5B9000">
            <w:pPr>
              <w:pStyle w:val="13"/>
              <w:widowControl w:val="0"/>
              <w:rPr>
                <w:rFonts w:ascii="仿宋_GB2312" w:hAnsi="仿宋" w:eastAsia="仿宋_GB2312" w:cs="Times New Roman"/>
                <w:sz w:val="21"/>
                <w:szCs w:val="21"/>
                <w:lang w:val="en-US" w:eastAsia="zh-CN" w:bidi="ar-SA"/>
              </w:rPr>
            </w:pPr>
            <w:r>
              <w:rPr>
                <w:rFonts w:ascii="Times New Roman" w:hAnsi="Times New Roman" w:eastAsia="仿宋_GB2312"/>
                <w:sz w:val="21"/>
                <w:szCs w:val="21"/>
              </w:rPr>
              <w:t>34</w:t>
            </w:r>
            <w:r>
              <w:rPr>
                <w:rFonts w:hint="eastAsia" w:ascii="仿宋_GB2312" w:hAnsi="仿宋" w:eastAsia="仿宋_GB2312"/>
                <w:sz w:val="21"/>
                <w:szCs w:val="21"/>
              </w:rPr>
              <w:t>.</w:t>
            </w:r>
            <w:r>
              <w:rPr>
                <w:rFonts w:ascii="Times New Roman" w:hAnsi="Times New Roman" w:eastAsia="仿宋_GB2312"/>
                <w:sz w:val="21"/>
                <w:szCs w:val="21"/>
              </w:rPr>
              <w:t>56</w:t>
            </w:r>
          </w:p>
        </w:tc>
        <w:tc>
          <w:tcPr>
            <w:tcW w:w="777" w:type="pct"/>
            <w:shd w:val="clear" w:color="auto" w:fill="auto"/>
            <w:vAlign w:val="center"/>
          </w:tcPr>
          <w:p w14:paraId="0CD8C423">
            <w:pPr>
              <w:pStyle w:val="13"/>
              <w:widowControl w:val="0"/>
              <w:rPr>
                <w:rFonts w:ascii="仿宋_GB2312" w:hAnsi="仿宋" w:eastAsia="仿宋_GB2312" w:cs="Times New Roman"/>
                <w:sz w:val="21"/>
                <w:szCs w:val="21"/>
                <w:lang w:val="en-US" w:eastAsia="zh-CN" w:bidi="ar-SA"/>
              </w:rPr>
            </w:pPr>
            <w:r>
              <w:rPr>
                <w:rFonts w:ascii="Times New Roman" w:hAnsi="Times New Roman" w:eastAsia="仿宋_GB2312"/>
                <w:sz w:val="21"/>
                <w:szCs w:val="21"/>
              </w:rPr>
              <w:t>3</w:t>
            </w:r>
            <w:r>
              <w:rPr>
                <w:rFonts w:hint="eastAsia" w:eastAsia="仿宋_GB2312"/>
                <w:sz w:val="21"/>
                <w:szCs w:val="21"/>
                <w:lang w:val="en-US" w:eastAsia="zh-CN"/>
              </w:rPr>
              <w:t>5</w:t>
            </w:r>
            <w:r>
              <w:rPr>
                <w:rFonts w:hint="eastAsia" w:ascii="仿宋_GB2312" w:hAnsi="仿宋" w:eastAsia="仿宋_GB2312"/>
                <w:sz w:val="21"/>
                <w:szCs w:val="21"/>
              </w:rPr>
              <w:t>.</w:t>
            </w:r>
            <w:r>
              <w:rPr>
                <w:rFonts w:ascii="Times New Roman" w:hAnsi="Times New Roman" w:eastAsia="仿宋_GB2312"/>
                <w:sz w:val="21"/>
                <w:szCs w:val="21"/>
              </w:rPr>
              <w:t>56</w:t>
            </w:r>
          </w:p>
        </w:tc>
        <w:tc>
          <w:tcPr>
            <w:tcW w:w="464" w:type="pct"/>
            <w:shd w:val="clear" w:color="auto" w:fill="auto"/>
            <w:vAlign w:val="center"/>
          </w:tcPr>
          <w:p w14:paraId="72E921D8">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预期性</w:t>
            </w:r>
          </w:p>
        </w:tc>
        <w:tc>
          <w:tcPr>
            <w:tcW w:w="654" w:type="pct"/>
            <w:shd w:val="clear" w:color="auto" w:fill="auto"/>
            <w:vAlign w:val="center"/>
          </w:tcPr>
          <w:p w14:paraId="74C43EF8">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全域</w:t>
            </w:r>
          </w:p>
        </w:tc>
      </w:tr>
      <w:tr w14:paraId="6B09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363" w:type="pct"/>
            <w:vAlign w:val="center"/>
          </w:tcPr>
          <w:p w14:paraId="41AA16DF">
            <w:pPr>
              <w:pStyle w:val="13"/>
              <w:widowControl w:val="0"/>
              <w:rPr>
                <w:rFonts w:ascii="仿宋_GB2312" w:hAnsi="仿宋" w:eastAsia="仿宋_GB2312"/>
                <w:sz w:val="21"/>
                <w:szCs w:val="21"/>
              </w:rPr>
            </w:pPr>
            <w:r>
              <w:rPr>
                <w:rFonts w:ascii="Times New Roman" w:hAnsi="Times New Roman" w:eastAsia="仿宋_GB2312"/>
                <w:sz w:val="21"/>
                <w:szCs w:val="21"/>
              </w:rPr>
              <w:t>10</w:t>
            </w:r>
          </w:p>
        </w:tc>
        <w:tc>
          <w:tcPr>
            <w:tcW w:w="2060" w:type="pct"/>
            <w:shd w:val="clear" w:color="auto" w:fill="auto"/>
            <w:vAlign w:val="center"/>
          </w:tcPr>
          <w:p w14:paraId="353C482C">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自然和文化遗产（处）</w:t>
            </w:r>
          </w:p>
        </w:tc>
        <w:tc>
          <w:tcPr>
            <w:tcW w:w="679" w:type="pct"/>
            <w:shd w:val="clear" w:color="auto" w:fill="auto"/>
            <w:vAlign w:val="center"/>
          </w:tcPr>
          <w:p w14:paraId="64A98DAF">
            <w:pPr>
              <w:pStyle w:val="13"/>
              <w:widowControl w:val="0"/>
              <w:rPr>
                <w:rFonts w:ascii="仿宋_GB2312" w:hAnsi="仿宋" w:eastAsia="仿宋_GB2312" w:cs="Times New Roman"/>
                <w:sz w:val="21"/>
                <w:szCs w:val="21"/>
                <w:lang w:val="en-US" w:eastAsia="zh-CN" w:bidi="ar-SA"/>
              </w:rPr>
            </w:pPr>
            <w:r>
              <w:rPr>
                <w:rFonts w:ascii="Times New Roman" w:hAnsi="Times New Roman" w:eastAsia="仿宋_GB2312"/>
                <w:sz w:val="21"/>
                <w:szCs w:val="21"/>
              </w:rPr>
              <w:t>42</w:t>
            </w:r>
          </w:p>
        </w:tc>
        <w:tc>
          <w:tcPr>
            <w:tcW w:w="777" w:type="pct"/>
            <w:shd w:val="clear" w:color="auto" w:fill="auto"/>
            <w:vAlign w:val="center"/>
          </w:tcPr>
          <w:p w14:paraId="306D1841">
            <w:pPr>
              <w:pStyle w:val="13"/>
              <w:widowControl w:val="0"/>
              <w:rPr>
                <w:rFonts w:ascii="仿宋_GB2312" w:hAnsi="仿宋" w:eastAsia="仿宋_GB2312" w:cs="Times New Roman"/>
                <w:sz w:val="21"/>
                <w:szCs w:val="21"/>
                <w:lang w:val="en-US" w:eastAsia="zh-CN" w:bidi="ar-SA"/>
              </w:rPr>
            </w:pPr>
            <w:r>
              <w:rPr>
                <w:rFonts w:ascii="Times New Roman" w:hAnsi="Times New Roman" w:eastAsia="仿宋_GB2312"/>
                <w:sz w:val="21"/>
                <w:szCs w:val="21"/>
              </w:rPr>
              <w:t>42</w:t>
            </w:r>
          </w:p>
        </w:tc>
        <w:tc>
          <w:tcPr>
            <w:tcW w:w="464" w:type="pct"/>
            <w:shd w:val="clear" w:color="auto" w:fill="auto"/>
            <w:vAlign w:val="center"/>
          </w:tcPr>
          <w:p w14:paraId="644853DF">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预期性</w:t>
            </w:r>
          </w:p>
        </w:tc>
        <w:tc>
          <w:tcPr>
            <w:tcW w:w="654" w:type="pct"/>
            <w:shd w:val="clear" w:color="auto" w:fill="auto"/>
            <w:vAlign w:val="center"/>
          </w:tcPr>
          <w:p w14:paraId="45C67F2F">
            <w:pPr>
              <w:pStyle w:val="13"/>
              <w:widowControl w:val="0"/>
              <w:rPr>
                <w:rFonts w:ascii="仿宋_GB2312" w:hAnsi="仿宋" w:eastAsia="仿宋_GB2312" w:cs="Times New Roman"/>
                <w:sz w:val="21"/>
                <w:szCs w:val="21"/>
                <w:lang w:val="en-US" w:eastAsia="zh-CN" w:bidi="ar-SA"/>
              </w:rPr>
            </w:pPr>
            <w:r>
              <w:rPr>
                <w:rFonts w:hint="eastAsia" w:ascii="仿宋_GB2312" w:hAnsi="仿宋" w:eastAsia="仿宋_GB2312"/>
                <w:sz w:val="21"/>
                <w:szCs w:val="21"/>
              </w:rPr>
              <w:t>全域</w:t>
            </w:r>
          </w:p>
        </w:tc>
      </w:tr>
      <w:bookmarkEnd w:id="49"/>
      <w:bookmarkEnd w:id="50"/>
    </w:tbl>
    <w:p w14:paraId="67113862">
      <w:pPr>
        <w:bidi w:val="0"/>
        <w:rPr>
          <w:rFonts w:hint="default"/>
          <w:lang w:val="en-US" w:eastAsia="zh-CN"/>
        </w:rPr>
      </w:pPr>
    </w:p>
    <w:p w14:paraId="42261977">
      <w:pPr>
        <w:pStyle w:val="2"/>
        <w:bidi w:val="0"/>
        <w:outlineLvl w:val="9"/>
        <w:rPr>
          <w:rFonts w:hint="eastAsia"/>
          <w:lang w:val="en-US" w:eastAsia="zh-CN"/>
        </w:rPr>
        <w:sectPr>
          <w:pgSz w:w="11906" w:h="16838"/>
          <w:pgMar w:top="1247" w:right="1247" w:bottom="1247" w:left="1247" w:header="851" w:footer="992" w:gutter="0"/>
          <w:pgNumType w:fmt="decimal"/>
          <w:cols w:space="425" w:num="1"/>
          <w:docGrid w:type="lines" w:linePitch="312" w:charSpace="0"/>
        </w:sectPr>
      </w:pPr>
    </w:p>
    <w:p w14:paraId="71E6F538">
      <w:pPr>
        <w:pStyle w:val="2"/>
        <w:bidi w:val="0"/>
        <w:rPr>
          <w:rFonts w:hint="default"/>
          <w:lang w:val="en-US" w:eastAsia="zh-CN"/>
        </w:rPr>
      </w:pPr>
      <w:bookmarkStart w:id="51" w:name="_Toc23764"/>
      <w:r>
        <w:rPr>
          <w:rFonts w:hint="eastAsia"/>
          <w:lang w:val="en-US" w:eastAsia="zh-CN"/>
        </w:rPr>
        <w:t>第四章 总体布局</w:t>
      </w:r>
      <w:bookmarkEnd w:id="51"/>
    </w:p>
    <w:p w14:paraId="7D72060B">
      <w:pPr>
        <w:pStyle w:val="3"/>
        <w:bidi w:val="0"/>
        <w:rPr>
          <w:rFonts w:hint="eastAsia"/>
          <w:lang w:val="en-US" w:eastAsia="zh-CN"/>
        </w:rPr>
      </w:pPr>
      <w:bookmarkStart w:id="52" w:name="_Toc19129"/>
      <w:r>
        <w:rPr>
          <w:rFonts w:hint="eastAsia"/>
          <w:lang w:val="en-US" w:eastAsia="zh-CN"/>
        </w:rPr>
        <w:t>第一节 生态功能保护修复总体格局</w:t>
      </w:r>
      <w:bookmarkEnd w:id="52"/>
    </w:p>
    <w:p w14:paraId="1C4F9287">
      <w:pPr>
        <w:bidi w:val="0"/>
        <w:rPr>
          <w:rFonts w:hint="default"/>
          <w:lang w:val="en-US" w:eastAsia="zh-CN"/>
        </w:rPr>
      </w:pPr>
      <w:r>
        <w:rPr>
          <w:rFonts w:hint="default"/>
          <w:lang w:val="en-US" w:eastAsia="zh-CN"/>
        </w:rPr>
        <w:t>衔接</w:t>
      </w:r>
      <w:r>
        <w:rPr>
          <w:rFonts w:hint="eastAsia"/>
          <w:lang w:val="en-US" w:eastAsia="zh-CN"/>
        </w:rPr>
        <w:t>阿克陶县</w:t>
      </w:r>
      <w:r>
        <w:rPr>
          <w:rFonts w:hint="default"/>
          <w:lang w:val="en-US" w:eastAsia="zh-CN"/>
        </w:rPr>
        <w:t>国土空间生态修复规划</w:t>
      </w:r>
      <w:r>
        <w:rPr>
          <w:rFonts w:hint="eastAsia"/>
          <w:lang w:val="en-US" w:eastAsia="zh-CN"/>
        </w:rPr>
        <w:t>“一屏三核、五脉二区”的生态保护格局</w:t>
      </w:r>
      <w:r>
        <w:rPr>
          <w:rFonts w:hint="default"/>
          <w:lang w:val="en-US" w:eastAsia="zh-CN"/>
        </w:rPr>
        <w:t>，统筹考虑流域、地形地貌、生态现状等问题，优化生态、农业、城镇等功能空间布局，确定</w:t>
      </w:r>
      <w:r>
        <w:rPr>
          <w:rFonts w:hint="eastAsia"/>
          <w:lang w:val="en-US" w:eastAsia="zh-CN"/>
        </w:rPr>
        <w:t>为</w:t>
      </w:r>
      <w:r>
        <w:rPr>
          <w:rFonts w:hint="default"/>
          <w:lang w:val="en-US" w:eastAsia="zh-CN"/>
        </w:rPr>
        <w:t>全区的生态保护修复格局。</w:t>
      </w:r>
    </w:p>
    <w:p w14:paraId="258F927C">
      <w:pPr>
        <w:bidi w:val="0"/>
        <w:outlineLvl w:val="2"/>
        <w:rPr>
          <w:rFonts w:hint="default"/>
          <w:lang w:val="en-US" w:eastAsia="zh-CN"/>
        </w:rPr>
      </w:pPr>
      <w:bookmarkStart w:id="53" w:name="_Toc16670"/>
      <w:r>
        <w:rPr>
          <w:rFonts w:hint="eastAsia"/>
          <w:lang w:val="en-US" w:eastAsia="zh-CN"/>
        </w:rPr>
        <w:t>一</w:t>
      </w:r>
      <w:r>
        <w:rPr>
          <w:rFonts w:hint="default"/>
          <w:lang w:val="en-US" w:eastAsia="zh-CN"/>
        </w:rPr>
        <w:t>、“一屏”</w:t>
      </w:r>
      <w:bookmarkEnd w:id="53"/>
    </w:p>
    <w:p w14:paraId="7C384C14">
      <w:pPr>
        <w:bidi w:val="0"/>
        <w:rPr>
          <w:rFonts w:hint="default"/>
          <w:lang w:val="en-US" w:eastAsia="zh-CN"/>
        </w:rPr>
      </w:pPr>
      <w:r>
        <w:rPr>
          <w:rFonts w:hint="default"/>
          <w:lang w:val="en-US" w:eastAsia="zh-CN"/>
        </w:rPr>
        <w:t>即昆仑山生态绿脊屏障。是阿克陶生态本底最优的生态源地与屏障，以水源涵养与水土保持为重点，其是“固体水库”冰川、各类生物栖息地及多种矿产资源集中分布的地区，是维持阿克陶生态系统功能稳定的重要生态安全屏障。</w:t>
      </w:r>
    </w:p>
    <w:p w14:paraId="4F4CBB98">
      <w:pPr>
        <w:bidi w:val="0"/>
        <w:outlineLvl w:val="2"/>
        <w:rPr>
          <w:rFonts w:hint="default"/>
          <w:lang w:val="en-US" w:eastAsia="zh-CN"/>
        </w:rPr>
      </w:pPr>
      <w:bookmarkStart w:id="54" w:name="_Toc28768"/>
      <w:r>
        <w:rPr>
          <w:rFonts w:hint="eastAsia"/>
          <w:lang w:val="en-US" w:eastAsia="zh-CN"/>
        </w:rPr>
        <w:t>二</w:t>
      </w:r>
      <w:r>
        <w:rPr>
          <w:rFonts w:hint="default"/>
          <w:lang w:val="en-US" w:eastAsia="zh-CN"/>
        </w:rPr>
        <w:t>、“三核”</w:t>
      </w:r>
      <w:bookmarkEnd w:id="54"/>
    </w:p>
    <w:p w14:paraId="59BE09F5">
      <w:pPr>
        <w:bidi w:val="0"/>
        <w:rPr>
          <w:rFonts w:hint="default"/>
          <w:lang w:val="en-US" w:eastAsia="zh-CN"/>
        </w:rPr>
      </w:pPr>
      <w:r>
        <w:rPr>
          <w:rFonts w:hint="default"/>
          <w:lang w:val="en-US" w:eastAsia="zh-CN"/>
        </w:rPr>
        <w:t>即新疆帕米尔高原湿地地方级自然保护区、喀拉库勒一慕士塔格地方级风景名胜区及奥依塔克地方级风景名胜区。对三大自然保护地加强保护和管控力度，对重要野生生物栖息地、生物迁徙廊道等生物生存空间进行优先保护，全面提高湿地保护和建设水平，严控人类建设和资源开发等活动。</w:t>
      </w:r>
    </w:p>
    <w:p w14:paraId="3AFA349A">
      <w:pPr>
        <w:bidi w:val="0"/>
        <w:outlineLvl w:val="2"/>
        <w:rPr>
          <w:rFonts w:hint="default"/>
          <w:lang w:val="en-US" w:eastAsia="zh-CN"/>
        </w:rPr>
      </w:pPr>
      <w:bookmarkStart w:id="55" w:name="_Toc29494"/>
      <w:r>
        <w:rPr>
          <w:rFonts w:hint="eastAsia"/>
          <w:lang w:val="en-US" w:eastAsia="zh-CN"/>
        </w:rPr>
        <w:t>三</w:t>
      </w:r>
      <w:r>
        <w:rPr>
          <w:rFonts w:hint="default"/>
          <w:lang w:val="en-US" w:eastAsia="zh-CN"/>
        </w:rPr>
        <w:t>、“五脉”</w:t>
      </w:r>
      <w:bookmarkEnd w:id="55"/>
    </w:p>
    <w:p w14:paraId="11BA9C54">
      <w:pPr>
        <w:bidi w:val="0"/>
        <w:rPr>
          <w:rFonts w:hint="default"/>
          <w:lang w:val="en-US" w:eastAsia="zh-CN"/>
        </w:rPr>
      </w:pPr>
      <w:r>
        <w:rPr>
          <w:rFonts w:hint="default"/>
          <w:lang w:val="en-US" w:eastAsia="zh-CN"/>
        </w:rPr>
        <w:t>即盖孜河、库山河、玛尔坎苏河、叶尔羌河、依格孜牙河生态蓝脉。依托五条河流构建河流生态空间，形成核心生态绿廊，加强生态系统之间的连接、为鱼类提供生存空间，同时为动物迁徙提供通道。</w:t>
      </w:r>
    </w:p>
    <w:p w14:paraId="719F0A9A">
      <w:pPr>
        <w:bidi w:val="0"/>
        <w:outlineLvl w:val="2"/>
        <w:rPr>
          <w:rFonts w:hint="default"/>
          <w:lang w:val="en-US" w:eastAsia="zh-CN"/>
        </w:rPr>
      </w:pPr>
      <w:bookmarkStart w:id="56" w:name="_Toc8463"/>
      <w:r>
        <w:rPr>
          <w:rFonts w:hint="eastAsia"/>
          <w:lang w:val="en-US" w:eastAsia="zh-CN"/>
        </w:rPr>
        <w:t>四</w:t>
      </w:r>
      <w:r>
        <w:rPr>
          <w:rFonts w:hint="default"/>
          <w:lang w:val="en-US" w:eastAsia="zh-CN"/>
        </w:rPr>
        <w:t>、“二区”</w:t>
      </w:r>
      <w:bookmarkEnd w:id="56"/>
    </w:p>
    <w:p w14:paraId="6D698786">
      <w:pPr>
        <w:bidi w:val="0"/>
        <w:rPr>
          <w:rFonts w:hint="default"/>
          <w:lang w:val="en-US" w:eastAsia="zh-CN"/>
        </w:rPr>
      </w:pPr>
      <w:r>
        <w:rPr>
          <w:rFonts w:hint="default"/>
          <w:lang w:val="en-US" w:eastAsia="zh-CN"/>
        </w:rPr>
        <w:t>即帕米尔-昆仑山水源涵养区、帕米尔-昆仑山水土流失防治区。昆仑山脉的天然林区及山区草场，是水源涵养与水土流失防控的重点区域。应加强水源涵养区的生态保护，严禁乱垦滥伐，防止过牧和垦植坡地造成水土流失，做好开发建设活动的监督管理工作，防止因生产建设活动造成新的水土流失。</w:t>
      </w:r>
    </w:p>
    <w:p w14:paraId="009F2DE3">
      <w:pPr>
        <w:pStyle w:val="3"/>
        <w:numPr>
          <w:ilvl w:val="0"/>
          <w:numId w:val="0"/>
        </w:numPr>
        <w:bidi w:val="0"/>
        <w:ind w:firstLine="602" w:firstLineChars="200"/>
        <w:rPr>
          <w:rFonts w:hint="eastAsia"/>
          <w:lang w:val="en-US" w:eastAsia="zh-CN"/>
        </w:rPr>
      </w:pPr>
      <w:bookmarkStart w:id="57" w:name="_Toc31717"/>
      <w:r>
        <w:rPr>
          <w:rFonts w:hint="eastAsia" w:ascii="Times New Roman" w:hAnsi="Times New Roman" w:eastAsia="楷体" w:cstheme="minorBidi"/>
          <w:b/>
          <w:kern w:val="2"/>
          <w:sz w:val="30"/>
          <w:szCs w:val="24"/>
          <w:lang w:val="en-US" w:eastAsia="zh-CN" w:bidi="ar-SA"/>
        </w:rPr>
        <w:t>第二节</w:t>
      </w:r>
      <w:r>
        <w:rPr>
          <w:rFonts w:hint="eastAsia" w:cstheme="minorBidi"/>
          <w:b/>
          <w:kern w:val="2"/>
          <w:sz w:val="30"/>
          <w:szCs w:val="24"/>
          <w:lang w:val="en-US" w:eastAsia="zh-CN" w:bidi="ar-SA"/>
        </w:rPr>
        <w:t xml:space="preserve"> </w:t>
      </w:r>
      <w:r>
        <w:rPr>
          <w:rFonts w:hint="eastAsia"/>
          <w:lang w:val="en-US" w:eastAsia="zh-CN"/>
        </w:rPr>
        <w:t>生态功能保护修复分区</w:t>
      </w:r>
      <w:bookmarkEnd w:id="57"/>
    </w:p>
    <w:p w14:paraId="0169384D">
      <w:pPr>
        <w:bidi w:val="0"/>
        <w:rPr>
          <w:rFonts w:hint="default"/>
          <w:lang w:val="en-US" w:eastAsia="zh-CN"/>
        </w:rPr>
      </w:pPr>
      <w:r>
        <w:rPr>
          <w:rFonts w:hint="default"/>
          <w:lang w:val="en-US" w:eastAsia="zh-CN"/>
        </w:rPr>
        <w:t>统筹整治修复总体布局，以整治修复主要功能为导向，将全县划分</w:t>
      </w:r>
      <w:r>
        <w:rPr>
          <w:rFonts w:hint="eastAsia"/>
          <w:lang w:val="en-US" w:eastAsia="zh-CN"/>
        </w:rPr>
        <w:t>三</w:t>
      </w:r>
      <w:r>
        <w:rPr>
          <w:rFonts w:hint="default"/>
          <w:lang w:val="en-US" w:eastAsia="zh-CN"/>
        </w:rPr>
        <w:t>个生态</w:t>
      </w:r>
      <w:r>
        <w:rPr>
          <w:rFonts w:hint="eastAsia"/>
          <w:lang w:val="en-US" w:eastAsia="zh-CN"/>
        </w:rPr>
        <w:t>功能保护</w:t>
      </w:r>
      <w:r>
        <w:rPr>
          <w:rFonts w:hint="default"/>
          <w:lang w:val="en-US" w:eastAsia="zh-CN"/>
        </w:rPr>
        <w:t>修复分区：</w:t>
      </w:r>
      <w:r>
        <w:rPr>
          <w:rFonts w:hint="eastAsia"/>
          <w:lang w:val="en-US" w:eastAsia="zh-CN"/>
        </w:rPr>
        <w:t>北部农业生态涵养与城镇生态品质提高区、西部水源涵养与生物多样性保护修复区、东部</w:t>
      </w:r>
      <w:r>
        <w:rPr>
          <w:rFonts w:hint="default"/>
          <w:lang w:val="en-US" w:eastAsia="zh-CN"/>
        </w:rPr>
        <w:t>水土流失</w:t>
      </w:r>
      <w:r>
        <w:rPr>
          <w:rFonts w:hint="eastAsia"/>
          <w:lang w:val="en-US" w:eastAsia="zh-CN"/>
        </w:rPr>
        <w:t>防控</w:t>
      </w:r>
      <w:r>
        <w:rPr>
          <w:rFonts w:hint="default"/>
          <w:lang w:val="en-US" w:eastAsia="zh-CN"/>
        </w:rPr>
        <w:t>治理</w:t>
      </w:r>
      <w:r>
        <w:rPr>
          <w:rFonts w:hint="eastAsia"/>
          <w:lang w:val="en-US" w:eastAsia="zh-CN"/>
        </w:rPr>
        <w:t>修复</w:t>
      </w:r>
      <w:r>
        <w:rPr>
          <w:rFonts w:hint="default"/>
          <w:lang w:val="en-US" w:eastAsia="zh-CN"/>
        </w:rPr>
        <w:t>区。</w:t>
      </w:r>
    </w:p>
    <w:p w14:paraId="0993AF92">
      <w:pPr>
        <w:bidi w:val="0"/>
        <w:rPr>
          <w:rFonts w:hint="default"/>
          <w:lang w:val="en-US" w:eastAsia="zh-CN"/>
        </w:rPr>
      </w:pPr>
      <w:r>
        <w:rPr>
          <w:rFonts w:hint="eastAsia"/>
          <w:lang w:val="en-US" w:eastAsia="zh-CN"/>
        </w:rPr>
        <w:t>北部农业生态涵养与城镇生态品质提高区：该区域面积为966.09km</w:t>
      </w:r>
      <w:r>
        <w:rPr>
          <w:rFonts w:hint="eastAsia"/>
          <w:vertAlign w:val="superscript"/>
          <w:lang w:val="en-US" w:eastAsia="zh-CN"/>
        </w:rPr>
        <w:t>2</w:t>
      </w:r>
      <w:r>
        <w:rPr>
          <w:rFonts w:hint="eastAsia"/>
          <w:lang w:val="en-US" w:eastAsia="zh-CN"/>
        </w:rPr>
        <w:t>，占县域总面积的4.01%。主要涉及县域北部永久耕地与城镇建设适宜性区域，包括建设高标准农田，提高农田生态系统稳定性，健全农田排水系统。乡村振兴，建设美丽乡村，改善农村生产、生活和生态环境。促进生态美丽城市建设与生态产业协同经济高质量发展。</w:t>
      </w:r>
    </w:p>
    <w:p w14:paraId="16CEF7A4">
      <w:pPr>
        <w:bidi w:val="0"/>
        <w:rPr>
          <w:rFonts w:hint="default"/>
          <w:lang w:val="en-US" w:eastAsia="zh-CN"/>
        </w:rPr>
      </w:pPr>
      <w:r>
        <w:rPr>
          <w:rFonts w:hint="eastAsia"/>
          <w:lang w:val="en-US" w:eastAsia="zh-CN"/>
        </w:rPr>
        <w:t>东部</w:t>
      </w:r>
      <w:r>
        <w:rPr>
          <w:rFonts w:hint="default"/>
          <w:lang w:val="en-US" w:eastAsia="zh-CN"/>
        </w:rPr>
        <w:t>水土流失</w:t>
      </w:r>
      <w:r>
        <w:rPr>
          <w:rFonts w:hint="eastAsia"/>
          <w:lang w:val="en-US" w:eastAsia="zh-CN"/>
        </w:rPr>
        <w:t>防控</w:t>
      </w:r>
      <w:r>
        <w:rPr>
          <w:rFonts w:hint="default"/>
          <w:lang w:val="en-US" w:eastAsia="zh-CN"/>
        </w:rPr>
        <w:t>治理</w:t>
      </w:r>
      <w:r>
        <w:rPr>
          <w:rFonts w:hint="eastAsia"/>
          <w:lang w:val="en-US" w:eastAsia="zh-CN"/>
        </w:rPr>
        <w:t>修复</w:t>
      </w:r>
      <w:r>
        <w:rPr>
          <w:rFonts w:hint="default"/>
          <w:lang w:val="en-US" w:eastAsia="zh-CN"/>
        </w:rPr>
        <w:t>区</w:t>
      </w:r>
      <w:r>
        <w:rPr>
          <w:rFonts w:hint="eastAsia"/>
          <w:lang w:val="en-US" w:eastAsia="zh-CN"/>
        </w:rPr>
        <w:t>：该区域面积为8413.42km</w:t>
      </w:r>
      <w:r>
        <w:rPr>
          <w:rFonts w:hint="eastAsia"/>
          <w:vertAlign w:val="superscript"/>
          <w:lang w:val="en-US" w:eastAsia="zh-CN"/>
        </w:rPr>
        <w:t>2</w:t>
      </w:r>
      <w:r>
        <w:rPr>
          <w:rFonts w:hint="eastAsia"/>
          <w:lang w:val="en-US" w:eastAsia="zh-CN"/>
        </w:rPr>
        <w:t>，占县域总面积的34.89%。旨在</w:t>
      </w:r>
      <w:r>
        <w:rPr>
          <w:rFonts w:hint="default"/>
          <w:lang w:val="en-US" w:eastAsia="zh-CN"/>
        </w:rPr>
        <w:t>从源头上有效控制水土流失，充分发挥生态自然修复作用，形成综合预防保护体系；扩大林草植被覆盖，有效维护和改善生态系统：</w:t>
      </w:r>
    </w:p>
    <w:p w14:paraId="3DDCA359">
      <w:pPr>
        <w:bidi w:val="0"/>
        <w:rPr>
          <w:rFonts w:hint="default"/>
          <w:lang w:val="en-US" w:eastAsia="zh-CN"/>
        </w:rPr>
      </w:pPr>
      <w:r>
        <w:rPr>
          <w:rFonts w:hint="eastAsia"/>
          <w:lang w:val="en-US" w:eastAsia="zh-CN"/>
        </w:rPr>
        <w:t>西部水源涵养与生物多样性保护修复分区</w:t>
      </w:r>
      <w:r>
        <w:rPr>
          <w:rFonts w:hint="default"/>
          <w:lang w:val="en-US" w:eastAsia="zh-CN"/>
        </w:rPr>
        <w:t>：</w:t>
      </w:r>
      <w:r>
        <w:rPr>
          <w:rFonts w:hint="eastAsia"/>
          <w:lang w:val="en-US" w:eastAsia="zh-CN"/>
        </w:rPr>
        <w:t>该区域面积为14736.10km</w:t>
      </w:r>
      <w:r>
        <w:rPr>
          <w:rFonts w:hint="eastAsia"/>
          <w:vertAlign w:val="superscript"/>
          <w:lang w:val="en-US" w:eastAsia="zh-CN"/>
        </w:rPr>
        <w:t>2</w:t>
      </w:r>
      <w:r>
        <w:rPr>
          <w:rFonts w:hint="eastAsia"/>
          <w:lang w:val="en-US" w:eastAsia="zh-CN"/>
        </w:rPr>
        <w:t>，占县域总面积的61.11%。</w:t>
      </w:r>
      <w:r>
        <w:rPr>
          <w:rFonts w:hint="default"/>
          <w:lang w:val="en-US" w:eastAsia="zh-CN"/>
        </w:rPr>
        <w:t>对动植物资源及生态环境进行严格保护，按照生态规律合理开发利用其生物资源和旅游资源。</w:t>
      </w:r>
    </w:p>
    <w:p w14:paraId="3E46814D">
      <w:pPr>
        <w:pStyle w:val="11"/>
        <w:bidi w:val="0"/>
        <w:outlineLvl w:val="2"/>
        <w:rPr>
          <w:rFonts w:hint="eastAsia"/>
          <w:b/>
          <w:bCs w:val="0"/>
          <w:lang w:val="en-US" w:eastAsia="zh-CN"/>
        </w:rPr>
      </w:pPr>
      <w:bookmarkStart w:id="58" w:name="_Toc26615"/>
      <w:r>
        <w:rPr>
          <w:rFonts w:hint="eastAsia"/>
          <w:b/>
          <w:bCs w:val="0"/>
          <w:lang w:val="en-US" w:eastAsia="zh-CN"/>
        </w:rPr>
        <w:t>生态功能保护修复分区一览表</w:t>
      </w:r>
      <w:bookmarkEnd w:id="58"/>
    </w:p>
    <w:tbl>
      <w:tblPr>
        <w:tblStyle w:val="8"/>
        <w:tblW w:w="50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141"/>
        <w:gridCol w:w="2264"/>
        <w:gridCol w:w="2034"/>
      </w:tblGrid>
      <w:tr w14:paraId="1AF4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722" w:type="pct"/>
            <w:vAlign w:val="center"/>
          </w:tcPr>
          <w:p w14:paraId="6A2FA7AB">
            <w:pPr>
              <w:pStyle w:val="12"/>
              <w:bidi w:val="0"/>
              <w:jc w:val="center"/>
              <w:rPr>
                <w:rFonts w:hint="default"/>
                <w:lang w:val="en-US" w:eastAsia="zh-CN"/>
              </w:rPr>
            </w:pPr>
            <w:r>
              <w:rPr>
                <w:rFonts w:hint="eastAsia"/>
                <w:lang w:val="en-US" w:eastAsia="zh-CN"/>
              </w:rPr>
              <w:t>分区类型</w:t>
            </w:r>
          </w:p>
        </w:tc>
        <w:tc>
          <w:tcPr>
            <w:tcW w:w="1199" w:type="pct"/>
            <w:vAlign w:val="center"/>
          </w:tcPr>
          <w:p w14:paraId="3BEDDAC7">
            <w:pPr>
              <w:pStyle w:val="12"/>
              <w:bidi w:val="0"/>
              <w:jc w:val="center"/>
              <w:rPr>
                <w:rFonts w:hint="default"/>
                <w:lang w:val="en-US" w:eastAsia="zh-CN"/>
              </w:rPr>
            </w:pPr>
            <w:r>
              <w:rPr>
                <w:rFonts w:hint="eastAsia"/>
                <w:lang w:val="en-US" w:eastAsia="zh-CN"/>
              </w:rPr>
              <w:t>面积</w:t>
            </w:r>
          </w:p>
        </w:tc>
        <w:tc>
          <w:tcPr>
            <w:tcW w:w="1077" w:type="pct"/>
            <w:vAlign w:val="center"/>
          </w:tcPr>
          <w:p w14:paraId="650EC3CF">
            <w:pPr>
              <w:pStyle w:val="12"/>
              <w:bidi w:val="0"/>
              <w:jc w:val="center"/>
              <w:rPr>
                <w:rFonts w:hint="default"/>
                <w:lang w:val="en-US" w:eastAsia="zh-CN"/>
              </w:rPr>
            </w:pPr>
            <w:r>
              <w:rPr>
                <w:rFonts w:hint="eastAsia"/>
                <w:lang w:val="en-US" w:eastAsia="zh-CN"/>
              </w:rPr>
              <w:t>占县域面积</w:t>
            </w:r>
          </w:p>
        </w:tc>
      </w:tr>
      <w:tr w14:paraId="4DB8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722" w:type="pct"/>
            <w:vAlign w:val="center"/>
          </w:tcPr>
          <w:p w14:paraId="7C7B1E17">
            <w:pPr>
              <w:pStyle w:val="12"/>
              <w:bidi w:val="0"/>
              <w:jc w:val="center"/>
              <w:rPr>
                <w:rFonts w:hint="default"/>
                <w:lang w:val="en-US" w:eastAsia="zh-CN"/>
              </w:rPr>
            </w:pPr>
            <w:r>
              <w:rPr>
                <w:rFonts w:hint="eastAsia"/>
                <w:lang w:val="en-US" w:eastAsia="zh-CN"/>
              </w:rPr>
              <w:t>北部农业生态涵养与城镇生态品质提高区</w:t>
            </w:r>
          </w:p>
        </w:tc>
        <w:tc>
          <w:tcPr>
            <w:tcW w:w="1199" w:type="pct"/>
            <w:vAlign w:val="center"/>
          </w:tcPr>
          <w:p w14:paraId="336FE451">
            <w:pPr>
              <w:pStyle w:val="12"/>
              <w:bidi w:val="0"/>
              <w:jc w:val="center"/>
              <w:rPr>
                <w:rFonts w:hint="default"/>
                <w:lang w:val="en-US" w:eastAsia="zh-CN"/>
              </w:rPr>
            </w:pPr>
            <w:r>
              <w:rPr>
                <w:rFonts w:hint="eastAsia"/>
                <w:lang w:val="en-US" w:eastAsia="zh-CN"/>
              </w:rPr>
              <w:t>966.09km</w:t>
            </w:r>
            <w:r>
              <w:rPr>
                <w:rFonts w:hint="eastAsia"/>
                <w:vertAlign w:val="superscript"/>
                <w:lang w:val="en-US" w:eastAsia="zh-CN"/>
              </w:rPr>
              <w:t>2</w:t>
            </w:r>
          </w:p>
        </w:tc>
        <w:tc>
          <w:tcPr>
            <w:tcW w:w="1077" w:type="pct"/>
            <w:vAlign w:val="center"/>
          </w:tcPr>
          <w:p w14:paraId="3F5E576C">
            <w:pPr>
              <w:pStyle w:val="12"/>
              <w:bidi w:val="0"/>
              <w:jc w:val="center"/>
              <w:rPr>
                <w:rFonts w:hint="default"/>
                <w:lang w:val="en-US" w:eastAsia="zh-CN"/>
              </w:rPr>
            </w:pPr>
            <w:r>
              <w:rPr>
                <w:rFonts w:hint="eastAsia"/>
                <w:lang w:val="en-US" w:eastAsia="zh-CN"/>
              </w:rPr>
              <w:t>4.01%</w:t>
            </w:r>
          </w:p>
        </w:tc>
      </w:tr>
      <w:tr w14:paraId="1812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722" w:type="pct"/>
            <w:vAlign w:val="center"/>
          </w:tcPr>
          <w:p w14:paraId="65D5876E">
            <w:pPr>
              <w:pStyle w:val="12"/>
              <w:bidi w:val="0"/>
              <w:jc w:val="center"/>
              <w:rPr>
                <w:rFonts w:hint="default"/>
                <w:lang w:val="en-US" w:eastAsia="zh-CN"/>
              </w:rPr>
            </w:pPr>
            <w:r>
              <w:rPr>
                <w:rFonts w:hint="eastAsia"/>
                <w:lang w:val="en-US" w:eastAsia="zh-CN"/>
              </w:rPr>
              <w:t>东部</w:t>
            </w:r>
            <w:r>
              <w:rPr>
                <w:rFonts w:hint="default"/>
                <w:lang w:val="en-US" w:eastAsia="zh-CN"/>
              </w:rPr>
              <w:t>水土流失</w:t>
            </w:r>
            <w:r>
              <w:rPr>
                <w:rFonts w:hint="eastAsia"/>
                <w:lang w:val="en-US" w:eastAsia="zh-CN"/>
              </w:rPr>
              <w:t>防控</w:t>
            </w:r>
            <w:r>
              <w:rPr>
                <w:rFonts w:hint="default"/>
                <w:lang w:val="en-US" w:eastAsia="zh-CN"/>
              </w:rPr>
              <w:t>治理</w:t>
            </w:r>
            <w:r>
              <w:rPr>
                <w:rFonts w:hint="eastAsia"/>
                <w:lang w:val="en-US" w:eastAsia="zh-CN"/>
              </w:rPr>
              <w:t>修复</w:t>
            </w:r>
            <w:r>
              <w:rPr>
                <w:rFonts w:hint="default"/>
                <w:lang w:val="en-US" w:eastAsia="zh-CN"/>
              </w:rPr>
              <w:t>区</w:t>
            </w:r>
          </w:p>
        </w:tc>
        <w:tc>
          <w:tcPr>
            <w:tcW w:w="1199" w:type="pct"/>
            <w:vAlign w:val="center"/>
          </w:tcPr>
          <w:p w14:paraId="0DFAB0F7">
            <w:pPr>
              <w:pStyle w:val="12"/>
              <w:bidi w:val="0"/>
              <w:jc w:val="center"/>
              <w:rPr>
                <w:rFonts w:hint="default"/>
                <w:lang w:val="en-US" w:eastAsia="zh-CN"/>
              </w:rPr>
            </w:pPr>
            <w:r>
              <w:rPr>
                <w:rFonts w:hint="eastAsia"/>
                <w:lang w:val="en-US" w:eastAsia="zh-CN"/>
              </w:rPr>
              <w:t>8413.42km</w:t>
            </w:r>
            <w:r>
              <w:rPr>
                <w:rFonts w:hint="eastAsia"/>
                <w:vertAlign w:val="superscript"/>
                <w:lang w:val="en-US" w:eastAsia="zh-CN"/>
              </w:rPr>
              <w:t>2</w:t>
            </w:r>
          </w:p>
        </w:tc>
        <w:tc>
          <w:tcPr>
            <w:tcW w:w="1077" w:type="pct"/>
            <w:vAlign w:val="center"/>
          </w:tcPr>
          <w:p w14:paraId="36255DC3">
            <w:pPr>
              <w:pStyle w:val="12"/>
              <w:bidi w:val="0"/>
              <w:jc w:val="center"/>
              <w:rPr>
                <w:rFonts w:hint="default"/>
                <w:lang w:val="en-US" w:eastAsia="zh-CN"/>
              </w:rPr>
            </w:pPr>
            <w:r>
              <w:rPr>
                <w:rFonts w:hint="eastAsia"/>
                <w:lang w:val="en-US" w:eastAsia="zh-CN"/>
              </w:rPr>
              <w:t>34.89%</w:t>
            </w:r>
          </w:p>
        </w:tc>
      </w:tr>
      <w:tr w14:paraId="7C445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722" w:type="pct"/>
            <w:vAlign w:val="center"/>
          </w:tcPr>
          <w:p w14:paraId="7CA2915B">
            <w:pPr>
              <w:pStyle w:val="12"/>
              <w:bidi w:val="0"/>
              <w:jc w:val="center"/>
              <w:rPr>
                <w:rFonts w:hint="default"/>
                <w:lang w:val="en-US" w:eastAsia="zh-CN"/>
              </w:rPr>
            </w:pPr>
            <w:r>
              <w:rPr>
                <w:rFonts w:hint="eastAsia"/>
                <w:lang w:val="en-US" w:eastAsia="zh-CN"/>
              </w:rPr>
              <w:t>西部水源涵养与生物多样性保护修复区</w:t>
            </w:r>
          </w:p>
        </w:tc>
        <w:tc>
          <w:tcPr>
            <w:tcW w:w="1199" w:type="pct"/>
            <w:vAlign w:val="center"/>
          </w:tcPr>
          <w:p w14:paraId="100D2E2C">
            <w:pPr>
              <w:pStyle w:val="12"/>
              <w:bidi w:val="0"/>
              <w:jc w:val="center"/>
              <w:rPr>
                <w:rFonts w:hint="default"/>
                <w:lang w:val="en-US" w:eastAsia="zh-CN"/>
              </w:rPr>
            </w:pPr>
            <w:r>
              <w:rPr>
                <w:rFonts w:hint="eastAsia"/>
                <w:lang w:val="en-US" w:eastAsia="zh-CN"/>
              </w:rPr>
              <w:t>14736.10km</w:t>
            </w:r>
            <w:r>
              <w:rPr>
                <w:rFonts w:hint="eastAsia"/>
                <w:vertAlign w:val="superscript"/>
                <w:lang w:val="en-US" w:eastAsia="zh-CN"/>
              </w:rPr>
              <w:t>2</w:t>
            </w:r>
          </w:p>
        </w:tc>
        <w:tc>
          <w:tcPr>
            <w:tcW w:w="1077" w:type="pct"/>
            <w:vAlign w:val="center"/>
          </w:tcPr>
          <w:p w14:paraId="5033B4D5">
            <w:pPr>
              <w:pStyle w:val="12"/>
              <w:bidi w:val="0"/>
              <w:jc w:val="center"/>
              <w:rPr>
                <w:rFonts w:hint="default"/>
                <w:lang w:val="en-US" w:eastAsia="zh-CN"/>
              </w:rPr>
            </w:pPr>
            <w:r>
              <w:rPr>
                <w:rFonts w:hint="eastAsia"/>
                <w:lang w:val="en-US" w:eastAsia="zh-CN"/>
              </w:rPr>
              <w:t>61.11%</w:t>
            </w:r>
          </w:p>
        </w:tc>
      </w:tr>
      <w:tr w14:paraId="0564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722" w:type="pct"/>
            <w:vAlign w:val="center"/>
          </w:tcPr>
          <w:p w14:paraId="35DA4313">
            <w:pPr>
              <w:pStyle w:val="12"/>
              <w:bidi w:val="0"/>
              <w:jc w:val="center"/>
              <w:rPr>
                <w:rFonts w:hint="default"/>
                <w:lang w:val="en-US" w:eastAsia="zh-CN"/>
              </w:rPr>
            </w:pPr>
            <w:r>
              <w:rPr>
                <w:rFonts w:hint="eastAsia"/>
                <w:lang w:val="en-US" w:eastAsia="zh-CN"/>
              </w:rPr>
              <w:t>合计</w:t>
            </w:r>
          </w:p>
        </w:tc>
        <w:tc>
          <w:tcPr>
            <w:tcW w:w="1199" w:type="pct"/>
            <w:vAlign w:val="center"/>
          </w:tcPr>
          <w:p w14:paraId="700004ED">
            <w:pPr>
              <w:pStyle w:val="12"/>
              <w:bidi w:val="0"/>
              <w:jc w:val="center"/>
              <w:rPr>
                <w:rFonts w:hint="eastAsia"/>
                <w:lang w:val="en-US" w:eastAsia="zh-CN"/>
              </w:rPr>
            </w:pPr>
            <w:r>
              <w:rPr>
                <w:rFonts w:hint="eastAsia"/>
                <w:lang w:val="en-US" w:eastAsia="zh-CN"/>
              </w:rPr>
              <w:t>24115.61km</w:t>
            </w:r>
            <w:r>
              <w:rPr>
                <w:rFonts w:hint="eastAsia"/>
                <w:vertAlign w:val="superscript"/>
                <w:lang w:val="en-US" w:eastAsia="zh-CN"/>
              </w:rPr>
              <w:t>2</w:t>
            </w:r>
          </w:p>
        </w:tc>
        <w:tc>
          <w:tcPr>
            <w:tcW w:w="1077" w:type="pct"/>
            <w:vAlign w:val="center"/>
          </w:tcPr>
          <w:p w14:paraId="34D7A27D">
            <w:pPr>
              <w:pStyle w:val="12"/>
              <w:bidi w:val="0"/>
              <w:jc w:val="center"/>
              <w:rPr>
                <w:rFonts w:hint="default"/>
                <w:lang w:val="en-US" w:eastAsia="zh-CN"/>
              </w:rPr>
            </w:pPr>
            <w:r>
              <w:rPr>
                <w:rFonts w:hint="eastAsia"/>
                <w:lang w:val="en-US" w:eastAsia="zh-CN"/>
              </w:rPr>
              <w:t>100%</w:t>
            </w:r>
          </w:p>
        </w:tc>
      </w:tr>
    </w:tbl>
    <w:p w14:paraId="4A0652C6">
      <w:pPr>
        <w:bidi w:val="0"/>
        <w:rPr>
          <w:rFonts w:hint="default"/>
          <w:lang w:val="en-US" w:eastAsia="zh-CN"/>
        </w:rPr>
      </w:pPr>
    </w:p>
    <w:p w14:paraId="3F31854F">
      <w:pPr>
        <w:pStyle w:val="3"/>
        <w:bidi w:val="0"/>
        <w:rPr>
          <w:rFonts w:hint="default"/>
          <w:lang w:val="en-US" w:eastAsia="zh-CN"/>
        </w:rPr>
      </w:pPr>
      <w:bookmarkStart w:id="59" w:name="_Toc28915"/>
      <w:r>
        <w:rPr>
          <w:rFonts w:hint="eastAsia"/>
          <w:lang w:val="en-US" w:eastAsia="zh-CN"/>
        </w:rPr>
        <w:t>第三节 生态功能保护修复重点区域</w:t>
      </w:r>
      <w:bookmarkEnd w:id="59"/>
    </w:p>
    <w:p w14:paraId="05923077">
      <w:pPr>
        <w:bidi w:val="0"/>
        <w:rPr>
          <w:rFonts w:hint="eastAsia"/>
          <w:lang w:val="en-US" w:eastAsia="zh-CN"/>
        </w:rPr>
      </w:pPr>
      <w:r>
        <w:rPr>
          <w:rFonts w:hint="eastAsia"/>
          <w:lang w:val="en-US" w:eastAsia="zh-CN"/>
        </w:rPr>
        <w:t>围绕阿克陶县生态修复的总体格局，衔接克州重要生态系统保护和修复重大工程，聚焦各类生态系统存在的主要问题，突出重点区域，科学推进国土空间生态修复。针对不同资源类型，主要划分为八大区域分别为：水土流失重点区、森林生态修复重点区、草原生态修复重点区、农用地整治重点区、建设用地整治重点区、湿地生态修复重点区、水环境和水生态修复区、矿山生态修复重点区等。</w:t>
      </w:r>
    </w:p>
    <w:p w14:paraId="5BD6BACB">
      <w:pPr>
        <w:pStyle w:val="11"/>
        <w:bidi w:val="0"/>
        <w:outlineLvl w:val="0"/>
        <w:rPr>
          <w:rFonts w:hint="eastAsia"/>
          <w:b/>
          <w:bCs w:val="0"/>
          <w:lang w:val="en-US" w:eastAsia="zh-CN"/>
        </w:rPr>
      </w:pPr>
      <w:bookmarkStart w:id="60" w:name="_Toc26004"/>
      <w:r>
        <w:rPr>
          <w:rFonts w:hint="eastAsia"/>
          <w:b/>
          <w:bCs w:val="0"/>
          <w:lang w:val="en-US" w:eastAsia="zh-CN"/>
        </w:rPr>
        <w:t>生态功能保护修复重点区域一览表</w:t>
      </w:r>
      <w:bookmarkEnd w:id="60"/>
    </w:p>
    <w:tbl>
      <w:tblPr>
        <w:tblStyle w:val="8"/>
        <w:tblW w:w="50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151"/>
        <w:gridCol w:w="2269"/>
        <w:gridCol w:w="2038"/>
      </w:tblGrid>
      <w:tr w14:paraId="0518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723" w:type="pct"/>
            <w:vAlign w:val="center"/>
          </w:tcPr>
          <w:p w14:paraId="4F97625E">
            <w:pPr>
              <w:pStyle w:val="12"/>
              <w:bidi w:val="0"/>
              <w:jc w:val="center"/>
              <w:rPr>
                <w:rFonts w:hint="default"/>
                <w:lang w:val="en-US" w:eastAsia="zh-CN"/>
              </w:rPr>
            </w:pPr>
            <w:r>
              <w:rPr>
                <w:rFonts w:hint="eastAsia"/>
                <w:lang w:val="en-US" w:eastAsia="zh-CN"/>
              </w:rPr>
              <w:t>分区类型</w:t>
            </w:r>
          </w:p>
        </w:tc>
        <w:tc>
          <w:tcPr>
            <w:tcW w:w="1199" w:type="pct"/>
            <w:vAlign w:val="center"/>
          </w:tcPr>
          <w:p w14:paraId="018BD720">
            <w:pPr>
              <w:pStyle w:val="12"/>
              <w:bidi w:val="0"/>
              <w:jc w:val="center"/>
              <w:rPr>
                <w:rFonts w:hint="default"/>
                <w:lang w:val="en-US" w:eastAsia="zh-CN"/>
              </w:rPr>
            </w:pPr>
            <w:r>
              <w:rPr>
                <w:rFonts w:hint="eastAsia"/>
                <w:lang w:val="en-US" w:eastAsia="zh-CN"/>
              </w:rPr>
              <w:t>面积</w:t>
            </w:r>
          </w:p>
        </w:tc>
        <w:tc>
          <w:tcPr>
            <w:tcW w:w="1077" w:type="pct"/>
            <w:vAlign w:val="center"/>
          </w:tcPr>
          <w:p w14:paraId="7530DE7A">
            <w:pPr>
              <w:pStyle w:val="12"/>
              <w:bidi w:val="0"/>
              <w:jc w:val="center"/>
              <w:rPr>
                <w:rFonts w:hint="default"/>
                <w:lang w:val="en-US" w:eastAsia="zh-CN"/>
              </w:rPr>
            </w:pPr>
            <w:r>
              <w:rPr>
                <w:rFonts w:hint="eastAsia"/>
                <w:lang w:val="en-US" w:eastAsia="zh-CN"/>
              </w:rPr>
              <w:t>占县域面积</w:t>
            </w:r>
          </w:p>
        </w:tc>
      </w:tr>
      <w:tr w14:paraId="619F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723" w:type="pct"/>
            <w:vAlign w:val="center"/>
          </w:tcPr>
          <w:p w14:paraId="6F3ABB12">
            <w:pPr>
              <w:pStyle w:val="12"/>
              <w:bidi w:val="0"/>
              <w:jc w:val="center"/>
              <w:rPr>
                <w:rFonts w:hint="default"/>
                <w:lang w:val="en-US" w:eastAsia="zh-CN"/>
              </w:rPr>
            </w:pPr>
            <w:r>
              <w:rPr>
                <w:rFonts w:hint="eastAsia"/>
                <w:lang w:val="en-US" w:eastAsia="zh-CN"/>
              </w:rPr>
              <w:t>水土流失重点区</w:t>
            </w:r>
          </w:p>
        </w:tc>
        <w:tc>
          <w:tcPr>
            <w:tcW w:w="1199" w:type="pct"/>
            <w:vAlign w:val="center"/>
          </w:tcPr>
          <w:p w14:paraId="3EBBE13D">
            <w:pPr>
              <w:pStyle w:val="12"/>
              <w:bidi w:val="0"/>
              <w:jc w:val="center"/>
              <w:rPr>
                <w:rFonts w:hint="default"/>
                <w:lang w:val="en-US" w:eastAsia="zh-CN"/>
              </w:rPr>
            </w:pPr>
            <w:r>
              <w:rPr>
                <w:rFonts w:hint="eastAsia"/>
                <w:lang w:val="en-US" w:eastAsia="zh-CN"/>
              </w:rPr>
              <w:t>1176.09km</w:t>
            </w:r>
            <w:r>
              <w:rPr>
                <w:rFonts w:hint="eastAsia"/>
                <w:vertAlign w:val="superscript"/>
                <w:lang w:val="en-US" w:eastAsia="zh-CN"/>
              </w:rPr>
              <w:t>2</w:t>
            </w:r>
          </w:p>
        </w:tc>
        <w:tc>
          <w:tcPr>
            <w:tcW w:w="2038" w:type="dxa"/>
            <w:vAlign w:val="center"/>
          </w:tcPr>
          <w:p w14:paraId="585C6302">
            <w:pPr>
              <w:pStyle w:val="12"/>
              <w:bidi w:val="0"/>
              <w:jc w:val="center"/>
              <w:rPr>
                <w:rFonts w:hint="default"/>
                <w:lang w:val="en-US" w:eastAsia="zh-CN"/>
              </w:rPr>
            </w:pPr>
            <w:r>
              <w:rPr>
                <w:rFonts w:hint="eastAsia"/>
                <w:lang w:val="en-US" w:eastAsia="zh-CN"/>
              </w:rPr>
              <w:t>4.88%</w:t>
            </w:r>
          </w:p>
        </w:tc>
      </w:tr>
      <w:tr w14:paraId="1992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723" w:type="pct"/>
            <w:vAlign w:val="center"/>
          </w:tcPr>
          <w:p w14:paraId="4266C8E3">
            <w:pPr>
              <w:pStyle w:val="12"/>
              <w:bidi w:val="0"/>
              <w:jc w:val="center"/>
              <w:rPr>
                <w:rFonts w:hint="default"/>
                <w:lang w:val="en-US" w:eastAsia="zh-CN"/>
              </w:rPr>
            </w:pPr>
            <w:r>
              <w:rPr>
                <w:rFonts w:hint="eastAsia"/>
                <w:lang w:val="en-US" w:eastAsia="zh-CN"/>
              </w:rPr>
              <w:t>森林生态修复重点区</w:t>
            </w:r>
          </w:p>
        </w:tc>
        <w:tc>
          <w:tcPr>
            <w:tcW w:w="1199" w:type="pct"/>
            <w:vAlign w:val="center"/>
          </w:tcPr>
          <w:p w14:paraId="78A27733">
            <w:pPr>
              <w:pStyle w:val="12"/>
              <w:bidi w:val="0"/>
              <w:jc w:val="center"/>
              <w:rPr>
                <w:rFonts w:hint="default"/>
                <w:lang w:val="en-US" w:eastAsia="zh-CN"/>
              </w:rPr>
            </w:pPr>
            <w:r>
              <w:rPr>
                <w:rFonts w:hint="eastAsia"/>
                <w:lang w:val="en-US" w:eastAsia="zh-CN"/>
              </w:rPr>
              <w:t>0.24km</w:t>
            </w:r>
            <w:r>
              <w:rPr>
                <w:rFonts w:hint="eastAsia"/>
                <w:vertAlign w:val="superscript"/>
                <w:lang w:val="en-US" w:eastAsia="zh-CN"/>
              </w:rPr>
              <w:t>2</w:t>
            </w:r>
          </w:p>
        </w:tc>
        <w:tc>
          <w:tcPr>
            <w:tcW w:w="2038" w:type="dxa"/>
            <w:vAlign w:val="center"/>
          </w:tcPr>
          <w:p w14:paraId="5A8E3D30">
            <w:pPr>
              <w:pStyle w:val="12"/>
              <w:bidi w:val="0"/>
              <w:jc w:val="center"/>
              <w:rPr>
                <w:rFonts w:hint="default"/>
                <w:lang w:val="en-US" w:eastAsia="zh-CN"/>
              </w:rPr>
            </w:pPr>
            <w:r>
              <w:rPr>
                <w:rFonts w:hint="eastAsia"/>
                <w:lang w:val="en-US" w:eastAsia="zh-CN"/>
              </w:rPr>
              <w:t>0.001%</w:t>
            </w:r>
          </w:p>
        </w:tc>
      </w:tr>
      <w:tr w14:paraId="7206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723" w:type="pct"/>
            <w:vAlign w:val="center"/>
          </w:tcPr>
          <w:p w14:paraId="05C641F9">
            <w:pPr>
              <w:pStyle w:val="12"/>
              <w:bidi w:val="0"/>
              <w:jc w:val="center"/>
              <w:rPr>
                <w:rFonts w:hint="default"/>
                <w:lang w:val="en-US" w:eastAsia="zh-CN"/>
              </w:rPr>
            </w:pPr>
            <w:r>
              <w:rPr>
                <w:rFonts w:hint="eastAsia"/>
                <w:lang w:val="en-US" w:eastAsia="zh-CN"/>
              </w:rPr>
              <w:t>草原生态修复重点区</w:t>
            </w:r>
          </w:p>
        </w:tc>
        <w:tc>
          <w:tcPr>
            <w:tcW w:w="1199" w:type="pct"/>
            <w:vAlign w:val="center"/>
          </w:tcPr>
          <w:p w14:paraId="7796C026">
            <w:pPr>
              <w:pStyle w:val="12"/>
              <w:bidi w:val="0"/>
              <w:jc w:val="center"/>
              <w:rPr>
                <w:rFonts w:hint="default"/>
                <w:lang w:val="en-US" w:eastAsia="zh-CN"/>
              </w:rPr>
            </w:pPr>
            <w:r>
              <w:rPr>
                <w:rFonts w:hint="eastAsia"/>
                <w:lang w:val="en-US" w:eastAsia="zh-CN"/>
              </w:rPr>
              <w:t>2945.29km</w:t>
            </w:r>
            <w:r>
              <w:rPr>
                <w:rFonts w:hint="eastAsia"/>
                <w:vertAlign w:val="superscript"/>
                <w:lang w:val="en-US" w:eastAsia="zh-CN"/>
              </w:rPr>
              <w:t>2</w:t>
            </w:r>
          </w:p>
        </w:tc>
        <w:tc>
          <w:tcPr>
            <w:tcW w:w="2038" w:type="dxa"/>
            <w:vAlign w:val="center"/>
          </w:tcPr>
          <w:p w14:paraId="0D72627D">
            <w:pPr>
              <w:pStyle w:val="12"/>
              <w:bidi w:val="0"/>
              <w:jc w:val="center"/>
              <w:rPr>
                <w:rFonts w:hint="default"/>
                <w:lang w:val="en-US" w:eastAsia="zh-CN"/>
              </w:rPr>
            </w:pPr>
            <w:r>
              <w:rPr>
                <w:rFonts w:hint="eastAsia"/>
                <w:lang w:val="en-US" w:eastAsia="zh-CN"/>
              </w:rPr>
              <w:t>12.21%</w:t>
            </w:r>
          </w:p>
        </w:tc>
      </w:tr>
      <w:tr w14:paraId="7A3AC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723" w:type="pct"/>
            <w:vAlign w:val="center"/>
          </w:tcPr>
          <w:p w14:paraId="19620B07">
            <w:pPr>
              <w:pStyle w:val="12"/>
              <w:bidi w:val="0"/>
              <w:jc w:val="center"/>
              <w:rPr>
                <w:rFonts w:hint="default"/>
                <w:lang w:val="en-US" w:eastAsia="zh-CN"/>
              </w:rPr>
            </w:pPr>
            <w:r>
              <w:rPr>
                <w:rFonts w:hint="eastAsia"/>
                <w:lang w:val="en-US" w:eastAsia="zh-CN"/>
              </w:rPr>
              <w:t>农用地整治重点区</w:t>
            </w:r>
          </w:p>
        </w:tc>
        <w:tc>
          <w:tcPr>
            <w:tcW w:w="1199" w:type="pct"/>
            <w:vAlign w:val="center"/>
          </w:tcPr>
          <w:p w14:paraId="32CFFAF6">
            <w:pPr>
              <w:pStyle w:val="12"/>
              <w:bidi w:val="0"/>
              <w:jc w:val="center"/>
              <w:rPr>
                <w:rFonts w:hint="default"/>
                <w:lang w:val="en-US" w:eastAsia="zh-CN"/>
              </w:rPr>
            </w:pPr>
            <w:r>
              <w:rPr>
                <w:rFonts w:hint="eastAsia"/>
                <w:lang w:val="en-US" w:eastAsia="zh-CN"/>
              </w:rPr>
              <w:t>103.6km</w:t>
            </w:r>
            <w:r>
              <w:rPr>
                <w:rFonts w:hint="eastAsia"/>
                <w:vertAlign w:val="superscript"/>
                <w:lang w:val="en-US" w:eastAsia="zh-CN"/>
              </w:rPr>
              <w:t>2</w:t>
            </w:r>
          </w:p>
        </w:tc>
        <w:tc>
          <w:tcPr>
            <w:tcW w:w="2038" w:type="dxa"/>
            <w:vAlign w:val="center"/>
          </w:tcPr>
          <w:p w14:paraId="7640BEB7">
            <w:pPr>
              <w:pStyle w:val="12"/>
              <w:bidi w:val="0"/>
              <w:jc w:val="center"/>
              <w:rPr>
                <w:rFonts w:hint="default"/>
                <w:lang w:val="en-US" w:eastAsia="zh-CN"/>
              </w:rPr>
            </w:pPr>
            <w:r>
              <w:rPr>
                <w:rFonts w:hint="eastAsia"/>
                <w:lang w:val="en-US" w:eastAsia="zh-CN"/>
              </w:rPr>
              <w:t>0.43%</w:t>
            </w:r>
          </w:p>
        </w:tc>
      </w:tr>
      <w:tr w14:paraId="342D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723" w:type="pct"/>
            <w:vAlign w:val="center"/>
          </w:tcPr>
          <w:p w14:paraId="6B74D424">
            <w:pPr>
              <w:pStyle w:val="12"/>
              <w:bidi w:val="0"/>
              <w:jc w:val="center"/>
              <w:rPr>
                <w:rFonts w:hint="eastAsia"/>
                <w:lang w:val="en-US" w:eastAsia="zh-CN"/>
              </w:rPr>
            </w:pPr>
            <w:r>
              <w:rPr>
                <w:rFonts w:hint="eastAsia"/>
                <w:lang w:val="en-US" w:eastAsia="zh-CN"/>
              </w:rPr>
              <w:t>建设用地整治重点区</w:t>
            </w:r>
          </w:p>
        </w:tc>
        <w:tc>
          <w:tcPr>
            <w:tcW w:w="1199" w:type="pct"/>
            <w:vAlign w:val="center"/>
          </w:tcPr>
          <w:p w14:paraId="4D2798B6">
            <w:pPr>
              <w:pStyle w:val="12"/>
              <w:bidi w:val="0"/>
              <w:jc w:val="center"/>
              <w:rPr>
                <w:rFonts w:hint="default"/>
                <w:lang w:val="en-US" w:eastAsia="zh-CN"/>
              </w:rPr>
            </w:pPr>
            <w:r>
              <w:rPr>
                <w:rFonts w:hint="eastAsia"/>
                <w:lang w:val="en-US" w:eastAsia="zh-CN"/>
              </w:rPr>
              <w:t>14.6km</w:t>
            </w:r>
            <w:r>
              <w:rPr>
                <w:rFonts w:hint="eastAsia"/>
                <w:vertAlign w:val="superscript"/>
                <w:lang w:val="en-US" w:eastAsia="zh-CN"/>
              </w:rPr>
              <w:t>2</w:t>
            </w:r>
          </w:p>
        </w:tc>
        <w:tc>
          <w:tcPr>
            <w:tcW w:w="2038" w:type="dxa"/>
            <w:vAlign w:val="center"/>
          </w:tcPr>
          <w:p w14:paraId="6639F7E0">
            <w:pPr>
              <w:pStyle w:val="12"/>
              <w:bidi w:val="0"/>
              <w:jc w:val="center"/>
              <w:rPr>
                <w:rFonts w:hint="eastAsia"/>
                <w:lang w:val="en-US" w:eastAsia="zh-CN"/>
              </w:rPr>
            </w:pPr>
            <w:r>
              <w:rPr>
                <w:rFonts w:hint="eastAsia"/>
                <w:lang w:val="en-US" w:eastAsia="zh-CN"/>
              </w:rPr>
              <w:t>0.06%</w:t>
            </w:r>
          </w:p>
        </w:tc>
      </w:tr>
      <w:tr w14:paraId="083E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723" w:type="pct"/>
            <w:vAlign w:val="center"/>
          </w:tcPr>
          <w:p w14:paraId="655DD321">
            <w:pPr>
              <w:pStyle w:val="12"/>
              <w:bidi w:val="0"/>
              <w:jc w:val="center"/>
              <w:rPr>
                <w:rFonts w:hint="eastAsia"/>
                <w:lang w:val="en-US" w:eastAsia="zh-CN"/>
              </w:rPr>
            </w:pPr>
            <w:r>
              <w:rPr>
                <w:rFonts w:hint="eastAsia"/>
                <w:lang w:val="en-US" w:eastAsia="zh-CN"/>
              </w:rPr>
              <w:t>湿地生态修复重点区</w:t>
            </w:r>
          </w:p>
        </w:tc>
        <w:tc>
          <w:tcPr>
            <w:tcW w:w="1199" w:type="pct"/>
            <w:vAlign w:val="center"/>
          </w:tcPr>
          <w:p w14:paraId="767D9DC3">
            <w:pPr>
              <w:pStyle w:val="12"/>
              <w:bidi w:val="0"/>
              <w:jc w:val="center"/>
              <w:rPr>
                <w:rFonts w:hint="default"/>
                <w:lang w:val="en-US" w:eastAsia="zh-CN"/>
              </w:rPr>
            </w:pPr>
            <w:r>
              <w:rPr>
                <w:rFonts w:hint="eastAsia"/>
                <w:lang w:val="en-US" w:eastAsia="zh-CN"/>
              </w:rPr>
              <w:t>68.78km</w:t>
            </w:r>
            <w:r>
              <w:rPr>
                <w:rFonts w:hint="eastAsia"/>
                <w:vertAlign w:val="superscript"/>
                <w:lang w:val="en-US" w:eastAsia="zh-CN"/>
              </w:rPr>
              <w:t>2</w:t>
            </w:r>
          </w:p>
        </w:tc>
        <w:tc>
          <w:tcPr>
            <w:tcW w:w="2038" w:type="dxa"/>
            <w:vAlign w:val="center"/>
          </w:tcPr>
          <w:p w14:paraId="19365DD2">
            <w:pPr>
              <w:pStyle w:val="12"/>
              <w:bidi w:val="0"/>
              <w:jc w:val="center"/>
              <w:rPr>
                <w:rFonts w:hint="eastAsia"/>
                <w:lang w:val="en-US" w:eastAsia="zh-CN"/>
              </w:rPr>
            </w:pPr>
            <w:r>
              <w:rPr>
                <w:rFonts w:hint="eastAsia"/>
                <w:lang w:val="en-US" w:eastAsia="zh-CN"/>
              </w:rPr>
              <w:t>0.29%</w:t>
            </w:r>
          </w:p>
        </w:tc>
      </w:tr>
      <w:tr w14:paraId="6A03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723" w:type="pct"/>
            <w:vAlign w:val="center"/>
          </w:tcPr>
          <w:p w14:paraId="1427F556">
            <w:pPr>
              <w:pStyle w:val="12"/>
              <w:bidi w:val="0"/>
              <w:jc w:val="center"/>
              <w:rPr>
                <w:rFonts w:hint="eastAsia"/>
                <w:lang w:val="en-US" w:eastAsia="zh-CN"/>
              </w:rPr>
            </w:pPr>
            <w:r>
              <w:rPr>
                <w:rFonts w:hint="eastAsia"/>
                <w:lang w:val="en-US" w:eastAsia="zh-CN"/>
              </w:rPr>
              <w:t>水环境和水生态修复区</w:t>
            </w:r>
          </w:p>
        </w:tc>
        <w:tc>
          <w:tcPr>
            <w:tcW w:w="1199" w:type="pct"/>
            <w:vAlign w:val="center"/>
          </w:tcPr>
          <w:p w14:paraId="0EEEAF77">
            <w:pPr>
              <w:pStyle w:val="12"/>
              <w:bidi w:val="0"/>
              <w:jc w:val="center"/>
              <w:rPr>
                <w:rFonts w:hint="default"/>
                <w:lang w:val="en-US" w:eastAsia="zh-CN"/>
              </w:rPr>
            </w:pPr>
            <w:r>
              <w:rPr>
                <w:rFonts w:hint="eastAsia"/>
                <w:lang w:val="en-US" w:eastAsia="zh-CN"/>
              </w:rPr>
              <w:t>237.99km</w:t>
            </w:r>
            <w:r>
              <w:rPr>
                <w:rFonts w:hint="eastAsia"/>
                <w:vertAlign w:val="superscript"/>
                <w:lang w:val="en-US" w:eastAsia="zh-CN"/>
              </w:rPr>
              <w:t>2</w:t>
            </w:r>
          </w:p>
        </w:tc>
        <w:tc>
          <w:tcPr>
            <w:tcW w:w="2038" w:type="dxa"/>
            <w:vAlign w:val="center"/>
          </w:tcPr>
          <w:p w14:paraId="182662D0">
            <w:pPr>
              <w:pStyle w:val="12"/>
              <w:bidi w:val="0"/>
              <w:jc w:val="center"/>
              <w:rPr>
                <w:rFonts w:hint="eastAsia"/>
                <w:lang w:val="en-US" w:eastAsia="zh-CN"/>
              </w:rPr>
            </w:pPr>
            <w:r>
              <w:rPr>
                <w:rFonts w:hint="eastAsia"/>
                <w:lang w:val="en-US" w:eastAsia="zh-CN"/>
              </w:rPr>
              <w:t>0.99%</w:t>
            </w:r>
          </w:p>
        </w:tc>
      </w:tr>
      <w:tr w14:paraId="6232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723" w:type="pct"/>
            <w:vAlign w:val="center"/>
          </w:tcPr>
          <w:p w14:paraId="7AD9D384">
            <w:pPr>
              <w:pStyle w:val="12"/>
              <w:bidi w:val="0"/>
              <w:jc w:val="center"/>
              <w:rPr>
                <w:rFonts w:hint="eastAsia"/>
                <w:lang w:val="en-US" w:eastAsia="zh-CN"/>
              </w:rPr>
            </w:pPr>
            <w:r>
              <w:rPr>
                <w:rFonts w:hint="eastAsia"/>
                <w:lang w:val="en-US" w:eastAsia="zh-CN"/>
              </w:rPr>
              <w:t>矿山生态修复重点区</w:t>
            </w:r>
          </w:p>
        </w:tc>
        <w:tc>
          <w:tcPr>
            <w:tcW w:w="1199" w:type="pct"/>
            <w:vAlign w:val="center"/>
          </w:tcPr>
          <w:p w14:paraId="7366CD1D">
            <w:pPr>
              <w:pStyle w:val="12"/>
              <w:bidi w:val="0"/>
              <w:jc w:val="center"/>
              <w:rPr>
                <w:rFonts w:hint="default"/>
                <w:lang w:val="en-US" w:eastAsia="zh-CN"/>
              </w:rPr>
            </w:pPr>
            <w:r>
              <w:rPr>
                <w:rFonts w:hint="eastAsia"/>
                <w:lang w:val="en-US" w:eastAsia="zh-CN"/>
              </w:rPr>
              <w:t>6.25km</w:t>
            </w:r>
            <w:r>
              <w:rPr>
                <w:rFonts w:hint="eastAsia"/>
                <w:vertAlign w:val="superscript"/>
                <w:lang w:val="en-US" w:eastAsia="zh-CN"/>
              </w:rPr>
              <w:t>2</w:t>
            </w:r>
          </w:p>
        </w:tc>
        <w:tc>
          <w:tcPr>
            <w:tcW w:w="2038" w:type="dxa"/>
            <w:vAlign w:val="center"/>
          </w:tcPr>
          <w:p w14:paraId="669DB4C5">
            <w:pPr>
              <w:pStyle w:val="12"/>
              <w:bidi w:val="0"/>
              <w:jc w:val="center"/>
              <w:rPr>
                <w:rFonts w:hint="eastAsia"/>
                <w:lang w:val="en-US" w:eastAsia="zh-CN"/>
              </w:rPr>
            </w:pPr>
            <w:r>
              <w:rPr>
                <w:rFonts w:hint="eastAsia"/>
                <w:lang w:val="en-US" w:eastAsia="zh-CN"/>
              </w:rPr>
              <w:t>0.03%</w:t>
            </w:r>
          </w:p>
        </w:tc>
      </w:tr>
      <w:tr w14:paraId="56D3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723" w:type="pct"/>
            <w:shd w:val="clear" w:color="auto" w:fill="auto"/>
            <w:vAlign w:val="center"/>
          </w:tcPr>
          <w:p w14:paraId="4C5DEE34">
            <w:pPr>
              <w:pStyle w:val="12"/>
              <w:bidi w:val="0"/>
              <w:ind w:firstLine="0" w:firstLineChars="0"/>
              <w:jc w:val="center"/>
              <w:rPr>
                <w:rFonts w:hint="eastAsia" w:ascii="Times New Roman" w:hAnsi="Times New Roman" w:eastAsia="仿宋" w:cstheme="minorBidi"/>
                <w:bCs/>
                <w:kern w:val="2"/>
                <w:sz w:val="24"/>
                <w:szCs w:val="24"/>
                <w:lang w:val="en-US" w:eastAsia="zh-CN" w:bidi="ar-SA"/>
              </w:rPr>
            </w:pPr>
            <w:r>
              <w:rPr>
                <w:rFonts w:hint="eastAsia"/>
                <w:lang w:val="en-US" w:eastAsia="zh-CN"/>
              </w:rPr>
              <w:t>合计</w:t>
            </w:r>
          </w:p>
        </w:tc>
        <w:tc>
          <w:tcPr>
            <w:tcW w:w="1199" w:type="pct"/>
            <w:shd w:val="clear" w:color="auto" w:fill="auto"/>
            <w:vAlign w:val="center"/>
          </w:tcPr>
          <w:p w14:paraId="1EB08723">
            <w:pPr>
              <w:pStyle w:val="12"/>
              <w:bidi w:val="0"/>
              <w:ind w:firstLine="0" w:firstLineChars="0"/>
              <w:jc w:val="center"/>
              <w:rPr>
                <w:rFonts w:hint="default" w:ascii="Times New Roman" w:hAnsi="Times New Roman" w:eastAsia="仿宋" w:cstheme="minorBidi"/>
                <w:bCs/>
                <w:kern w:val="2"/>
                <w:sz w:val="24"/>
                <w:szCs w:val="24"/>
                <w:lang w:val="en-US" w:eastAsia="zh-CN" w:bidi="ar-SA"/>
              </w:rPr>
            </w:pPr>
            <w:r>
              <w:rPr>
                <w:rFonts w:hint="eastAsia" w:cstheme="minorBidi"/>
                <w:bCs/>
                <w:kern w:val="2"/>
                <w:sz w:val="24"/>
                <w:szCs w:val="24"/>
                <w:lang w:val="en-US" w:eastAsia="zh-CN" w:bidi="ar-SA"/>
              </w:rPr>
              <w:t>4552.84</w:t>
            </w:r>
            <w:r>
              <w:rPr>
                <w:rFonts w:hint="eastAsia"/>
                <w:lang w:val="en-US" w:eastAsia="zh-CN"/>
              </w:rPr>
              <w:t>km</w:t>
            </w:r>
            <w:r>
              <w:rPr>
                <w:rFonts w:hint="eastAsia"/>
                <w:vertAlign w:val="superscript"/>
                <w:lang w:val="en-US" w:eastAsia="zh-CN"/>
              </w:rPr>
              <w:t>2</w:t>
            </w:r>
          </w:p>
        </w:tc>
        <w:tc>
          <w:tcPr>
            <w:tcW w:w="1077" w:type="pct"/>
            <w:shd w:val="clear" w:color="auto" w:fill="auto"/>
            <w:vAlign w:val="center"/>
          </w:tcPr>
          <w:p w14:paraId="5147D19B">
            <w:pPr>
              <w:pStyle w:val="12"/>
              <w:bidi w:val="0"/>
              <w:ind w:firstLine="0" w:firstLineChars="0"/>
              <w:jc w:val="center"/>
              <w:rPr>
                <w:rFonts w:hint="default" w:ascii="Times New Roman" w:hAnsi="Times New Roman" w:eastAsia="仿宋" w:cstheme="minorBidi"/>
                <w:bCs/>
                <w:kern w:val="2"/>
                <w:sz w:val="24"/>
                <w:szCs w:val="24"/>
                <w:lang w:val="en-US" w:eastAsia="zh-CN" w:bidi="ar-SA"/>
              </w:rPr>
            </w:pPr>
            <w:r>
              <w:rPr>
                <w:rFonts w:hint="eastAsia" w:cstheme="minorBidi"/>
                <w:bCs/>
                <w:kern w:val="2"/>
                <w:sz w:val="24"/>
                <w:szCs w:val="24"/>
                <w:lang w:val="en-US" w:eastAsia="zh-CN" w:bidi="ar-SA"/>
              </w:rPr>
              <w:t>18.88%</w:t>
            </w:r>
          </w:p>
        </w:tc>
      </w:tr>
    </w:tbl>
    <w:p w14:paraId="54E0D8A7">
      <w:pPr>
        <w:numPr>
          <w:ilvl w:val="0"/>
          <w:numId w:val="0"/>
        </w:numPr>
        <w:bidi w:val="0"/>
        <w:ind w:firstLine="562" w:firstLineChars="200"/>
        <w:rPr>
          <w:rFonts w:hint="eastAsia"/>
          <w:b/>
          <w:bCs/>
          <w:lang w:val="en-US" w:eastAsia="zh-CN"/>
        </w:rPr>
      </w:pPr>
    </w:p>
    <w:p w14:paraId="42D7ACEB">
      <w:pPr>
        <w:pStyle w:val="2"/>
        <w:bidi w:val="0"/>
        <w:outlineLvl w:val="9"/>
        <w:rPr>
          <w:rFonts w:hint="eastAsia"/>
          <w:lang w:val="en-US" w:eastAsia="zh-CN"/>
        </w:rPr>
        <w:sectPr>
          <w:pgSz w:w="11906" w:h="16838"/>
          <w:pgMar w:top="1247" w:right="1247" w:bottom="1247" w:left="1247" w:header="851" w:footer="992" w:gutter="0"/>
          <w:pgNumType w:fmt="decimal"/>
          <w:cols w:space="425" w:num="1"/>
          <w:docGrid w:type="lines" w:linePitch="312" w:charSpace="0"/>
        </w:sectPr>
      </w:pPr>
    </w:p>
    <w:p w14:paraId="3DAB237A">
      <w:pPr>
        <w:pStyle w:val="2"/>
        <w:bidi w:val="0"/>
        <w:rPr>
          <w:rFonts w:hint="eastAsia"/>
          <w:lang w:val="en-US" w:eastAsia="zh-CN"/>
        </w:rPr>
      </w:pPr>
      <w:bookmarkStart w:id="61" w:name="_Toc13158"/>
      <w:r>
        <w:rPr>
          <w:rFonts w:hint="eastAsia"/>
          <w:lang w:val="en-US" w:eastAsia="zh-CN"/>
        </w:rPr>
        <w:t>第五章 主要任务</w:t>
      </w:r>
      <w:bookmarkEnd w:id="61"/>
    </w:p>
    <w:p w14:paraId="0818FBA9">
      <w:pPr>
        <w:pStyle w:val="3"/>
        <w:bidi w:val="0"/>
        <w:rPr>
          <w:rFonts w:hint="eastAsia"/>
          <w:lang w:val="en-US" w:eastAsia="zh-CN"/>
        </w:rPr>
      </w:pPr>
      <w:bookmarkStart w:id="62" w:name="_Toc30594"/>
      <w:r>
        <w:rPr>
          <w:rFonts w:hint="eastAsia"/>
          <w:lang w:val="en-US" w:eastAsia="zh-CN"/>
        </w:rPr>
        <w:t>第一节 矿山地质生态保护修复</w:t>
      </w:r>
      <w:bookmarkEnd w:id="62"/>
    </w:p>
    <w:p w14:paraId="3E79C399">
      <w:pPr>
        <w:bidi w:val="0"/>
        <w:rPr>
          <w:rFonts w:hint="eastAsia"/>
          <w:lang w:val="en-US" w:eastAsia="zh-CN"/>
        </w:rPr>
      </w:pPr>
      <w:r>
        <w:rPr>
          <w:rFonts w:hint="eastAsia"/>
          <w:lang w:val="en-US" w:eastAsia="zh-CN"/>
        </w:rPr>
        <w:t>严格执行新建矿山准入条件，加强新建矿山审批管理，对不符合建设条件和对地质环境破坏严重而有可能诱发地质灾害、又无条件采取措施予以避免的新建矿山决不允许批建。编制矿区生态修复方案。依法进行新建矿山设计，确保设计质量。新建、扩建与开采的矿山必须与自然资源主管部门签定矿山地质环境治理恢复承诺书，确保矿山停采闭坑后，及时有效地进行矿山整治，复垦复绿。</w:t>
      </w:r>
    </w:p>
    <w:p w14:paraId="798BF2F5">
      <w:pPr>
        <w:bidi w:val="0"/>
        <w:rPr>
          <w:rFonts w:hint="eastAsia"/>
          <w:lang w:val="en-US" w:eastAsia="zh-CN"/>
        </w:rPr>
      </w:pPr>
      <w:r>
        <w:rPr>
          <w:rFonts w:hint="eastAsia"/>
          <w:lang w:val="en-US" w:eastAsia="zh-CN"/>
        </w:rPr>
        <w:t>切实做好矿区生态修复方案的编制，必须切合实际，宜于实施。实行生产矿山开发与保护同步的原则，应建立和实行边开采、边治理、分阶段实施和生态恢复的矿山环境保护管理制度，并明确要求矿山开采后及时完成全部治理和生态恢复工作，防止可能诱发的地质灾害。</w:t>
      </w:r>
    </w:p>
    <w:p w14:paraId="03F9F06A">
      <w:pPr>
        <w:bidi w:val="0"/>
        <w:rPr>
          <w:rFonts w:hint="eastAsia"/>
          <w:lang w:val="en-US" w:eastAsia="zh-CN"/>
        </w:rPr>
      </w:pPr>
      <w:r>
        <w:rPr>
          <w:rFonts w:hint="eastAsia"/>
          <w:lang w:val="en-US" w:eastAsia="zh-CN"/>
        </w:rPr>
        <w:t>积极推进和大力开展矿区生态修复工程，坚持“谁开发、谁恢复”的原则，对于拒绝治理的矿山应引导、制裁、停产等行政措施加快推进矿山地质环境治理恢复工程的实施，大力开展矿区生态修复工作。</w:t>
      </w:r>
    </w:p>
    <w:p w14:paraId="66A161A4">
      <w:pPr>
        <w:bidi w:val="0"/>
        <w:rPr>
          <w:rFonts w:hint="eastAsia"/>
          <w:lang w:val="en-US" w:eastAsia="zh-CN"/>
        </w:rPr>
      </w:pPr>
      <w:r>
        <w:rPr>
          <w:rFonts w:hint="eastAsia"/>
          <w:lang w:val="en-US" w:eastAsia="zh-CN"/>
        </w:rPr>
        <w:t>加强矿区生态修复，实施绿色矿山示范点建设。严格对矿山地质环境保护、水土保持、土地复垦、地质灾害防治、消除安全隐患等方案完成情况的验收。已闭坑矿山，采取积极的措施，动员社会各方面力量进行地质环境治理恢复，有条件的矿山可通过学习外地先进科学措施加快实施绿色矿山示范点建设。</w:t>
      </w:r>
    </w:p>
    <w:p w14:paraId="2E60C280">
      <w:pPr>
        <w:bidi w:val="0"/>
        <w:rPr>
          <w:rFonts w:hint="eastAsia"/>
          <w:lang w:val="en-US" w:eastAsia="zh-CN"/>
        </w:rPr>
      </w:pPr>
      <w:r>
        <w:rPr>
          <w:rFonts w:hint="eastAsia"/>
          <w:lang w:val="en-US" w:eastAsia="zh-CN"/>
        </w:rPr>
        <w:t>遵照国家级绿色矿山建设的九条标准，加强绿色矿山建设，以实现矿山环境生态化为总体目标，积极推行“三位一体”的管理新模式和绿色生态助推矿业发展的崭新理念，有序推进、分步实施，构建资源、环境和社会效益相协调的矿山发展模式，建立绿色矿山建设长效机制，将阿克陶县主要矿山建设成一流的绿色矿山企业。</w:t>
      </w:r>
    </w:p>
    <w:p w14:paraId="5A2BA60E">
      <w:pPr>
        <w:pStyle w:val="3"/>
        <w:numPr>
          <w:ilvl w:val="0"/>
          <w:numId w:val="0"/>
        </w:numPr>
        <w:bidi w:val="0"/>
        <w:ind w:firstLine="602" w:firstLineChars="200"/>
        <w:rPr>
          <w:rFonts w:hint="default"/>
          <w:lang w:val="en-US" w:eastAsia="zh-CN"/>
        </w:rPr>
      </w:pPr>
      <w:bookmarkStart w:id="63" w:name="_Toc20583"/>
      <w:r>
        <w:rPr>
          <w:rFonts w:hint="eastAsia" w:ascii="Times New Roman" w:hAnsi="Times New Roman" w:eastAsia="楷体" w:cstheme="minorBidi"/>
          <w:b/>
          <w:kern w:val="2"/>
          <w:sz w:val="30"/>
          <w:szCs w:val="24"/>
          <w:lang w:val="en-US" w:eastAsia="zh-CN" w:bidi="ar-SA"/>
        </w:rPr>
        <w:t>第二节</w:t>
      </w:r>
      <w:r>
        <w:rPr>
          <w:rFonts w:hint="eastAsia" w:cstheme="minorBidi"/>
          <w:b/>
          <w:kern w:val="2"/>
          <w:sz w:val="30"/>
          <w:szCs w:val="24"/>
          <w:lang w:val="en-US" w:eastAsia="zh-CN" w:bidi="ar-SA"/>
        </w:rPr>
        <w:t xml:space="preserve"> </w:t>
      </w:r>
      <w:r>
        <w:rPr>
          <w:rFonts w:hint="eastAsia"/>
          <w:lang w:val="en-US" w:eastAsia="zh-CN"/>
        </w:rPr>
        <w:t>水土流失防治修复</w:t>
      </w:r>
      <w:bookmarkEnd w:id="63"/>
    </w:p>
    <w:p w14:paraId="1EF3BD7B">
      <w:pPr>
        <w:bidi w:val="0"/>
        <w:rPr>
          <w:rFonts w:hint="eastAsia"/>
          <w:lang w:val="en-US" w:eastAsia="zh-CN"/>
        </w:rPr>
      </w:pPr>
      <w:r>
        <w:rPr>
          <w:rFonts w:hint="eastAsia"/>
          <w:lang w:val="en-US" w:eastAsia="zh-CN"/>
        </w:rPr>
        <w:t>在水土流失地区，开展以小流域为单元的综合治理工程，加强绿洲内部、绿洲-荒漠过渡带以及重点开发区域的水土流失治理工作。保护林草植被和治理成果，强化生产建设活动和项目水土保持管理，实施封育保护，促进自然修复，全面预防水土流失，重点做好水土流失防治区、饮用水源地以及重要生态维护区的水土流失预防工作。</w:t>
      </w:r>
    </w:p>
    <w:p w14:paraId="5828B03F">
      <w:pPr>
        <w:bidi w:val="0"/>
        <w:rPr>
          <w:rFonts w:hint="eastAsia"/>
          <w:lang w:val="en-US" w:eastAsia="zh-CN"/>
        </w:rPr>
      </w:pPr>
      <w:r>
        <w:rPr>
          <w:rFonts w:hint="eastAsia"/>
          <w:lang w:val="en-US" w:eastAsia="zh-CN"/>
        </w:rPr>
        <w:t>2025年预计初步建成经济社会发展与资源环境承载力相适应的水土保持防治体系，重点防治地区生态进一步趋向好转，新增水土流失治理面积8.23平方公里，水土保持率达到77.1%；到2030年继续深化已经初步建成经济社会发展与资源环境承载力相适应的水土保持防治体系，重点防治地区生态进一步趋向好转，新增水土流失治理面积11.82平方公里，水土保持率达到77.12%；展望2035年，基本建成经济社会发展与资源环境承载力相适应的水土保持生态经济发展格局，重点防治地区生态实现良性循环，新增水土流失治理面积15.4平方公里，水土保持率达到77.13%。通过综合治理，水土流失面积和侵蚀强度有所下降，人为水土流失得到有效控制，林草植被得到有效保护和恢复，防风抗旱能力和农业生产基础条件提升。</w:t>
      </w:r>
    </w:p>
    <w:p w14:paraId="168D0A5F">
      <w:pPr>
        <w:pStyle w:val="3"/>
        <w:numPr>
          <w:ilvl w:val="0"/>
          <w:numId w:val="0"/>
        </w:numPr>
        <w:bidi w:val="0"/>
        <w:ind w:firstLine="602" w:firstLineChars="200"/>
        <w:rPr>
          <w:rFonts w:hint="eastAsia"/>
          <w:lang w:val="en-US" w:eastAsia="zh-CN"/>
        </w:rPr>
      </w:pPr>
      <w:bookmarkStart w:id="64" w:name="_Toc3135"/>
      <w:r>
        <w:rPr>
          <w:rFonts w:hint="eastAsia" w:ascii="Times New Roman" w:hAnsi="Times New Roman" w:eastAsia="楷体" w:cstheme="minorBidi"/>
          <w:b/>
          <w:kern w:val="2"/>
          <w:sz w:val="30"/>
          <w:szCs w:val="24"/>
          <w:lang w:val="en-US" w:eastAsia="zh-CN" w:bidi="ar-SA"/>
        </w:rPr>
        <w:t>第三节</w:t>
      </w:r>
      <w:r>
        <w:rPr>
          <w:rFonts w:hint="eastAsia" w:cstheme="minorBidi"/>
          <w:b/>
          <w:kern w:val="2"/>
          <w:sz w:val="30"/>
          <w:szCs w:val="24"/>
          <w:lang w:val="en-US" w:eastAsia="zh-CN" w:bidi="ar-SA"/>
        </w:rPr>
        <w:t xml:space="preserve"> </w:t>
      </w:r>
      <w:r>
        <w:rPr>
          <w:rFonts w:hint="eastAsia"/>
          <w:lang w:val="en-US" w:eastAsia="zh-CN"/>
        </w:rPr>
        <w:t>水生态系统保护修复</w:t>
      </w:r>
      <w:bookmarkEnd w:id="64"/>
    </w:p>
    <w:p w14:paraId="13648044">
      <w:pPr>
        <w:bidi w:val="0"/>
        <w:rPr>
          <w:rFonts w:hint="eastAsia"/>
          <w:lang w:val="en-US" w:eastAsia="zh-CN"/>
        </w:rPr>
      </w:pPr>
      <w:r>
        <w:rPr>
          <w:rFonts w:hint="eastAsia"/>
          <w:lang w:val="en-US" w:eastAsia="zh-CN"/>
        </w:rPr>
        <w:t>以河湖长制工作为抓手，水环境状况全面改善，重要河流湖泊水功能区水质达标率保持100%。重点流域和湖泊生态得到有效保护和修复。完善流域水生态功能分区管控体系，合理设置各级控制断面，明确各级控制断面水质保护目标；建立流域空间管控体系，落实县级行政区域的流域保护责任。</w:t>
      </w:r>
    </w:p>
    <w:p w14:paraId="74523B6C">
      <w:pPr>
        <w:bidi w:val="0"/>
        <w:rPr>
          <w:rFonts w:hint="eastAsia"/>
          <w:lang w:val="en-US" w:eastAsia="zh-CN"/>
        </w:rPr>
      </w:pPr>
      <w:r>
        <w:rPr>
          <w:rFonts w:hint="eastAsia"/>
          <w:lang w:val="en-US" w:eastAsia="zh-CN"/>
        </w:rPr>
        <w:t>实施重要河流源头区、重要饮用水水源地、湖泊湿地区、绿洲农田外围荒漠林草等预防保护工作；在盖孜河流域、玛尔坎苏河流域等重点治理区，严格河湖生态流量管理，保障河湖生态流量，促进水生态恢复，尤其在岸线保护与水生植物、水生生物等方面。同时，按照水利部贯彻落实乡村振兴战略的总体部署，积极推进生态清洁小流域建设。</w:t>
      </w:r>
    </w:p>
    <w:p w14:paraId="611C24EE">
      <w:pPr>
        <w:bidi w:val="0"/>
        <w:rPr>
          <w:rFonts w:hint="eastAsia"/>
          <w:lang w:val="en-US" w:eastAsia="zh-CN"/>
        </w:rPr>
      </w:pPr>
      <w:r>
        <w:rPr>
          <w:rFonts w:hint="eastAsia"/>
          <w:lang w:val="en-US" w:eastAsia="zh-CN"/>
        </w:rPr>
        <w:t>重点保护阿克陶县地下及河流型水源地，全部纳入水源地保护区范围。加强县域范围内地下水及库山河、盖孜河、塔什库尔干河等重要饮用水水源河段保护。严格水源地保护区管理，推动水源地保护区规范化建设。开展集中式饮用水水源地环境保护专项行动，推进水源地改造，实施农村饮水安全水源地保护工程。在饮用水水源保护区内，禁止设置排污口。禁止在饮用水水源一级保护区内新建、改建、扩建与供水设施和保护水源无关的建设项目。禁止在饮用水水源一级保护区内从事网箱养殖、旅游、游泳、垂钓或者其他可能污染饮用水水体的活动。禁止在饮用水水源二级保护区内新建、改建、扩建排放污染物的建设项目。在饮用水水源二级保护区内从事网箱养殖、旅游等活动的,应当按照规定采取措施，防止污染饮用水水体。</w:t>
      </w:r>
    </w:p>
    <w:p w14:paraId="5B2575BD">
      <w:pPr>
        <w:bidi w:val="0"/>
        <w:rPr>
          <w:rFonts w:hint="eastAsia"/>
          <w:lang w:val="en-US" w:eastAsia="zh-CN"/>
        </w:rPr>
      </w:pPr>
      <w:r>
        <w:rPr>
          <w:rFonts w:hint="eastAsia"/>
          <w:lang w:val="en-US" w:eastAsia="zh-CN"/>
        </w:rPr>
        <w:t>加强对冰川、重要水源涵养区的保护，重点提升帕米尔－喀喇昆仑山地水源涵养与生物多样性保护重要区的水源涵养。充分利用阿克陶县库山河、盖孜河的冲洪积平原的地下含水层，增加雨洪水、冰川融水入渗，恢复地下水储量，应对干旱年份用水需求。实施分区管控。将大型冰帽冰川、小规模冰川群等划入生态保护红线，对重要雪山冰川实施封禁保护，采取有效措施，严格控制人为扰动。重点保护奥依塔克冰川公园、慕士塔格峰等冰川雪山区域，对冰川旅游活动实施分区管控。在冰川生态脆弱区，禁止放牧、砍伐、狩猎、养殖、旅游、探险、开矿、采挖野生植物等影响冰川的行为；在永久积雪区，除国家和自治区规划的交通运输、电力输送等重要基础设施，禁止进行任何其他开发建设活动；在“旅游禁止区”，禁止任何旅游、探险活动，消除人为活动的直接性破坏和影响；在“旅游接待区”，开展生态旅游，促进流域生态环境保护与经济并重发展。</w:t>
      </w:r>
    </w:p>
    <w:p w14:paraId="2986B4C2">
      <w:pPr>
        <w:bidi w:val="0"/>
        <w:rPr>
          <w:rFonts w:hint="eastAsia"/>
          <w:lang w:val="en-US" w:eastAsia="zh-CN"/>
        </w:rPr>
      </w:pPr>
      <w:r>
        <w:rPr>
          <w:rFonts w:hint="eastAsia"/>
          <w:lang w:val="en-US" w:eastAsia="zh-CN"/>
        </w:rPr>
        <w:t>把冰川作为重点水源涵养区，在冰川雪山周边设定“禁牧区”严格保护雪山冰川和多年冻土带，维持雪山冰川冻土“固体水库”功能。对动植物资源及生态环境进行严格保护，按照生态规律合理开发利用其生物资源和旅游资源。进一步加强雪山群、冰川群、冻土监测，定期观测记录冰川雪线后退情况。推进雪山冰川冻土评估分析，及时预测雪山冰川变化并发出预警。</w:t>
      </w:r>
    </w:p>
    <w:p w14:paraId="76162A3F">
      <w:pPr>
        <w:pStyle w:val="3"/>
        <w:numPr>
          <w:ilvl w:val="0"/>
          <w:numId w:val="0"/>
        </w:numPr>
        <w:bidi w:val="0"/>
        <w:ind w:firstLine="602" w:firstLineChars="200"/>
        <w:rPr>
          <w:rFonts w:hint="eastAsia"/>
          <w:lang w:val="en-US" w:eastAsia="zh-CN"/>
        </w:rPr>
      </w:pPr>
      <w:bookmarkStart w:id="65" w:name="_Toc8845"/>
      <w:r>
        <w:rPr>
          <w:rFonts w:hint="eastAsia" w:ascii="Times New Roman" w:hAnsi="Times New Roman" w:eastAsia="楷体" w:cstheme="minorBidi"/>
          <w:b/>
          <w:kern w:val="2"/>
          <w:sz w:val="30"/>
          <w:szCs w:val="24"/>
          <w:lang w:val="en-US" w:eastAsia="zh-CN" w:bidi="ar-SA"/>
        </w:rPr>
        <w:t>第四节</w:t>
      </w:r>
      <w:r>
        <w:rPr>
          <w:rFonts w:hint="eastAsia" w:cstheme="minorBidi"/>
          <w:b/>
          <w:kern w:val="2"/>
          <w:sz w:val="30"/>
          <w:szCs w:val="24"/>
          <w:lang w:val="en-US" w:eastAsia="zh-CN" w:bidi="ar-SA"/>
        </w:rPr>
        <w:t xml:space="preserve"> </w:t>
      </w:r>
      <w:r>
        <w:rPr>
          <w:rFonts w:hint="eastAsia"/>
          <w:lang w:val="en-US" w:eastAsia="zh-CN"/>
        </w:rPr>
        <w:t>农田生态系统保护修复</w:t>
      </w:r>
      <w:bookmarkEnd w:id="65"/>
    </w:p>
    <w:p w14:paraId="72D8FC7C">
      <w:pPr>
        <w:bidi w:val="0"/>
        <w:rPr>
          <w:rFonts w:hint="default"/>
          <w:lang w:val="en-US" w:eastAsia="zh-CN"/>
        </w:rPr>
      </w:pPr>
      <w:r>
        <w:rPr>
          <w:rFonts w:hint="default"/>
          <w:lang w:val="en-US" w:eastAsia="zh-CN"/>
        </w:rPr>
        <w:t>严守耕地保护红线。落实“长牙齿”的耕地保护硬措施，坚决遏制耕地“非农化”、防止耕地“非粮化”，耕地主要用于粮食和棉、油、糖蔬菜等农产品及饲草饲料生产，高标准农田应当全部用于粮食生产。到2035年，耕地保有量不低于398.80平方公里（59.82万亩）。主要在巴仁乡、玉麦镇、皮拉勒乡、加马铁热克乡，托尔塔依农场，其中皮拉勒乡、托尔塔依农场等乡镇压减棉花面积，扩大粮食种植，实现粮食种植面积增长。</w:t>
      </w:r>
    </w:p>
    <w:p w14:paraId="1EEA1D70">
      <w:pPr>
        <w:bidi w:val="0"/>
        <w:rPr>
          <w:rFonts w:hint="default"/>
          <w:lang w:val="en-US" w:eastAsia="zh-CN"/>
        </w:rPr>
      </w:pPr>
      <w:r>
        <w:rPr>
          <w:rFonts w:hint="eastAsia"/>
        </w:rPr>
        <w:t>以永久基本农田为基础，优先在粮食生产功能区、重要农产品生产保护区建设高标准农田，逐步把永久基本农田全部建成旱涝保收的高标准农田。经依法批准确需占用的，应先补建后占用。在永久基本农田集中分布地区，不得规划新建可能造成污染的建设项目。</w:t>
      </w:r>
    </w:p>
    <w:p w14:paraId="21C5703D">
      <w:pPr>
        <w:bidi w:val="0"/>
        <w:rPr>
          <w:rFonts w:hint="default"/>
          <w:lang w:val="en-US" w:eastAsia="zh-CN"/>
        </w:rPr>
      </w:pPr>
      <w:r>
        <w:rPr>
          <w:rFonts w:hint="default"/>
          <w:lang w:val="en-US" w:eastAsia="zh-CN"/>
        </w:rPr>
        <w:t>提高耕地质量。坚持耕地数量和质量保护并重原则，粮食生产功能区和重要农产品生产保护区集中力量建设高标准农田，增加优质耕地面积，提高土地利用效能。通过实施土壤改良，采取测土配方施肥、秸秆还田、种植绿肥、增施有机肥、土壤调理剂等农艺措施改善土壤理化性质，有效降低中低产田比例，使建成后的高标准农田耕地地力等级提高。以土地整治专项资金为主体，引导和聚合相关涉农资金，推进土地整治和复耕复垦。开展耕地轮作休耕试点，提升耕地质量；加大农业水利设施建设力度，进一步改善农田农业生产条件，提升配套设施建设水平，促进农业现代化。</w:t>
      </w:r>
    </w:p>
    <w:p w14:paraId="6D559DB5">
      <w:pPr>
        <w:bidi w:val="0"/>
        <w:rPr>
          <w:rFonts w:hint="default"/>
          <w:lang w:val="en-US" w:eastAsia="zh-CN"/>
        </w:rPr>
      </w:pPr>
      <w:r>
        <w:rPr>
          <w:rFonts w:hint="default"/>
          <w:lang w:val="en-US" w:eastAsia="zh-CN"/>
        </w:rPr>
        <w:t>实行耕地污染防护与整治。推行清洁种植，推广测土配方等高效施肥技术，调整施肥结构，推广绿色防控措施，实施化肥减量和农药零增长行动，从源头减少化肥农药使用量；全县主要农作物化肥、农药使用量实现零增长。大力开展秸秆粉碎还田、堆沤还田、畜禽过腹还田等综合利用，打造全量利用样板县，秸秆综合利用率维持100%。加强废弃农膜和农药包装废弃物回收利用，开展农田废旧地膜回收利用示范县建设，加快农田废旧地膜回收利用加工厂和回收网点建设，开展农田残膜回收区域性示范，建立健全废弃农膜回收贮运和综合利用网络。强化畜禽养殖污染防治，加强畜禽养殖粪便处理后还田检测，鼓励支持畜禽粪便处理利用设施建设。</w:t>
      </w:r>
    </w:p>
    <w:p w14:paraId="6BEFFE4D">
      <w:pPr>
        <w:pStyle w:val="3"/>
        <w:bidi w:val="0"/>
        <w:rPr>
          <w:rFonts w:hint="eastAsia"/>
          <w:lang w:val="en-US" w:eastAsia="zh-CN"/>
        </w:rPr>
      </w:pPr>
      <w:bookmarkStart w:id="66" w:name="_Toc27090"/>
      <w:r>
        <w:rPr>
          <w:rFonts w:hint="eastAsia"/>
          <w:lang w:val="en-US" w:eastAsia="zh-CN"/>
        </w:rPr>
        <w:t>第五节 森林生态系统保护修复</w:t>
      </w:r>
      <w:bookmarkEnd w:id="66"/>
    </w:p>
    <w:p w14:paraId="1BF94803">
      <w:pPr>
        <w:bidi w:val="0"/>
        <w:rPr>
          <w:rFonts w:hint="eastAsia"/>
          <w:lang w:val="en-US" w:eastAsia="zh-CN"/>
        </w:rPr>
      </w:pPr>
      <w:r>
        <w:rPr>
          <w:rFonts w:hint="eastAsia"/>
          <w:lang w:val="en-US" w:eastAsia="zh-CN"/>
        </w:rPr>
        <w:t>着力构建帕米尔高原—西昆仑山生态屏障，加大天然林保护修复和草原生态修复。通过林中空地造林等措施，逐步恢复天然林功能。科学建设草原围栏，推进轮牧管理，大力实施人工种草、治理毒害草和退化草原改良，减轻草原放牧强度，加强草原保护修复。</w:t>
      </w:r>
    </w:p>
    <w:p w14:paraId="1504B0EA">
      <w:pPr>
        <w:bidi w:val="0"/>
        <w:rPr>
          <w:rFonts w:hint="eastAsia"/>
          <w:lang w:val="en-US" w:eastAsia="zh-CN"/>
        </w:rPr>
      </w:pPr>
      <w:r>
        <w:rPr>
          <w:rFonts w:hint="eastAsia"/>
          <w:lang w:val="en-US" w:eastAsia="zh-CN"/>
        </w:rPr>
        <w:t>实行占用林地总量控制，定额管理。严格林地用途管制和分级管控，坚持节约集约利用林地，提高林地保护利用率。在阿克陶县克孜勒苏河以南的帕米尔高原和昆仑山区域，重点加大天然林保护，促进天然林更新,完善天然林管护基础设施，加强天然灌木林和天然草场的管护和封育。重点加强塔里木盆地绿洲防护经济林区人工林抚育，加大人工纯林改造力度，积极营造混交林。以塔里木河流域生态修复工程为依托，巩固建设成果，提高造林种草质量。严格限制天然林采伐，公益林可以进行抚育、更新和低质低效改造性质的采伐，严格执行限额采伐和凭证采伐的管理制度。全面停止天然林商业性采伐，不得将天然林改造为人工林，不得擅自将公益林改为商品林，对林地的占用要实行最严格的审批。</w:t>
      </w:r>
    </w:p>
    <w:p w14:paraId="155F81CC">
      <w:pPr>
        <w:bidi w:val="0"/>
        <w:rPr>
          <w:rFonts w:hint="eastAsia"/>
          <w:lang w:val="en-US" w:eastAsia="zh-CN"/>
        </w:rPr>
      </w:pPr>
      <w:r>
        <w:rPr>
          <w:rFonts w:hint="eastAsia"/>
          <w:lang w:val="en-US" w:eastAsia="zh-CN"/>
        </w:rPr>
        <w:t>加强湿地生态保护。明确湿地管控要求，加强湿地生态恢复。将新疆帕米尔高原湿地地方级自然保护区、风景名胜区等自然保护地内的湿地纳入到生态保护红线，积极申报一批湿地保护小区，强化湿地保护和恢复。严格控制农业面源污染，优先在盖孜河和库山河上游及河谷地带划定限养区与禁养区，采用合理的灌溉方式，清理湿地保护范围内的生活垃圾、建筑垃圾、废弃树干、农业废弃物等固体废弃物。严格沼泽湿地开发利用，禁止在沼泽湿地擅自开采地下水和向外排放蓄水。</w:t>
      </w:r>
    </w:p>
    <w:p w14:paraId="473E19D5">
      <w:pPr>
        <w:bidi w:val="0"/>
        <w:rPr>
          <w:rFonts w:hint="eastAsia"/>
          <w:lang w:val="en-US" w:eastAsia="zh-CN"/>
        </w:rPr>
      </w:pPr>
      <w:r>
        <w:rPr>
          <w:rFonts w:hint="eastAsia"/>
          <w:lang w:val="en-US" w:eastAsia="zh-CN"/>
        </w:rPr>
        <w:t>提升湿地生态环境。对新疆帕米尔高原湿地地方级自然保护区及盖孜河、库山河流域等湿地实施全面保护、逐步修复。强化湿地自然保护区，实施湿地保护工程，增强湿地生态功能，提升湿地生态系统对鸟类等生物多样性维持功能，加大湿地野生动植物保护工作，加强日常巡查，杜绝乱捕滥猎野生动物资源违法行为发生。</w:t>
      </w:r>
    </w:p>
    <w:p w14:paraId="783872A0">
      <w:pPr>
        <w:pStyle w:val="3"/>
        <w:bidi w:val="0"/>
        <w:rPr>
          <w:rFonts w:hint="eastAsia"/>
          <w:lang w:val="en-US" w:eastAsia="zh-CN"/>
        </w:rPr>
      </w:pPr>
      <w:bookmarkStart w:id="67" w:name="_Toc32361"/>
      <w:r>
        <w:rPr>
          <w:rFonts w:hint="eastAsia"/>
          <w:lang w:val="en-US" w:eastAsia="zh-CN"/>
        </w:rPr>
        <w:t>第六节 生物多样性保护</w:t>
      </w:r>
      <w:bookmarkEnd w:id="67"/>
    </w:p>
    <w:p w14:paraId="58DB6998">
      <w:pPr>
        <w:bidi w:val="0"/>
        <w:rPr>
          <w:rFonts w:hint="eastAsia"/>
          <w:lang w:val="en-US" w:eastAsia="zh-CN"/>
        </w:rPr>
      </w:pPr>
      <w:r>
        <w:rPr>
          <w:rFonts w:hint="eastAsia"/>
          <w:lang w:val="en-US" w:eastAsia="zh-CN"/>
        </w:rPr>
        <w:t>保护生物多样性、强化湿地保护和恢复。在叶尔羌河流经地区，实施生态流量泄放、鱼道建设和增殖放流，新疆帕米尔高原湿地自然保护区实施自然养护、资源养护和生态保护等措施。推动开展湿地生态效益补偿工作。实施生物多样性保护工程，推动动植物保护能力提升工程建设，实施濒危野生动植物保护监测、野生动物救护拯救工程。</w:t>
      </w:r>
    </w:p>
    <w:p w14:paraId="5C91889E">
      <w:pPr>
        <w:numPr>
          <w:ilvl w:val="0"/>
          <w:numId w:val="0"/>
        </w:numPr>
        <w:bidi w:val="0"/>
        <w:ind w:firstLine="562" w:firstLineChars="200"/>
        <w:rPr>
          <w:rFonts w:hint="eastAsia"/>
          <w:b/>
          <w:bCs/>
          <w:lang w:val="en-US" w:eastAsia="zh-CN"/>
        </w:rPr>
      </w:pPr>
    </w:p>
    <w:p w14:paraId="2EBC1B4C">
      <w:pPr>
        <w:numPr>
          <w:ilvl w:val="0"/>
          <w:numId w:val="0"/>
        </w:numPr>
        <w:bidi w:val="0"/>
        <w:ind w:firstLine="562" w:firstLineChars="200"/>
        <w:rPr>
          <w:rFonts w:hint="eastAsia"/>
          <w:b/>
          <w:bCs/>
          <w:lang w:val="en-US" w:eastAsia="zh-CN"/>
        </w:rPr>
        <w:sectPr>
          <w:pgSz w:w="11906" w:h="16838"/>
          <w:pgMar w:top="1247" w:right="1247" w:bottom="1247" w:left="1247" w:header="851" w:footer="992" w:gutter="0"/>
          <w:pgNumType w:fmt="decimal"/>
          <w:cols w:space="425" w:num="1"/>
          <w:docGrid w:type="lines" w:linePitch="312" w:charSpace="0"/>
        </w:sectPr>
      </w:pPr>
    </w:p>
    <w:p w14:paraId="7BBA291A">
      <w:pPr>
        <w:pStyle w:val="2"/>
        <w:bidi w:val="0"/>
        <w:rPr>
          <w:rFonts w:hint="eastAsia"/>
          <w:lang w:val="en-US" w:eastAsia="zh-CN"/>
        </w:rPr>
      </w:pPr>
      <w:bookmarkStart w:id="68" w:name="_Toc9885"/>
      <w:r>
        <w:rPr>
          <w:rFonts w:hint="eastAsia"/>
          <w:lang w:val="en-US" w:eastAsia="zh-CN"/>
        </w:rPr>
        <w:t>第六章 重点工程部署</w:t>
      </w:r>
      <w:bookmarkEnd w:id="68"/>
    </w:p>
    <w:p w14:paraId="34B9238B">
      <w:pPr>
        <w:bidi w:val="0"/>
        <w:rPr>
          <w:rFonts w:hint="eastAsia"/>
          <w:lang w:val="en-US" w:eastAsia="zh-CN"/>
        </w:rPr>
      </w:pPr>
      <w:r>
        <w:rPr>
          <w:rFonts w:hint="eastAsia"/>
          <w:lang w:val="en-US" w:eastAsia="zh-CN"/>
        </w:rPr>
        <w:t>结合自然地理特征和生态环境问题，充分利用资源环境承载能力和国土空间开发适宜性评价结果，根据不同类型整治修复特点和任务，对阿克陶县全域进行分区，统筹整治修复总体布局，合理确定生态系统保护修复区域，差异化反应不同分区整治修复主导方向，安排整治修复重点项目工程。主要部署在水生态保护与修复工程、农村环境整治、盐碱耕地改良、重要地质灾害隐患治理工程等4大类工程，分项工程共计13项。项目总投资59549.77万元，其中水生态保护与修复工程投资额14306.0万元、盐碱地改良示范工程投资额31006.2万元、</w:t>
      </w:r>
      <w:r>
        <w:rPr>
          <w:rFonts w:hint="eastAsia" w:ascii="Times New Roman" w:hAnsi="Times New Roman"/>
          <w:lang w:val="en-US" w:eastAsia="zh-CN"/>
        </w:rPr>
        <w:t>农村环境整治工程投资额1500.0万元</w:t>
      </w:r>
      <w:r>
        <w:rPr>
          <w:rFonts w:hint="eastAsia"/>
          <w:lang w:val="en-US" w:eastAsia="zh-CN"/>
        </w:rPr>
        <w:t>、重要地质灾害隐患治理工程投资额12737.57万元。</w:t>
      </w:r>
    </w:p>
    <w:p w14:paraId="25D84851">
      <w:pPr>
        <w:bidi w:val="0"/>
        <w:rPr>
          <w:rFonts w:hint="default"/>
          <w:lang w:val="en-US" w:eastAsia="zh-CN"/>
        </w:rPr>
      </w:pPr>
      <w:r>
        <w:rPr>
          <w:rFonts w:hint="default"/>
          <w:lang w:val="en-US" w:eastAsia="zh-CN"/>
        </w:rPr>
        <w:t>资金来源主要为中央及省级专项资金，建设过程中鼓励地方配套、社会参与多元化投入。对资金投入进行科学核算、总体安排，加强对资金使用绩效评价和项目后续管理，提高资金的使用效益，确保达到预期规划目标。</w:t>
      </w:r>
    </w:p>
    <w:p w14:paraId="755EB8EF">
      <w:pPr>
        <w:bidi w:val="0"/>
        <w:rPr>
          <w:rFonts w:hint="default"/>
          <w:lang w:val="en-US" w:eastAsia="zh-CN"/>
        </w:rPr>
        <w:sectPr>
          <w:pgSz w:w="11906" w:h="16838"/>
          <w:pgMar w:top="1247" w:right="1247" w:bottom="1247" w:left="1247" w:header="851" w:footer="992" w:gutter="0"/>
          <w:pgNumType w:fmt="decimal"/>
          <w:cols w:space="425" w:num="1"/>
          <w:docGrid w:type="lines" w:linePitch="312" w:charSpace="0"/>
        </w:sectPr>
      </w:pPr>
      <w:r>
        <w:rPr>
          <w:rFonts w:hint="default"/>
          <w:lang w:val="en-US" w:eastAsia="zh-CN"/>
        </w:rPr>
        <w:t>各项重点工程投资金额以批复后规划设计投资预算为准，并根据实际情况每年安排专项财政资金，作为组织实施</w:t>
      </w:r>
      <w:r>
        <w:rPr>
          <w:rFonts w:hint="eastAsia"/>
          <w:lang w:val="en-US" w:eastAsia="zh-CN"/>
        </w:rPr>
        <w:t>阿克陶县</w:t>
      </w:r>
      <w:r>
        <w:rPr>
          <w:rFonts w:hint="default"/>
          <w:lang w:val="en-US" w:eastAsia="zh-CN"/>
        </w:rPr>
        <w:t>生态功能保护修复专项工作经费。每年的项目经费根据当年财力安排，并充分利用多元化的资金筹措方式，部分重点工程项目应积极申请国家、省、市的财政支持。另外，各项重点工程的开展需按相关程序，完成行政审批手续。</w:t>
      </w:r>
    </w:p>
    <w:p w14:paraId="7A3001C2">
      <w:pPr>
        <w:pStyle w:val="11"/>
        <w:bidi w:val="0"/>
        <w:outlineLvl w:val="1"/>
        <w:rPr>
          <w:rFonts w:hint="default"/>
          <w:lang w:val="en-US" w:eastAsia="zh-CN"/>
        </w:rPr>
      </w:pPr>
      <w:bookmarkStart w:id="69" w:name="_Toc19589"/>
      <w:r>
        <w:rPr>
          <w:rFonts w:hint="eastAsia"/>
          <w:b/>
          <w:bCs w:val="0"/>
          <w:lang w:val="en-US" w:eastAsia="zh-CN"/>
        </w:rPr>
        <w:t>生态功能保护修复治理重点工程信息表</w:t>
      </w:r>
      <w:bookmarkEnd w:id="69"/>
    </w:p>
    <w:tbl>
      <w:tblPr>
        <w:tblStyle w:val="7"/>
        <w:tblW w:w="9432" w:type="dxa"/>
        <w:jc w:val="center"/>
        <w:tblLayout w:type="autofit"/>
        <w:tblCellMar>
          <w:top w:w="0" w:type="dxa"/>
          <w:left w:w="0" w:type="dxa"/>
          <w:bottom w:w="0" w:type="dxa"/>
          <w:right w:w="0" w:type="dxa"/>
        </w:tblCellMar>
      </w:tblPr>
      <w:tblGrid>
        <w:gridCol w:w="2721"/>
        <w:gridCol w:w="6711"/>
      </w:tblGrid>
      <w:tr w14:paraId="1E83752D">
        <w:tblPrEx>
          <w:tblCellMar>
            <w:top w:w="0" w:type="dxa"/>
            <w:left w:w="0" w:type="dxa"/>
            <w:bottom w:w="0" w:type="dxa"/>
            <w:right w:w="0" w:type="dxa"/>
          </w:tblCellMar>
        </w:tblPrEx>
        <w:trPr>
          <w:trHeight w:val="300" w:hRule="atLeast"/>
          <w:tblHeader/>
          <w:jc w:val="center"/>
        </w:trPr>
        <w:tc>
          <w:tcPr>
            <w:tcW w:w="272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4E5673">
            <w:pPr>
              <w:pStyle w:val="12"/>
              <w:bidi w:val="0"/>
              <w:rPr>
                <w:sz w:val="24"/>
                <w:szCs w:val="24"/>
              </w:rPr>
            </w:pPr>
            <w:r>
              <w:rPr>
                <w:rFonts w:hint="default"/>
                <w:sz w:val="24"/>
                <w:szCs w:val="24"/>
              </w:rPr>
              <w:t>工程类型</w:t>
            </w:r>
          </w:p>
        </w:tc>
        <w:tc>
          <w:tcPr>
            <w:tcW w:w="67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5731F9">
            <w:pPr>
              <w:pStyle w:val="12"/>
              <w:bidi w:val="0"/>
              <w:rPr>
                <w:sz w:val="24"/>
                <w:szCs w:val="24"/>
              </w:rPr>
            </w:pPr>
            <w:r>
              <w:rPr>
                <w:rFonts w:hint="default"/>
                <w:sz w:val="24"/>
                <w:szCs w:val="24"/>
              </w:rPr>
              <w:t>工程名称</w:t>
            </w:r>
          </w:p>
        </w:tc>
      </w:tr>
      <w:tr w14:paraId="0EDFCEB2">
        <w:tblPrEx>
          <w:tblCellMar>
            <w:top w:w="0" w:type="dxa"/>
            <w:left w:w="0" w:type="dxa"/>
            <w:bottom w:w="0" w:type="dxa"/>
            <w:right w:w="0" w:type="dxa"/>
          </w:tblCellMar>
        </w:tblPrEx>
        <w:trPr>
          <w:trHeight w:val="303" w:hRule="atLeast"/>
          <w:jc w:val="center"/>
        </w:trPr>
        <w:tc>
          <w:tcPr>
            <w:tcW w:w="2721" w:type="dxa"/>
            <w:vMerge w:val="restart"/>
            <w:tcBorders>
              <w:top w:val="nil"/>
              <w:left w:val="single" w:color="000000" w:sz="8" w:space="0"/>
              <w:right w:val="single" w:color="000000" w:sz="8" w:space="0"/>
            </w:tcBorders>
            <w:shd w:val="clear" w:color="auto" w:fill="auto"/>
            <w:vAlign w:val="center"/>
          </w:tcPr>
          <w:p w14:paraId="3A832F68">
            <w:pPr>
              <w:pStyle w:val="12"/>
              <w:bidi w:val="0"/>
              <w:rPr>
                <w:sz w:val="24"/>
                <w:szCs w:val="24"/>
              </w:rPr>
            </w:pPr>
            <w:r>
              <w:rPr>
                <w:rFonts w:hint="eastAsia"/>
                <w:sz w:val="24"/>
                <w:szCs w:val="24"/>
              </w:rPr>
              <w:t>水生态保护与修复工程</w:t>
            </w:r>
          </w:p>
        </w:tc>
        <w:tc>
          <w:tcPr>
            <w:tcW w:w="6711" w:type="dxa"/>
            <w:tcBorders>
              <w:top w:val="nil"/>
              <w:left w:val="single" w:color="000000" w:sz="8" w:space="0"/>
              <w:bottom w:val="single" w:color="000000" w:sz="8" w:space="0"/>
              <w:right w:val="single" w:color="000000" w:sz="8" w:space="0"/>
            </w:tcBorders>
            <w:shd w:val="clear" w:color="auto" w:fill="auto"/>
            <w:vAlign w:val="center"/>
          </w:tcPr>
          <w:p w14:paraId="55BE89D0">
            <w:pPr>
              <w:pStyle w:val="12"/>
              <w:bidi w:val="0"/>
              <w:rPr>
                <w:sz w:val="24"/>
                <w:szCs w:val="24"/>
              </w:rPr>
            </w:pPr>
            <w:r>
              <w:rPr>
                <w:rFonts w:hint="eastAsia"/>
                <w:sz w:val="24"/>
                <w:szCs w:val="24"/>
              </w:rPr>
              <w:t>新疆塔里木河流域盖孜河阿克陶县段水生态保护与修复工程</w:t>
            </w:r>
          </w:p>
        </w:tc>
      </w:tr>
      <w:tr w14:paraId="683CC653">
        <w:tblPrEx>
          <w:tblCellMar>
            <w:top w:w="0" w:type="dxa"/>
            <w:left w:w="0" w:type="dxa"/>
            <w:bottom w:w="0" w:type="dxa"/>
            <w:right w:w="0" w:type="dxa"/>
          </w:tblCellMar>
        </w:tblPrEx>
        <w:trPr>
          <w:trHeight w:val="303" w:hRule="atLeast"/>
          <w:jc w:val="center"/>
        </w:trPr>
        <w:tc>
          <w:tcPr>
            <w:tcW w:w="2721" w:type="dxa"/>
            <w:vMerge w:val="continue"/>
            <w:tcBorders>
              <w:left w:val="single" w:color="000000" w:sz="8" w:space="0"/>
              <w:bottom w:val="single" w:color="000000" w:sz="8" w:space="0"/>
              <w:right w:val="single" w:color="000000" w:sz="8" w:space="0"/>
            </w:tcBorders>
            <w:shd w:val="clear" w:color="auto" w:fill="auto"/>
            <w:vAlign w:val="center"/>
          </w:tcPr>
          <w:p w14:paraId="45829B16">
            <w:pPr>
              <w:pStyle w:val="12"/>
              <w:bidi w:val="0"/>
              <w:rPr>
                <w:rFonts w:hint="default" w:eastAsia="仿宋"/>
                <w:sz w:val="24"/>
                <w:szCs w:val="24"/>
                <w:lang w:val="en-US" w:eastAsia="zh-CN"/>
              </w:rPr>
            </w:pPr>
          </w:p>
        </w:tc>
        <w:tc>
          <w:tcPr>
            <w:tcW w:w="6711" w:type="dxa"/>
            <w:tcBorders>
              <w:top w:val="nil"/>
              <w:left w:val="single" w:color="000000" w:sz="8" w:space="0"/>
              <w:bottom w:val="single" w:color="000000" w:sz="8" w:space="0"/>
              <w:right w:val="single" w:color="000000" w:sz="8" w:space="0"/>
            </w:tcBorders>
            <w:shd w:val="clear" w:color="auto" w:fill="auto"/>
            <w:vAlign w:val="center"/>
          </w:tcPr>
          <w:p w14:paraId="3E847C8D">
            <w:pPr>
              <w:pStyle w:val="12"/>
              <w:bidi w:val="0"/>
              <w:rPr>
                <w:sz w:val="24"/>
                <w:szCs w:val="24"/>
              </w:rPr>
            </w:pPr>
            <w:r>
              <w:rPr>
                <w:rFonts w:hint="eastAsia"/>
                <w:sz w:val="24"/>
                <w:szCs w:val="24"/>
              </w:rPr>
              <w:t>阿克陶县江西工业园区地下水污染详细调查和风险评估项目</w:t>
            </w:r>
          </w:p>
        </w:tc>
      </w:tr>
      <w:tr w14:paraId="6FEB10E7">
        <w:tblPrEx>
          <w:tblCellMar>
            <w:top w:w="0" w:type="dxa"/>
            <w:left w:w="0" w:type="dxa"/>
            <w:bottom w:w="0" w:type="dxa"/>
            <w:right w:w="0" w:type="dxa"/>
          </w:tblCellMar>
        </w:tblPrEx>
        <w:trPr>
          <w:trHeight w:val="303" w:hRule="atLeast"/>
          <w:jc w:val="center"/>
        </w:trPr>
        <w:tc>
          <w:tcPr>
            <w:tcW w:w="2721" w:type="dxa"/>
            <w:tcBorders>
              <w:top w:val="nil"/>
              <w:left w:val="single" w:color="000000" w:sz="8" w:space="0"/>
              <w:bottom w:val="single" w:color="000000" w:sz="8" w:space="0"/>
              <w:right w:val="single" w:color="000000" w:sz="8" w:space="0"/>
            </w:tcBorders>
            <w:shd w:val="clear" w:color="auto" w:fill="auto"/>
            <w:vAlign w:val="center"/>
          </w:tcPr>
          <w:p w14:paraId="58D9E3E2">
            <w:pPr>
              <w:pStyle w:val="12"/>
              <w:bidi w:val="0"/>
              <w:ind w:firstLine="0" w:firstLineChars="0"/>
              <w:rPr>
                <w:rFonts w:hint="eastAsia" w:ascii="Times New Roman" w:hAnsi="Times New Roman" w:eastAsia="仿宋" w:cstheme="minorBidi"/>
                <w:bCs/>
                <w:kern w:val="2"/>
                <w:sz w:val="24"/>
                <w:szCs w:val="24"/>
                <w:lang w:val="en-US" w:eastAsia="zh-CN" w:bidi="ar-SA"/>
              </w:rPr>
            </w:pPr>
            <w:r>
              <w:rPr>
                <w:rFonts w:hint="eastAsia"/>
                <w:sz w:val="24"/>
                <w:szCs w:val="24"/>
                <w:lang w:val="en-US" w:eastAsia="zh-CN"/>
              </w:rPr>
              <w:t>农村环境整治</w:t>
            </w:r>
          </w:p>
        </w:tc>
        <w:tc>
          <w:tcPr>
            <w:tcW w:w="6711" w:type="dxa"/>
            <w:tcBorders>
              <w:top w:val="nil"/>
              <w:left w:val="single" w:color="000000" w:sz="8" w:space="0"/>
              <w:bottom w:val="single" w:color="000000" w:sz="8" w:space="0"/>
              <w:right w:val="single" w:color="000000" w:sz="8" w:space="0"/>
            </w:tcBorders>
            <w:shd w:val="clear" w:color="auto" w:fill="auto"/>
            <w:vAlign w:val="center"/>
          </w:tcPr>
          <w:p w14:paraId="053485F3">
            <w:pPr>
              <w:pStyle w:val="12"/>
              <w:bidi w:val="0"/>
              <w:ind w:firstLine="0" w:firstLineChars="0"/>
              <w:rPr>
                <w:rFonts w:hint="eastAsia" w:ascii="Times New Roman" w:hAnsi="Times New Roman" w:eastAsia="仿宋" w:cstheme="minorBidi"/>
                <w:bCs/>
                <w:kern w:val="2"/>
                <w:sz w:val="24"/>
                <w:szCs w:val="24"/>
                <w:lang w:val="en-US" w:eastAsia="zh-CN" w:bidi="ar-SA"/>
              </w:rPr>
            </w:pPr>
            <w:r>
              <w:rPr>
                <w:rFonts w:hint="eastAsia"/>
                <w:sz w:val="24"/>
                <w:szCs w:val="24"/>
                <w:lang w:val="en-US" w:eastAsia="zh-CN"/>
              </w:rPr>
              <w:t>巴仁乡、玉麦镇等乡镇农村环境整治项目</w:t>
            </w:r>
          </w:p>
        </w:tc>
      </w:tr>
      <w:tr w14:paraId="0249FE5A">
        <w:tblPrEx>
          <w:tblCellMar>
            <w:top w:w="0" w:type="dxa"/>
            <w:left w:w="0" w:type="dxa"/>
            <w:bottom w:w="0" w:type="dxa"/>
            <w:right w:w="0" w:type="dxa"/>
          </w:tblCellMar>
        </w:tblPrEx>
        <w:trPr>
          <w:trHeight w:val="303" w:hRule="atLeast"/>
          <w:jc w:val="center"/>
        </w:trPr>
        <w:tc>
          <w:tcPr>
            <w:tcW w:w="2721" w:type="dxa"/>
            <w:tcBorders>
              <w:top w:val="nil"/>
              <w:left w:val="single" w:color="000000" w:sz="8" w:space="0"/>
              <w:bottom w:val="single" w:color="000000" w:sz="8" w:space="0"/>
              <w:right w:val="single" w:color="000000" w:sz="8" w:space="0"/>
            </w:tcBorders>
            <w:shd w:val="clear" w:color="auto" w:fill="auto"/>
            <w:vAlign w:val="center"/>
          </w:tcPr>
          <w:p w14:paraId="71D05ADE">
            <w:pPr>
              <w:pStyle w:val="12"/>
              <w:bidi w:val="0"/>
              <w:rPr>
                <w:rFonts w:hint="default"/>
                <w:sz w:val="24"/>
                <w:szCs w:val="24"/>
                <w:lang w:val="en-US" w:eastAsia="zh-CN"/>
              </w:rPr>
            </w:pPr>
            <w:r>
              <w:rPr>
                <w:rFonts w:hint="eastAsia"/>
                <w:sz w:val="24"/>
                <w:szCs w:val="24"/>
                <w:lang w:val="en-US" w:eastAsia="zh-CN"/>
              </w:rPr>
              <w:t>盐碱耕地改良</w:t>
            </w:r>
          </w:p>
        </w:tc>
        <w:tc>
          <w:tcPr>
            <w:tcW w:w="6711" w:type="dxa"/>
            <w:tcBorders>
              <w:top w:val="nil"/>
              <w:left w:val="single" w:color="000000" w:sz="8" w:space="0"/>
              <w:bottom w:val="single" w:color="000000" w:sz="8" w:space="0"/>
              <w:right w:val="single" w:color="000000" w:sz="8" w:space="0"/>
            </w:tcBorders>
            <w:shd w:val="clear" w:color="auto" w:fill="auto"/>
            <w:vAlign w:val="center"/>
          </w:tcPr>
          <w:p w14:paraId="31866FA4">
            <w:pPr>
              <w:pStyle w:val="12"/>
              <w:bidi w:val="0"/>
              <w:rPr>
                <w:rFonts w:hint="default" w:eastAsia="仿宋"/>
                <w:sz w:val="24"/>
                <w:szCs w:val="24"/>
                <w:lang w:val="en-US" w:eastAsia="zh-CN"/>
              </w:rPr>
            </w:pPr>
            <w:r>
              <w:rPr>
                <w:rFonts w:hint="eastAsia"/>
                <w:sz w:val="24"/>
                <w:szCs w:val="24"/>
                <w:lang w:val="en-US" w:eastAsia="zh-CN"/>
              </w:rPr>
              <w:t>盐碱地改良示范工程</w:t>
            </w:r>
          </w:p>
        </w:tc>
      </w:tr>
      <w:tr w14:paraId="6CFFF79B">
        <w:tblPrEx>
          <w:tblCellMar>
            <w:top w:w="0" w:type="dxa"/>
            <w:left w:w="0" w:type="dxa"/>
            <w:bottom w:w="0" w:type="dxa"/>
            <w:right w:w="0" w:type="dxa"/>
          </w:tblCellMar>
        </w:tblPrEx>
        <w:trPr>
          <w:trHeight w:val="324" w:hRule="atLeast"/>
          <w:jc w:val="center"/>
        </w:trPr>
        <w:tc>
          <w:tcPr>
            <w:tcW w:w="2721" w:type="dxa"/>
            <w:vMerge w:val="restart"/>
            <w:tcBorders>
              <w:top w:val="nil"/>
              <w:left w:val="single" w:color="000000" w:sz="8" w:space="0"/>
              <w:bottom w:val="single" w:color="000000" w:sz="8" w:space="0"/>
              <w:right w:val="single" w:color="000000" w:sz="8" w:space="0"/>
            </w:tcBorders>
            <w:shd w:val="clear" w:color="auto" w:fill="auto"/>
            <w:vAlign w:val="center"/>
          </w:tcPr>
          <w:p w14:paraId="1D7EF878">
            <w:pPr>
              <w:pStyle w:val="12"/>
              <w:bidi w:val="0"/>
              <w:rPr>
                <w:sz w:val="24"/>
                <w:szCs w:val="24"/>
              </w:rPr>
            </w:pPr>
            <w:r>
              <w:rPr>
                <w:rFonts w:hint="eastAsia"/>
                <w:sz w:val="24"/>
                <w:szCs w:val="24"/>
              </w:rPr>
              <w:t>重要地质灾害隐患治理工程</w:t>
            </w:r>
          </w:p>
        </w:tc>
        <w:tc>
          <w:tcPr>
            <w:tcW w:w="6711" w:type="dxa"/>
            <w:tcBorders>
              <w:top w:val="nil"/>
              <w:left w:val="single" w:color="000000" w:sz="8" w:space="0"/>
              <w:bottom w:val="single" w:color="000000" w:sz="8" w:space="0"/>
              <w:right w:val="single" w:color="000000" w:sz="8" w:space="0"/>
            </w:tcBorders>
            <w:shd w:val="clear" w:color="auto" w:fill="auto"/>
            <w:vAlign w:val="center"/>
          </w:tcPr>
          <w:p w14:paraId="2B0ED7DB">
            <w:pPr>
              <w:pStyle w:val="12"/>
              <w:bidi w:val="0"/>
              <w:rPr>
                <w:rFonts w:hint="eastAsia" w:ascii="Times New Roman" w:hAnsi="Times New Roman"/>
                <w:sz w:val="24"/>
                <w:szCs w:val="24"/>
              </w:rPr>
            </w:pPr>
            <w:r>
              <w:rPr>
                <w:rFonts w:hint="default" w:ascii="Times New Roman" w:hAnsi="Times New Roman"/>
                <w:sz w:val="24"/>
                <w:szCs w:val="24"/>
                <w:lang w:val="en-US" w:eastAsia="zh-CN"/>
              </w:rPr>
              <w:t>布伦口乡盖孜新村泥石流灾害治理工程</w:t>
            </w:r>
          </w:p>
        </w:tc>
      </w:tr>
      <w:tr w14:paraId="0D004119">
        <w:tblPrEx>
          <w:tblCellMar>
            <w:top w:w="0" w:type="dxa"/>
            <w:left w:w="0" w:type="dxa"/>
            <w:bottom w:w="0" w:type="dxa"/>
            <w:right w:w="0" w:type="dxa"/>
          </w:tblCellMar>
        </w:tblPrEx>
        <w:trPr>
          <w:trHeight w:val="303" w:hRule="atLeast"/>
          <w:jc w:val="center"/>
        </w:trPr>
        <w:tc>
          <w:tcPr>
            <w:tcW w:w="2721" w:type="dxa"/>
            <w:vMerge w:val="continue"/>
            <w:tcBorders>
              <w:top w:val="nil"/>
              <w:left w:val="single" w:color="000000" w:sz="8" w:space="0"/>
              <w:bottom w:val="single" w:color="000000" w:sz="8" w:space="0"/>
              <w:right w:val="single" w:color="000000" w:sz="8" w:space="0"/>
            </w:tcBorders>
            <w:shd w:val="clear" w:color="auto" w:fill="auto"/>
            <w:vAlign w:val="center"/>
          </w:tcPr>
          <w:p w14:paraId="6B71CB83">
            <w:pPr>
              <w:pStyle w:val="12"/>
              <w:bidi w:val="0"/>
              <w:rPr>
                <w:sz w:val="24"/>
                <w:szCs w:val="24"/>
              </w:rPr>
            </w:pPr>
          </w:p>
        </w:tc>
        <w:tc>
          <w:tcPr>
            <w:tcW w:w="6711" w:type="dxa"/>
            <w:tcBorders>
              <w:top w:val="nil"/>
              <w:left w:val="single" w:color="000000" w:sz="8" w:space="0"/>
              <w:bottom w:val="single" w:color="000000" w:sz="8" w:space="0"/>
              <w:right w:val="single" w:color="000000" w:sz="8" w:space="0"/>
            </w:tcBorders>
            <w:shd w:val="clear" w:color="auto" w:fill="auto"/>
            <w:vAlign w:val="center"/>
          </w:tcPr>
          <w:p w14:paraId="07995C73">
            <w:pPr>
              <w:pStyle w:val="12"/>
              <w:bidi w:val="0"/>
              <w:rPr>
                <w:rFonts w:hint="eastAsia" w:ascii="Times New Roman" w:hAnsi="Times New Roman"/>
                <w:sz w:val="24"/>
                <w:szCs w:val="24"/>
              </w:rPr>
            </w:pPr>
            <w:r>
              <w:rPr>
                <w:rFonts w:hint="default" w:ascii="Times New Roman" w:hAnsi="Times New Roman"/>
                <w:sz w:val="24"/>
                <w:szCs w:val="24"/>
                <w:lang w:val="en-US" w:eastAsia="zh-CN"/>
              </w:rPr>
              <w:t>塔尔乡1-5村泥石流灾害治理工程</w:t>
            </w:r>
          </w:p>
        </w:tc>
      </w:tr>
      <w:tr w14:paraId="6250EBA8">
        <w:tblPrEx>
          <w:tblCellMar>
            <w:top w:w="0" w:type="dxa"/>
            <w:left w:w="0" w:type="dxa"/>
            <w:bottom w:w="0" w:type="dxa"/>
            <w:right w:w="0" w:type="dxa"/>
          </w:tblCellMar>
        </w:tblPrEx>
        <w:trPr>
          <w:trHeight w:val="320" w:hRule="atLeast"/>
          <w:jc w:val="center"/>
        </w:trPr>
        <w:tc>
          <w:tcPr>
            <w:tcW w:w="2721" w:type="dxa"/>
            <w:vMerge w:val="continue"/>
            <w:tcBorders>
              <w:top w:val="nil"/>
              <w:left w:val="single" w:color="000000" w:sz="8" w:space="0"/>
              <w:bottom w:val="single" w:color="000000" w:sz="8" w:space="0"/>
              <w:right w:val="single" w:color="000000" w:sz="8" w:space="0"/>
            </w:tcBorders>
            <w:shd w:val="clear" w:color="auto" w:fill="auto"/>
            <w:vAlign w:val="center"/>
          </w:tcPr>
          <w:p w14:paraId="3C3B4D79">
            <w:pPr>
              <w:pStyle w:val="12"/>
              <w:bidi w:val="0"/>
              <w:rPr>
                <w:sz w:val="24"/>
                <w:szCs w:val="24"/>
              </w:rPr>
            </w:pPr>
          </w:p>
        </w:tc>
        <w:tc>
          <w:tcPr>
            <w:tcW w:w="6711" w:type="dxa"/>
            <w:tcBorders>
              <w:top w:val="nil"/>
              <w:left w:val="single" w:color="000000" w:sz="8" w:space="0"/>
              <w:bottom w:val="single" w:color="000000" w:sz="8" w:space="0"/>
              <w:right w:val="single" w:color="000000" w:sz="8" w:space="0"/>
            </w:tcBorders>
            <w:shd w:val="clear" w:color="auto" w:fill="auto"/>
            <w:vAlign w:val="center"/>
          </w:tcPr>
          <w:p w14:paraId="4A17F5B2">
            <w:pPr>
              <w:pStyle w:val="12"/>
              <w:bidi w:val="0"/>
              <w:rPr>
                <w:rFonts w:hint="eastAsia" w:ascii="Times New Roman" w:hAnsi="Times New Roman"/>
                <w:sz w:val="24"/>
                <w:szCs w:val="24"/>
              </w:rPr>
            </w:pPr>
            <w:r>
              <w:rPr>
                <w:rFonts w:hint="default" w:ascii="Times New Roman" w:hAnsi="Times New Roman"/>
                <w:sz w:val="24"/>
                <w:szCs w:val="24"/>
                <w:lang w:val="en-US" w:eastAsia="zh-CN"/>
              </w:rPr>
              <w:t>布伦口乡恰克拉克村泥石流灾害治理工程</w:t>
            </w:r>
          </w:p>
        </w:tc>
      </w:tr>
      <w:tr w14:paraId="4623EB64">
        <w:tblPrEx>
          <w:tblCellMar>
            <w:top w:w="0" w:type="dxa"/>
            <w:left w:w="0" w:type="dxa"/>
            <w:bottom w:w="0" w:type="dxa"/>
            <w:right w:w="0" w:type="dxa"/>
          </w:tblCellMar>
        </w:tblPrEx>
        <w:trPr>
          <w:trHeight w:val="303" w:hRule="atLeast"/>
          <w:jc w:val="center"/>
        </w:trPr>
        <w:tc>
          <w:tcPr>
            <w:tcW w:w="2721" w:type="dxa"/>
            <w:vMerge w:val="continue"/>
            <w:tcBorders>
              <w:top w:val="nil"/>
              <w:left w:val="single" w:color="000000" w:sz="8" w:space="0"/>
              <w:bottom w:val="single" w:color="000000" w:sz="8" w:space="0"/>
              <w:right w:val="single" w:color="000000" w:sz="8" w:space="0"/>
            </w:tcBorders>
            <w:shd w:val="clear" w:color="auto" w:fill="auto"/>
            <w:vAlign w:val="center"/>
          </w:tcPr>
          <w:p w14:paraId="7DDF53BB">
            <w:pPr>
              <w:pStyle w:val="12"/>
              <w:bidi w:val="0"/>
              <w:rPr>
                <w:sz w:val="24"/>
                <w:szCs w:val="24"/>
              </w:rPr>
            </w:pPr>
          </w:p>
        </w:tc>
        <w:tc>
          <w:tcPr>
            <w:tcW w:w="6711" w:type="dxa"/>
            <w:tcBorders>
              <w:top w:val="nil"/>
              <w:left w:val="single" w:color="000000" w:sz="8" w:space="0"/>
              <w:bottom w:val="single" w:color="000000" w:sz="8" w:space="0"/>
              <w:right w:val="single" w:color="000000" w:sz="8" w:space="0"/>
            </w:tcBorders>
            <w:shd w:val="clear" w:color="auto" w:fill="auto"/>
            <w:vAlign w:val="center"/>
          </w:tcPr>
          <w:p w14:paraId="7B9C2604">
            <w:pPr>
              <w:pStyle w:val="12"/>
              <w:bidi w:val="0"/>
              <w:rPr>
                <w:rFonts w:hint="eastAsia" w:ascii="Times New Roman" w:hAnsi="Times New Roman"/>
                <w:sz w:val="24"/>
                <w:szCs w:val="24"/>
              </w:rPr>
            </w:pPr>
            <w:r>
              <w:rPr>
                <w:rFonts w:hint="default" w:ascii="Times New Roman" w:hAnsi="Times New Roman"/>
                <w:sz w:val="24"/>
                <w:szCs w:val="24"/>
                <w:lang w:val="en-US" w:eastAsia="zh-CN"/>
              </w:rPr>
              <w:t>G314国道盖孜检查站崩塌灾害治理工程</w:t>
            </w:r>
          </w:p>
        </w:tc>
      </w:tr>
      <w:tr w14:paraId="1AF5A2C8">
        <w:tblPrEx>
          <w:tblCellMar>
            <w:top w:w="0" w:type="dxa"/>
            <w:left w:w="0" w:type="dxa"/>
            <w:bottom w:w="0" w:type="dxa"/>
            <w:right w:w="0" w:type="dxa"/>
          </w:tblCellMar>
        </w:tblPrEx>
        <w:trPr>
          <w:trHeight w:val="303" w:hRule="atLeast"/>
          <w:jc w:val="center"/>
        </w:trPr>
        <w:tc>
          <w:tcPr>
            <w:tcW w:w="2721" w:type="dxa"/>
            <w:vMerge w:val="continue"/>
            <w:tcBorders>
              <w:top w:val="nil"/>
              <w:left w:val="single" w:color="000000" w:sz="8" w:space="0"/>
              <w:bottom w:val="single" w:color="000000" w:sz="8" w:space="0"/>
              <w:right w:val="single" w:color="000000" w:sz="8" w:space="0"/>
            </w:tcBorders>
            <w:shd w:val="clear" w:color="auto" w:fill="auto"/>
            <w:vAlign w:val="center"/>
          </w:tcPr>
          <w:p w14:paraId="20C288D2">
            <w:pPr>
              <w:pStyle w:val="12"/>
              <w:bidi w:val="0"/>
              <w:rPr>
                <w:sz w:val="24"/>
                <w:szCs w:val="24"/>
              </w:rPr>
            </w:pPr>
          </w:p>
        </w:tc>
        <w:tc>
          <w:tcPr>
            <w:tcW w:w="6711" w:type="dxa"/>
            <w:tcBorders>
              <w:top w:val="nil"/>
              <w:left w:val="single" w:color="000000" w:sz="8" w:space="0"/>
              <w:bottom w:val="single" w:color="000000" w:sz="8" w:space="0"/>
              <w:right w:val="single" w:color="000000" w:sz="8" w:space="0"/>
            </w:tcBorders>
            <w:shd w:val="clear" w:color="auto" w:fill="auto"/>
            <w:vAlign w:val="center"/>
          </w:tcPr>
          <w:p w14:paraId="620791E4">
            <w:pPr>
              <w:pStyle w:val="12"/>
              <w:bidi w:val="0"/>
              <w:rPr>
                <w:rFonts w:hint="eastAsia" w:ascii="Times New Roman" w:hAnsi="Times New Roman"/>
                <w:sz w:val="24"/>
                <w:szCs w:val="24"/>
              </w:rPr>
            </w:pPr>
            <w:r>
              <w:rPr>
                <w:rFonts w:hint="default" w:ascii="Times New Roman" w:hAnsi="Times New Roman"/>
                <w:sz w:val="24"/>
                <w:szCs w:val="24"/>
                <w:lang w:val="en-US" w:eastAsia="zh-CN"/>
              </w:rPr>
              <w:t>布伦口乡托喀依村泥石流灾害治理工程</w:t>
            </w:r>
          </w:p>
        </w:tc>
      </w:tr>
      <w:tr w14:paraId="68AF22E4">
        <w:tblPrEx>
          <w:tblCellMar>
            <w:top w:w="0" w:type="dxa"/>
            <w:left w:w="0" w:type="dxa"/>
            <w:bottom w:w="0" w:type="dxa"/>
            <w:right w:w="0" w:type="dxa"/>
          </w:tblCellMar>
        </w:tblPrEx>
        <w:trPr>
          <w:trHeight w:val="303" w:hRule="atLeast"/>
          <w:jc w:val="center"/>
        </w:trPr>
        <w:tc>
          <w:tcPr>
            <w:tcW w:w="2721" w:type="dxa"/>
            <w:vMerge w:val="continue"/>
            <w:tcBorders>
              <w:top w:val="nil"/>
              <w:left w:val="single" w:color="000000" w:sz="8" w:space="0"/>
              <w:bottom w:val="single" w:color="000000" w:sz="8" w:space="0"/>
              <w:right w:val="single" w:color="000000" w:sz="8" w:space="0"/>
            </w:tcBorders>
            <w:shd w:val="clear" w:color="auto" w:fill="auto"/>
            <w:vAlign w:val="center"/>
          </w:tcPr>
          <w:p w14:paraId="343AEE80">
            <w:pPr>
              <w:pStyle w:val="12"/>
              <w:bidi w:val="0"/>
              <w:rPr>
                <w:sz w:val="24"/>
                <w:szCs w:val="24"/>
              </w:rPr>
            </w:pPr>
          </w:p>
        </w:tc>
        <w:tc>
          <w:tcPr>
            <w:tcW w:w="6711" w:type="dxa"/>
            <w:tcBorders>
              <w:top w:val="nil"/>
              <w:left w:val="single" w:color="000000" w:sz="8" w:space="0"/>
              <w:bottom w:val="single" w:color="000000" w:sz="8" w:space="0"/>
              <w:right w:val="single" w:color="000000" w:sz="8" w:space="0"/>
            </w:tcBorders>
            <w:shd w:val="clear" w:color="auto" w:fill="auto"/>
            <w:vAlign w:val="center"/>
          </w:tcPr>
          <w:p w14:paraId="53DC695C">
            <w:pPr>
              <w:pStyle w:val="12"/>
              <w:bidi w:val="0"/>
              <w:rPr>
                <w:rFonts w:hint="eastAsia" w:ascii="Times New Roman" w:hAnsi="Times New Roman"/>
                <w:sz w:val="24"/>
                <w:szCs w:val="24"/>
                <w:lang w:val="en-US" w:eastAsia="zh-CN"/>
              </w:rPr>
            </w:pPr>
            <w:r>
              <w:rPr>
                <w:rFonts w:hint="default" w:ascii="Times New Roman" w:hAnsi="Times New Roman"/>
                <w:sz w:val="24"/>
                <w:szCs w:val="24"/>
                <w:lang w:val="en-US" w:eastAsia="zh-CN"/>
              </w:rPr>
              <w:t>乌尔都隆窝孜村2处泥石流综合治理工程</w:t>
            </w:r>
          </w:p>
        </w:tc>
      </w:tr>
      <w:tr w14:paraId="537C40B0">
        <w:tblPrEx>
          <w:tblCellMar>
            <w:top w:w="0" w:type="dxa"/>
            <w:left w:w="0" w:type="dxa"/>
            <w:bottom w:w="0" w:type="dxa"/>
            <w:right w:w="0" w:type="dxa"/>
          </w:tblCellMar>
        </w:tblPrEx>
        <w:trPr>
          <w:trHeight w:val="303" w:hRule="atLeast"/>
          <w:jc w:val="center"/>
        </w:trPr>
        <w:tc>
          <w:tcPr>
            <w:tcW w:w="2721" w:type="dxa"/>
            <w:vMerge w:val="continue"/>
            <w:tcBorders>
              <w:top w:val="nil"/>
              <w:left w:val="single" w:color="000000" w:sz="8" w:space="0"/>
              <w:bottom w:val="single" w:color="000000" w:sz="8" w:space="0"/>
              <w:right w:val="single" w:color="000000" w:sz="8" w:space="0"/>
            </w:tcBorders>
            <w:shd w:val="clear" w:color="auto" w:fill="auto"/>
            <w:vAlign w:val="center"/>
          </w:tcPr>
          <w:p w14:paraId="501F28CC">
            <w:pPr>
              <w:pStyle w:val="12"/>
              <w:bidi w:val="0"/>
              <w:rPr>
                <w:sz w:val="24"/>
                <w:szCs w:val="24"/>
              </w:rPr>
            </w:pPr>
          </w:p>
        </w:tc>
        <w:tc>
          <w:tcPr>
            <w:tcW w:w="6711" w:type="dxa"/>
            <w:tcBorders>
              <w:top w:val="nil"/>
              <w:left w:val="single" w:color="000000" w:sz="8" w:space="0"/>
              <w:bottom w:val="single" w:color="000000" w:sz="8" w:space="0"/>
              <w:right w:val="single" w:color="000000" w:sz="8" w:space="0"/>
            </w:tcBorders>
            <w:shd w:val="clear" w:color="auto" w:fill="auto"/>
            <w:vAlign w:val="center"/>
          </w:tcPr>
          <w:p w14:paraId="566CF286">
            <w:pPr>
              <w:pStyle w:val="12"/>
              <w:bidi w:val="0"/>
              <w:rPr>
                <w:rFonts w:hint="eastAsia" w:ascii="Times New Roman" w:hAnsi="Times New Roman"/>
                <w:sz w:val="24"/>
                <w:szCs w:val="24"/>
                <w:lang w:val="en-US" w:eastAsia="zh-CN"/>
              </w:rPr>
            </w:pPr>
            <w:r>
              <w:rPr>
                <w:rFonts w:hint="default" w:ascii="Times New Roman" w:hAnsi="Times New Roman"/>
                <w:sz w:val="24"/>
                <w:szCs w:val="24"/>
                <w:lang w:val="en-US" w:eastAsia="zh-CN"/>
              </w:rPr>
              <w:t>阿黑买特西沟4处泥石流综合治理工程</w:t>
            </w:r>
          </w:p>
        </w:tc>
      </w:tr>
      <w:tr w14:paraId="5048DAFD">
        <w:tblPrEx>
          <w:tblCellMar>
            <w:top w:w="0" w:type="dxa"/>
            <w:left w:w="0" w:type="dxa"/>
            <w:bottom w:w="0" w:type="dxa"/>
            <w:right w:w="0" w:type="dxa"/>
          </w:tblCellMar>
        </w:tblPrEx>
        <w:trPr>
          <w:trHeight w:val="303" w:hRule="atLeast"/>
          <w:jc w:val="center"/>
        </w:trPr>
        <w:tc>
          <w:tcPr>
            <w:tcW w:w="2721" w:type="dxa"/>
            <w:vMerge w:val="continue"/>
            <w:tcBorders>
              <w:top w:val="nil"/>
              <w:left w:val="single" w:color="000000" w:sz="8" w:space="0"/>
              <w:bottom w:val="single" w:color="000000" w:sz="8" w:space="0"/>
              <w:right w:val="single" w:color="000000" w:sz="8" w:space="0"/>
            </w:tcBorders>
            <w:shd w:val="clear" w:color="auto" w:fill="auto"/>
            <w:vAlign w:val="center"/>
          </w:tcPr>
          <w:p w14:paraId="338DA1BF">
            <w:pPr>
              <w:pStyle w:val="12"/>
              <w:bidi w:val="0"/>
              <w:rPr>
                <w:sz w:val="24"/>
                <w:szCs w:val="24"/>
              </w:rPr>
            </w:pPr>
          </w:p>
        </w:tc>
        <w:tc>
          <w:tcPr>
            <w:tcW w:w="6711" w:type="dxa"/>
            <w:tcBorders>
              <w:top w:val="nil"/>
              <w:left w:val="single" w:color="000000" w:sz="8" w:space="0"/>
              <w:bottom w:val="single" w:color="000000" w:sz="8" w:space="0"/>
              <w:right w:val="single" w:color="000000" w:sz="8" w:space="0"/>
            </w:tcBorders>
            <w:shd w:val="clear" w:color="auto" w:fill="auto"/>
            <w:vAlign w:val="center"/>
          </w:tcPr>
          <w:p w14:paraId="5B82E37E">
            <w:pPr>
              <w:pStyle w:val="12"/>
              <w:bidi w:val="0"/>
              <w:rPr>
                <w:rFonts w:hint="eastAsia" w:ascii="Times New Roman" w:hAnsi="Times New Roman"/>
                <w:sz w:val="24"/>
                <w:szCs w:val="24"/>
                <w:lang w:val="en-US" w:eastAsia="zh-CN"/>
              </w:rPr>
            </w:pPr>
            <w:r>
              <w:rPr>
                <w:rFonts w:hint="default" w:ascii="Times New Roman" w:hAnsi="Times New Roman"/>
                <w:sz w:val="24"/>
                <w:szCs w:val="24"/>
                <w:lang w:val="en-US" w:eastAsia="zh-CN"/>
              </w:rPr>
              <w:t>喀尔乌勒村村委会东北500m处泥石流</w:t>
            </w:r>
          </w:p>
        </w:tc>
      </w:tr>
    </w:tbl>
    <w:p w14:paraId="1D96F4D7">
      <w:pPr>
        <w:bidi w:val="0"/>
        <w:rPr>
          <w:rFonts w:hint="default"/>
          <w:lang w:val="en-US" w:eastAsia="zh-CN"/>
        </w:rPr>
      </w:pPr>
    </w:p>
    <w:p w14:paraId="5B40DD20">
      <w:pPr>
        <w:numPr>
          <w:ilvl w:val="0"/>
          <w:numId w:val="0"/>
        </w:numPr>
        <w:bidi w:val="0"/>
        <w:ind w:firstLine="562" w:firstLineChars="200"/>
        <w:rPr>
          <w:rFonts w:hint="eastAsia"/>
          <w:b/>
          <w:bCs/>
          <w:lang w:val="en-US" w:eastAsia="zh-CN"/>
        </w:rPr>
        <w:sectPr>
          <w:pgSz w:w="11906" w:h="16838"/>
          <w:pgMar w:top="1247" w:right="1247" w:bottom="1247" w:left="1247" w:header="851" w:footer="992" w:gutter="0"/>
          <w:pgNumType w:fmt="decimal"/>
          <w:cols w:space="425" w:num="1"/>
          <w:docGrid w:type="lines" w:linePitch="312" w:charSpace="0"/>
        </w:sectPr>
      </w:pPr>
    </w:p>
    <w:p w14:paraId="7CE031AC">
      <w:pPr>
        <w:pStyle w:val="2"/>
        <w:bidi w:val="0"/>
        <w:rPr>
          <w:rFonts w:hint="default"/>
          <w:lang w:val="en-US" w:eastAsia="zh-CN"/>
        </w:rPr>
      </w:pPr>
      <w:bookmarkStart w:id="70" w:name="_Toc19954"/>
      <w:r>
        <w:rPr>
          <w:rFonts w:hint="eastAsia"/>
          <w:lang w:val="en-US" w:eastAsia="zh-CN"/>
        </w:rPr>
        <w:t>第七章 综合效益分析</w:t>
      </w:r>
      <w:bookmarkEnd w:id="70"/>
    </w:p>
    <w:p w14:paraId="433FE240">
      <w:pPr>
        <w:pStyle w:val="3"/>
        <w:bidi w:val="0"/>
        <w:rPr>
          <w:rFonts w:hint="eastAsia"/>
          <w:lang w:val="en-US" w:eastAsia="zh-CN"/>
        </w:rPr>
      </w:pPr>
      <w:bookmarkStart w:id="71" w:name="_Toc17454"/>
      <w:r>
        <w:rPr>
          <w:rFonts w:hint="eastAsia"/>
          <w:lang w:val="en-US" w:eastAsia="zh-CN"/>
        </w:rPr>
        <w:t>第一节 生态效益分析</w:t>
      </w:r>
      <w:bookmarkEnd w:id="71"/>
    </w:p>
    <w:p w14:paraId="1B127B10">
      <w:pPr>
        <w:rPr>
          <w:rFonts w:hint="eastAsia"/>
          <w:lang w:val="en-US" w:eastAsia="zh-CN"/>
        </w:rPr>
      </w:pPr>
      <w:r>
        <w:rPr>
          <w:rFonts w:hint="eastAsia"/>
          <w:lang w:val="en-US" w:eastAsia="zh-CN"/>
        </w:rPr>
        <w:t>通过对阿克陶县进行生态功能修复分区，实施阿克陶县生态功能保护修复规划，构建生态系统保护修复整体格局，提升区域内生态环境质量。将构建北部农业生态涵养与城镇生态品质提高区、西部水源涵养与生物多样性保护修复分区、东部</w:t>
      </w:r>
      <w:r>
        <w:rPr>
          <w:rFonts w:hint="default"/>
          <w:lang w:val="en-US" w:eastAsia="zh-CN"/>
        </w:rPr>
        <w:t>水土流失</w:t>
      </w:r>
      <w:r>
        <w:rPr>
          <w:rFonts w:hint="eastAsia"/>
          <w:lang w:val="en-US" w:eastAsia="zh-CN"/>
        </w:rPr>
        <w:t>防控</w:t>
      </w:r>
      <w:r>
        <w:rPr>
          <w:rFonts w:hint="default"/>
          <w:lang w:val="en-US" w:eastAsia="zh-CN"/>
        </w:rPr>
        <w:t>治理</w:t>
      </w:r>
      <w:r>
        <w:rPr>
          <w:rFonts w:hint="eastAsia"/>
          <w:lang w:val="en-US" w:eastAsia="zh-CN"/>
        </w:rPr>
        <w:t>修复</w:t>
      </w:r>
      <w:r>
        <w:rPr>
          <w:rFonts w:hint="default"/>
          <w:lang w:val="en-US" w:eastAsia="zh-CN"/>
        </w:rPr>
        <w:t>区</w:t>
      </w:r>
      <w:r>
        <w:rPr>
          <w:rFonts w:hint="eastAsia"/>
          <w:lang w:val="en-US" w:eastAsia="zh-CN"/>
        </w:rPr>
        <w:t>，将进一步提升区域和流域生态安全水平。</w:t>
      </w:r>
    </w:p>
    <w:p w14:paraId="46CDF826">
      <w:pPr>
        <w:bidi w:val="0"/>
        <w:rPr>
          <w:rFonts w:hint="eastAsia"/>
          <w:lang w:val="en-US" w:eastAsia="zh-CN"/>
        </w:rPr>
      </w:pPr>
      <w:r>
        <w:rPr>
          <w:rFonts w:hint="eastAsia"/>
          <w:lang w:val="en-US" w:eastAsia="zh-CN"/>
        </w:rPr>
        <w:t>全县开展的生态功能保护修复项目，初步建成与经济社会发展与资源环境承载力相适应的水土保持防治体系，重点防治地区生态进一步趋向好转，全面实现人为水土流失全过程常态化监管，使人为水土流失得到有效控制；坚持保护优先、自然恢复为主，深入实施水生态保护和修复工程，依托生态保护修复项目，开展国土绿化行动，集中连片建设森林，继续加强防护林建设，推进天然林保护。继续开展重要地质灾害隐患治理工程，积极推进农村环境整治和盐碱耕地改良工程，对全面提升生态安全屏障质量和稳定性、促进生态系统良性循环和永续利用、维护生态安全具有重要意义。</w:t>
      </w:r>
    </w:p>
    <w:p w14:paraId="5A12023E">
      <w:pPr>
        <w:pStyle w:val="3"/>
        <w:bidi w:val="0"/>
        <w:rPr>
          <w:rFonts w:hint="eastAsia"/>
          <w:lang w:val="en-US" w:eastAsia="zh-CN"/>
        </w:rPr>
      </w:pPr>
      <w:bookmarkStart w:id="72" w:name="_Toc13858"/>
      <w:r>
        <w:rPr>
          <w:rFonts w:hint="eastAsia"/>
          <w:lang w:val="en-US" w:eastAsia="zh-CN"/>
        </w:rPr>
        <w:t>第二节 经济效益分析</w:t>
      </w:r>
      <w:bookmarkEnd w:id="72"/>
    </w:p>
    <w:p w14:paraId="422946F1">
      <w:pPr>
        <w:rPr>
          <w:rFonts w:hint="eastAsia"/>
          <w:lang w:val="en-US" w:eastAsia="zh-CN"/>
        </w:rPr>
      </w:pPr>
      <w:r>
        <w:rPr>
          <w:rFonts w:hint="eastAsia"/>
          <w:lang w:val="en-US" w:eastAsia="zh-CN"/>
        </w:rPr>
        <w:t>针对不同资源类型，主要划分为八大区域分别为：水土流失重点区、森林生态修复重点区、草原生态修复重点区、农用地整治重点区、建设用地整治重点区、湿地生态修复重点区、水环境和水生态修复区、矿山生态修复重点区，主要部署在水生态保护与修复工程、盐碱耕地改良、农村环境整治、重要地质灾害隐患治理工程等4大类工程，不断提升区域内自然生态环境系统质量和稳定性，为健全自然资源有偿使用制度、完善自然资源及其产品价格形成机制奠定良好基础，有助于促进盘活相关自然生态资源，对推动生态产业、生态旅游业、等特色生态产业发展具有积极作用，进而拉动经济发展，直接推动区域内生产总值的增长。</w:t>
      </w:r>
    </w:p>
    <w:p w14:paraId="7BD2F982">
      <w:pPr>
        <w:rPr>
          <w:rFonts w:hint="eastAsia"/>
          <w:lang w:val="en-US" w:eastAsia="zh-CN"/>
        </w:rPr>
      </w:pPr>
      <w:r>
        <w:rPr>
          <w:rFonts w:hint="eastAsia"/>
          <w:lang w:val="en-US" w:eastAsia="zh-CN"/>
        </w:rPr>
        <w:t>阿克陶县将持续聚焦生态产业发展，通过“生态修复+科技赋能”、“源头保护+产业发展”等模式，推动生态与经济的协调发展。推进生态功能保护修复规划的同时，促进生态自然资源的多元转化。处理好发展和保护的关系、以高水平保护支撑高质量发展，优化的重点方向仍然应坚持一提供生态服务或生态产品为主的功能导向不变，在继续提升水源涵养、水土保持、防风固沙和生物多样性维护功能的基础上，全方位守牢安全格局底线，建设更具韧性的新型国土空间格局。</w:t>
      </w:r>
    </w:p>
    <w:p w14:paraId="339207A7">
      <w:pPr>
        <w:pStyle w:val="3"/>
        <w:bidi w:val="0"/>
        <w:rPr>
          <w:rFonts w:hint="default"/>
          <w:lang w:val="en-US" w:eastAsia="zh-CN"/>
        </w:rPr>
      </w:pPr>
      <w:bookmarkStart w:id="73" w:name="_Toc21955"/>
      <w:r>
        <w:rPr>
          <w:rFonts w:hint="eastAsia"/>
          <w:lang w:val="en-US" w:eastAsia="zh-CN"/>
        </w:rPr>
        <w:t>第三节 社会效益分析</w:t>
      </w:r>
      <w:bookmarkEnd w:id="73"/>
    </w:p>
    <w:p w14:paraId="477D71DA">
      <w:pPr>
        <w:bidi w:val="0"/>
        <w:rPr>
          <w:rFonts w:hint="eastAsia"/>
          <w:lang w:val="en-US" w:eastAsia="zh-CN"/>
        </w:rPr>
      </w:pPr>
      <w:r>
        <w:rPr>
          <w:rFonts w:hint="eastAsia"/>
          <w:lang w:val="en-US" w:eastAsia="zh-CN"/>
        </w:rPr>
        <w:t>树立生态生产和生态生活意识，在阿克陶县生态功能保护修复规划重大工程实施过程中，注重全社会参与，提升全社会对生态功能保护修复重要性和价值的认识。通过政府、企业、公众三个主体的环境宣传教育，开展学校、机关、企事业单位、农村等多行业、全方位的生态功能保护修复行动，将绿色生产生活思想渗透到全社会范围中去，使城乡居民传统的生产、生活方式和价值观向环境友好、资源高效的生态文化转型，培养公众节约资源、保护环境的生态意识，提高公众对生态修复的参与度，转变传统的价值观念，树立正确的生态价值意识。</w:t>
      </w:r>
    </w:p>
    <w:p w14:paraId="5C973BDD">
      <w:pPr>
        <w:numPr>
          <w:ilvl w:val="0"/>
          <w:numId w:val="0"/>
        </w:numPr>
        <w:bidi w:val="0"/>
        <w:ind w:firstLine="562" w:firstLineChars="200"/>
        <w:rPr>
          <w:rFonts w:hint="eastAsia"/>
          <w:b/>
          <w:bCs/>
          <w:lang w:val="en-US" w:eastAsia="zh-CN"/>
        </w:rPr>
        <w:sectPr>
          <w:pgSz w:w="11906" w:h="16838"/>
          <w:pgMar w:top="1247" w:right="1247" w:bottom="1247" w:left="1247" w:header="851" w:footer="992" w:gutter="0"/>
          <w:pgNumType w:fmt="decimal"/>
          <w:cols w:space="425" w:num="1"/>
          <w:docGrid w:type="lines" w:linePitch="312" w:charSpace="0"/>
        </w:sectPr>
      </w:pPr>
    </w:p>
    <w:p w14:paraId="678046C1">
      <w:pPr>
        <w:pStyle w:val="2"/>
        <w:bidi w:val="0"/>
        <w:rPr>
          <w:rFonts w:hint="eastAsia"/>
          <w:lang w:val="en-US" w:eastAsia="zh-CN"/>
        </w:rPr>
      </w:pPr>
      <w:bookmarkStart w:id="74" w:name="_Toc31766"/>
      <w:r>
        <w:rPr>
          <w:rFonts w:hint="eastAsia"/>
          <w:lang w:val="en-US" w:eastAsia="zh-CN"/>
        </w:rPr>
        <w:t>第八章 保障措施</w:t>
      </w:r>
      <w:bookmarkEnd w:id="74"/>
    </w:p>
    <w:p w14:paraId="4595E1E6">
      <w:pPr>
        <w:pStyle w:val="3"/>
        <w:bidi w:val="0"/>
        <w:rPr>
          <w:rFonts w:hint="eastAsia"/>
          <w:lang w:val="en-US" w:eastAsia="zh-CN"/>
        </w:rPr>
      </w:pPr>
      <w:bookmarkStart w:id="75" w:name="_Toc2153"/>
      <w:r>
        <w:rPr>
          <w:rFonts w:hint="eastAsia"/>
          <w:lang w:val="en-US" w:eastAsia="zh-CN"/>
        </w:rPr>
        <w:t>第一节 组织领导</w:t>
      </w:r>
      <w:bookmarkEnd w:id="75"/>
    </w:p>
    <w:p w14:paraId="4FA9F0A0">
      <w:pPr>
        <w:rPr>
          <w:rFonts w:hint="eastAsia"/>
          <w:lang w:val="en-US" w:eastAsia="zh-CN"/>
        </w:rPr>
      </w:pPr>
      <w:r>
        <w:rPr>
          <w:rFonts w:hint="eastAsia"/>
          <w:lang w:val="en-US" w:eastAsia="zh-CN"/>
        </w:rPr>
        <w:t>加强组织领导。领导小组要充分认识生态保护修复的重要性、紧迫性和艰巨性，切实加强对本规划实施工作的组织领导，将规划中重点建设任务与重点工程列入本地区年度重点工作事项，及时研究解决本地区生态系统保护重大问题。各有关部门应各负其责，加强沟通配合，采取强有力措施，推进本规划各项重点任务落实。</w:t>
      </w:r>
    </w:p>
    <w:p w14:paraId="3230E579">
      <w:pPr>
        <w:rPr>
          <w:rFonts w:hint="eastAsia"/>
          <w:lang w:val="en-US" w:eastAsia="zh-CN"/>
        </w:rPr>
      </w:pPr>
      <w:r>
        <w:rPr>
          <w:rFonts w:hint="eastAsia"/>
          <w:lang w:val="en-US" w:eastAsia="zh-CN"/>
        </w:rPr>
        <w:t>加强分工协作。充分发挥政府的调控作用，加强跨部门的生态保护修复工作协调，各部门依职能落实阿克陶县生态功能保护修复职责，自然资源局、生态环境分局、水利局、林业局、农业农村局等部门和各乡镇同时参与，围绕生态功能修复规划的重点任务，落实生态功能修复规划中的重大工程，协同推进重大生态保护修复项目建设，明确各部门职责分工和时序安排，在全域全要素生态保护修复工作中形成生态治理合力。</w:t>
      </w:r>
    </w:p>
    <w:p w14:paraId="5279FF67">
      <w:pPr>
        <w:pStyle w:val="3"/>
        <w:bidi w:val="0"/>
        <w:rPr>
          <w:rFonts w:hint="eastAsia"/>
          <w:lang w:val="en-US" w:eastAsia="zh-CN"/>
        </w:rPr>
      </w:pPr>
      <w:bookmarkStart w:id="76" w:name="_Toc30909"/>
      <w:r>
        <w:rPr>
          <w:rFonts w:hint="eastAsia"/>
          <w:lang w:val="en-US" w:eastAsia="zh-CN"/>
        </w:rPr>
        <w:t>第二节 制度保障</w:t>
      </w:r>
      <w:bookmarkEnd w:id="76"/>
    </w:p>
    <w:p w14:paraId="5CA5ED01">
      <w:pPr>
        <w:rPr>
          <w:rFonts w:hint="eastAsia"/>
          <w:lang w:val="en-US" w:eastAsia="zh-CN"/>
        </w:rPr>
      </w:pPr>
      <w:r>
        <w:rPr>
          <w:rFonts w:hint="eastAsia"/>
          <w:lang w:val="en-US" w:eastAsia="zh-CN"/>
        </w:rPr>
        <w:t>建立生态保护修复考评督查制度。由县人民政府组织建成考评督查组，研究制定调查监测、工程实施、项目验收和绩效考核等标准规范，对区域性生态保护修复工程实施情况开展评估，加强对约束性指标的跟踪评价管控，确保各项约束性指标在规划期内必须实现，及时发现并提出现存难点问题及相应整改意见、解决重点。</w:t>
      </w:r>
    </w:p>
    <w:p w14:paraId="53CD426B">
      <w:pPr>
        <w:rPr>
          <w:rFonts w:hint="eastAsia"/>
          <w:lang w:val="en-US" w:eastAsia="zh-CN"/>
        </w:rPr>
      </w:pPr>
      <w:r>
        <w:rPr>
          <w:rFonts w:hint="eastAsia"/>
          <w:lang w:val="en-US" w:eastAsia="zh-CN"/>
        </w:rPr>
        <w:t>完善生态环境质量管理机制，推进生态环境质量检测、评价、考核、责任、奖惩环境质量管控体系完善，强化考核结果的增效。健全生态环境健康风险管控环境政策体系，加强生态环境健康风险信息透明度机制和能力建设。完善环境事故事后赔偿与修复政策，健全环境损害鉴定评估与赔偿技术规范体系、污染治理与修复制度体系。</w:t>
      </w:r>
    </w:p>
    <w:p w14:paraId="414CCD85">
      <w:pPr>
        <w:rPr>
          <w:rFonts w:hint="eastAsia"/>
          <w:lang w:val="en-US" w:eastAsia="zh-CN"/>
        </w:rPr>
      </w:pPr>
      <w:r>
        <w:rPr>
          <w:rFonts w:hint="eastAsia"/>
          <w:lang w:val="en-US" w:eastAsia="zh-CN"/>
        </w:rPr>
        <w:t>建立生态保护修复激励机制，坚持“谁修复、谁受益”原则，推进各类生态保护修复项目形成制度性成果，落实提升生态碳汇能力的政策措施，建立受益地区与保护地区、流域上下游生态补偿制度，鼓励政府、企业、公众等社会主体自觉承担生态环境保护责任，形成生态功能保护修复长效运行机制。</w:t>
      </w:r>
    </w:p>
    <w:p w14:paraId="4E642313">
      <w:pPr>
        <w:pStyle w:val="3"/>
        <w:bidi w:val="0"/>
        <w:rPr>
          <w:rFonts w:hint="eastAsia"/>
          <w:lang w:val="en-US" w:eastAsia="zh-CN"/>
        </w:rPr>
      </w:pPr>
      <w:bookmarkStart w:id="77" w:name="_Toc28231"/>
      <w:r>
        <w:rPr>
          <w:rFonts w:hint="eastAsia"/>
          <w:lang w:val="en-US" w:eastAsia="zh-CN"/>
        </w:rPr>
        <w:t>第三节 技术保障</w:t>
      </w:r>
      <w:bookmarkEnd w:id="77"/>
    </w:p>
    <w:p w14:paraId="38F224D6">
      <w:pPr>
        <w:rPr>
          <w:rFonts w:hint="eastAsia"/>
          <w:lang w:val="en-US" w:eastAsia="zh-CN"/>
        </w:rPr>
      </w:pPr>
      <w:r>
        <w:rPr>
          <w:rFonts w:hint="eastAsia"/>
          <w:lang w:val="en-US" w:eastAsia="zh-CN"/>
        </w:rPr>
        <w:t>组建高水平、专业化的专家咨询团队。引进和培养一批在国内具有一定影响力的环保科技专家及各专业领域的学术或技术带头人，推动高级环境科技人才队伍建设，加强阿克陶县生态保护修复项目管理队伍、专业技术支撑队伍和专家咨询机构的建设，提高生态功能保护修复项目队伍的整体素质，保障关键修复技术和措施的针对性、系统性和长效性。</w:t>
      </w:r>
    </w:p>
    <w:p w14:paraId="5B32F4B7">
      <w:pPr>
        <w:bidi w:val="0"/>
        <w:rPr>
          <w:rFonts w:hint="eastAsia"/>
          <w:lang w:val="en-US" w:eastAsia="zh-CN"/>
        </w:rPr>
      </w:pPr>
      <w:r>
        <w:rPr>
          <w:rFonts w:hint="eastAsia"/>
          <w:lang w:val="en-US" w:eastAsia="zh-CN"/>
        </w:rPr>
        <w:t>建立统一的生态环境监测预警网络。强化自然生态系统保护和修复的监测监管，综合利用多源卫星遥感、无人机、雷达、物联网、互联网等高新技术，加快构建实时、高效、准确、自动化、全方位的监测体系，实现生态环境数据指标监测全覆盖，并定期对自然保护区、生态保护红线等重要生态功能区进行环境监测数据评估，提高对生态保护修复的针对性服务能力。</w:t>
      </w:r>
    </w:p>
    <w:p w14:paraId="304B03E0">
      <w:pPr>
        <w:pStyle w:val="3"/>
        <w:bidi w:val="0"/>
        <w:rPr>
          <w:rFonts w:hint="eastAsia"/>
          <w:lang w:val="en-US" w:eastAsia="zh-CN"/>
        </w:rPr>
      </w:pPr>
      <w:bookmarkStart w:id="78" w:name="_Toc26318"/>
      <w:r>
        <w:rPr>
          <w:rFonts w:hint="eastAsia"/>
          <w:lang w:val="en-US" w:eastAsia="zh-CN"/>
        </w:rPr>
        <w:t>第四节 资金保障</w:t>
      </w:r>
      <w:bookmarkEnd w:id="78"/>
    </w:p>
    <w:p w14:paraId="6E6B1AE8">
      <w:pPr>
        <w:rPr>
          <w:rFonts w:hint="eastAsia"/>
          <w:lang w:val="en-US" w:eastAsia="zh-CN"/>
        </w:rPr>
      </w:pPr>
      <w:r>
        <w:rPr>
          <w:rFonts w:hint="eastAsia"/>
          <w:lang w:val="en-US" w:eastAsia="zh-CN"/>
        </w:rPr>
        <w:t>优化财政资金投入。积极争取中央财政重点生态保护修复治理专项资金，将重要生态系统保护和修复工程作为各级财政的重点支持领域，切实加大资金投入力度；建立健全稳定的财政资金投入机制，加强项目绩效管理和资金监管，提高财政资源配置效率和使用效益，充分发挥公共财政在生态恢复生态建设中的导向作用。</w:t>
      </w:r>
    </w:p>
    <w:p w14:paraId="6BE5B748">
      <w:pPr>
        <w:rPr>
          <w:rFonts w:hint="eastAsia"/>
          <w:lang w:val="en-US" w:eastAsia="zh-CN"/>
        </w:rPr>
      </w:pPr>
      <w:r>
        <w:rPr>
          <w:rFonts w:hint="eastAsia"/>
          <w:lang w:val="en-US" w:eastAsia="zh-CN"/>
        </w:rPr>
        <w:t>建立完善市场化、多元化生态保护补偿机制。将生态保护和修复领域作为金融支持的重点，建立健全生态资源融资担保体系，鼓励金融机构创新绿色金融产品。制定激励社会资本投入生态保护和修复的政策措施，吸引社会资本积极参与生态建设和管理，探索工程市场化建设、运营、管理的有效模式。</w:t>
      </w:r>
    </w:p>
    <w:p w14:paraId="6769B3F1">
      <w:pPr>
        <w:pStyle w:val="3"/>
        <w:bidi w:val="0"/>
        <w:rPr>
          <w:rFonts w:hint="eastAsia"/>
          <w:lang w:val="en-US" w:eastAsia="zh-CN"/>
        </w:rPr>
      </w:pPr>
      <w:bookmarkStart w:id="79" w:name="_Toc11191"/>
      <w:r>
        <w:rPr>
          <w:rFonts w:hint="eastAsia"/>
          <w:lang w:val="en-US" w:eastAsia="zh-CN"/>
        </w:rPr>
        <w:t>第五节 公众参与</w:t>
      </w:r>
      <w:bookmarkEnd w:id="79"/>
    </w:p>
    <w:p w14:paraId="59679671">
      <w:pPr>
        <w:rPr>
          <w:rFonts w:hint="default" w:cstheme="minorBidi"/>
          <w:kern w:val="2"/>
          <w:sz w:val="28"/>
          <w:szCs w:val="24"/>
          <w:lang w:val="en-US" w:eastAsia="zh-CN" w:bidi="ar-SA"/>
        </w:rPr>
      </w:pPr>
      <w:r>
        <w:rPr>
          <w:rFonts w:hint="eastAsia"/>
          <w:lang w:val="en-US" w:eastAsia="zh-CN"/>
        </w:rPr>
        <w:t>推进信息公开，鼓励公众参与。尊重和保障公众的环境知情权、参与权、表达权和监督权，积极构建全民参与生态环境保护的社会行动体系，营造全社会参与督管氛围。加强政府网站信息建设，公开生态功能保护修复重点项目工程信息，为公众参与项目评估监管搭建平台，保护公众监督形式，保障和拓宽公众参与渠道，充分尊重公众意愿，提高公众对生态保护和修复工程建设成效的社会关注度和认可度。</w:t>
      </w:r>
    </w:p>
    <w:p w14:paraId="35750BE4">
      <w:pPr>
        <w:rPr>
          <w:rFonts w:hint="default"/>
          <w:lang w:val="en-US" w:eastAsia="zh-CN"/>
        </w:rPr>
      </w:pPr>
      <w:r>
        <w:rPr>
          <w:rFonts w:hint="eastAsia"/>
          <w:lang w:val="en-US" w:eastAsia="zh-CN"/>
        </w:rPr>
        <w:t>充分利用各种媒体，通过微信、微博、客户端等方式加强“互联+”应用，引导公众生态文明意识，调动公众群策群力参与生态保护修复的积极性和创造性。组织公众开展节水、节地、减排、低碳生产等各类公益活动，积极发挥新闻媒体、社会组织和公众的舆论监督作用，建立健全社会监督渠道和机制，促进形成全社会共同参与的生态保护格局。</w:t>
      </w:r>
    </w:p>
    <w:sectPr>
      <w:pgSz w:w="11906" w:h="16838"/>
      <w:pgMar w:top="1247" w:right="1247" w:bottom="1247" w:left="124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B6E4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460B12">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460B12">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769828"/>
    <w:multiLevelType w:val="singleLevel"/>
    <w:tmpl w:val="DD769828"/>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hOGUxNGE3Njc2YjI0MDRhZWMwMTYzODk5MWViMjIifQ=="/>
  </w:docVars>
  <w:rsids>
    <w:rsidRoot w:val="654A726D"/>
    <w:rsid w:val="001570FF"/>
    <w:rsid w:val="00176380"/>
    <w:rsid w:val="001848D6"/>
    <w:rsid w:val="004B6AD5"/>
    <w:rsid w:val="005E75C1"/>
    <w:rsid w:val="00733E26"/>
    <w:rsid w:val="00C26B87"/>
    <w:rsid w:val="00C30C97"/>
    <w:rsid w:val="00F65E44"/>
    <w:rsid w:val="010F7FF3"/>
    <w:rsid w:val="011F2B61"/>
    <w:rsid w:val="01474601"/>
    <w:rsid w:val="01FF3BC3"/>
    <w:rsid w:val="02247ED3"/>
    <w:rsid w:val="02CB7F49"/>
    <w:rsid w:val="03265180"/>
    <w:rsid w:val="03584E69"/>
    <w:rsid w:val="035D75D9"/>
    <w:rsid w:val="03904317"/>
    <w:rsid w:val="03CE4E63"/>
    <w:rsid w:val="03DE7C17"/>
    <w:rsid w:val="03F31506"/>
    <w:rsid w:val="04BD04CB"/>
    <w:rsid w:val="05017C52"/>
    <w:rsid w:val="052D2D33"/>
    <w:rsid w:val="061817DC"/>
    <w:rsid w:val="062956B3"/>
    <w:rsid w:val="0720291F"/>
    <w:rsid w:val="072714AC"/>
    <w:rsid w:val="084A37D9"/>
    <w:rsid w:val="08913120"/>
    <w:rsid w:val="0A80786B"/>
    <w:rsid w:val="0ACF0E24"/>
    <w:rsid w:val="0B3E2722"/>
    <w:rsid w:val="0B4454A7"/>
    <w:rsid w:val="0B5807E8"/>
    <w:rsid w:val="0B5E0A3B"/>
    <w:rsid w:val="0B917661"/>
    <w:rsid w:val="0BC8771C"/>
    <w:rsid w:val="0C402975"/>
    <w:rsid w:val="0C55046C"/>
    <w:rsid w:val="0C6B7F40"/>
    <w:rsid w:val="0C822728"/>
    <w:rsid w:val="0C864640"/>
    <w:rsid w:val="0CB45F54"/>
    <w:rsid w:val="0CCC6D98"/>
    <w:rsid w:val="0CD1548A"/>
    <w:rsid w:val="0D197B03"/>
    <w:rsid w:val="0D4C30B2"/>
    <w:rsid w:val="0D852CE4"/>
    <w:rsid w:val="0DBE2B84"/>
    <w:rsid w:val="0E1934B6"/>
    <w:rsid w:val="0E8F2773"/>
    <w:rsid w:val="0ED4594A"/>
    <w:rsid w:val="0F7F7EC4"/>
    <w:rsid w:val="0FA346A2"/>
    <w:rsid w:val="103548B3"/>
    <w:rsid w:val="105716A0"/>
    <w:rsid w:val="10E83640"/>
    <w:rsid w:val="11167EB2"/>
    <w:rsid w:val="11BD75F7"/>
    <w:rsid w:val="11F7576D"/>
    <w:rsid w:val="122D02D9"/>
    <w:rsid w:val="127B54E8"/>
    <w:rsid w:val="12944CF4"/>
    <w:rsid w:val="12A61E39"/>
    <w:rsid w:val="12AD1419"/>
    <w:rsid w:val="12FD22D6"/>
    <w:rsid w:val="139F4F50"/>
    <w:rsid w:val="13BA5B9C"/>
    <w:rsid w:val="13ED4829"/>
    <w:rsid w:val="14264FE0"/>
    <w:rsid w:val="14CE63E8"/>
    <w:rsid w:val="14F45ACB"/>
    <w:rsid w:val="150866BF"/>
    <w:rsid w:val="15163054"/>
    <w:rsid w:val="151B4E1B"/>
    <w:rsid w:val="158D11B1"/>
    <w:rsid w:val="15B91045"/>
    <w:rsid w:val="16224634"/>
    <w:rsid w:val="1628755C"/>
    <w:rsid w:val="16921052"/>
    <w:rsid w:val="177D39CE"/>
    <w:rsid w:val="177E454C"/>
    <w:rsid w:val="17AA5F28"/>
    <w:rsid w:val="17FC78E1"/>
    <w:rsid w:val="18176581"/>
    <w:rsid w:val="18A40BC9"/>
    <w:rsid w:val="190F2B7A"/>
    <w:rsid w:val="19B86374"/>
    <w:rsid w:val="1A072F20"/>
    <w:rsid w:val="1A472154"/>
    <w:rsid w:val="1AC47300"/>
    <w:rsid w:val="1AE45BF4"/>
    <w:rsid w:val="1B550590"/>
    <w:rsid w:val="1BC3580A"/>
    <w:rsid w:val="1BE47F10"/>
    <w:rsid w:val="1C331D6D"/>
    <w:rsid w:val="1C557C32"/>
    <w:rsid w:val="1C5F19D6"/>
    <w:rsid w:val="1C844F99"/>
    <w:rsid w:val="1CB3762C"/>
    <w:rsid w:val="1D2642A2"/>
    <w:rsid w:val="1D3A00CA"/>
    <w:rsid w:val="1D4B24DF"/>
    <w:rsid w:val="1D5D57EA"/>
    <w:rsid w:val="1D8F1E47"/>
    <w:rsid w:val="1DAF155D"/>
    <w:rsid w:val="1DB93368"/>
    <w:rsid w:val="1DE17967"/>
    <w:rsid w:val="1E762B93"/>
    <w:rsid w:val="1F3A4035"/>
    <w:rsid w:val="1F994BCD"/>
    <w:rsid w:val="1FA310D6"/>
    <w:rsid w:val="200837DC"/>
    <w:rsid w:val="204E43A5"/>
    <w:rsid w:val="20854819"/>
    <w:rsid w:val="20A8044E"/>
    <w:rsid w:val="20E83BDD"/>
    <w:rsid w:val="21374CD0"/>
    <w:rsid w:val="214B063B"/>
    <w:rsid w:val="21972922"/>
    <w:rsid w:val="22600256"/>
    <w:rsid w:val="22971D40"/>
    <w:rsid w:val="22CE51C0"/>
    <w:rsid w:val="230E7CB2"/>
    <w:rsid w:val="236E4245"/>
    <w:rsid w:val="237044C9"/>
    <w:rsid w:val="237176C2"/>
    <w:rsid w:val="238B30B1"/>
    <w:rsid w:val="23A406F6"/>
    <w:rsid w:val="23BC1159"/>
    <w:rsid w:val="23DF574C"/>
    <w:rsid w:val="240115C5"/>
    <w:rsid w:val="241406C8"/>
    <w:rsid w:val="24376272"/>
    <w:rsid w:val="24521611"/>
    <w:rsid w:val="24575689"/>
    <w:rsid w:val="249A5C7B"/>
    <w:rsid w:val="24D42836"/>
    <w:rsid w:val="253B7343"/>
    <w:rsid w:val="25425F25"/>
    <w:rsid w:val="255435A0"/>
    <w:rsid w:val="257D0D1E"/>
    <w:rsid w:val="260C6669"/>
    <w:rsid w:val="26E64973"/>
    <w:rsid w:val="276854B7"/>
    <w:rsid w:val="27D44E2A"/>
    <w:rsid w:val="28125DDC"/>
    <w:rsid w:val="28296F5D"/>
    <w:rsid w:val="28316FA9"/>
    <w:rsid w:val="283B682A"/>
    <w:rsid w:val="284A3D10"/>
    <w:rsid w:val="284C7177"/>
    <w:rsid w:val="29274B33"/>
    <w:rsid w:val="292A1FBD"/>
    <w:rsid w:val="2B106B1F"/>
    <w:rsid w:val="2BC71AC4"/>
    <w:rsid w:val="2BF135D6"/>
    <w:rsid w:val="2CF414C4"/>
    <w:rsid w:val="2D2B2A30"/>
    <w:rsid w:val="2D8079FF"/>
    <w:rsid w:val="2DB80F46"/>
    <w:rsid w:val="2DBB0A37"/>
    <w:rsid w:val="2DBD47AF"/>
    <w:rsid w:val="2DC10659"/>
    <w:rsid w:val="2DD65871"/>
    <w:rsid w:val="2DE17D54"/>
    <w:rsid w:val="2E2A5C54"/>
    <w:rsid w:val="2E350234"/>
    <w:rsid w:val="2EF44200"/>
    <w:rsid w:val="2F1F07F1"/>
    <w:rsid w:val="2F9149BB"/>
    <w:rsid w:val="2F976672"/>
    <w:rsid w:val="2FD4552C"/>
    <w:rsid w:val="305331A8"/>
    <w:rsid w:val="30A403BC"/>
    <w:rsid w:val="30C5246F"/>
    <w:rsid w:val="3174565F"/>
    <w:rsid w:val="329A362F"/>
    <w:rsid w:val="329C2DB1"/>
    <w:rsid w:val="32ED0739"/>
    <w:rsid w:val="335E433E"/>
    <w:rsid w:val="336762FF"/>
    <w:rsid w:val="33AD0E22"/>
    <w:rsid w:val="33CF0D98"/>
    <w:rsid w:val="33FE1FFC"/>
    <w:rsid w:val="34A17602"/>
    <w:rsid w:val="35211654"/>
    <w:rsid w:val="35233888"/>
    <w:rsid w:val="352B0292"/>
    <w:rsid w:val="353115DE"/>
    <w:rsid w:val="35664A17"/>
    <w:rsid w:val="35FE7713"/>
    <w:rsid w:val="362A4920"/>
    <w:rsid w:val="363260B2"/>
    <w:rsid w:val="36ED4AE7"/>
    <w:rsid w:val="37492F3D"/>
    <w:rsid w:val="37862D3A"/>
    <w:rsid w:val="3801476C"/>
    <w:rsid w:val="384150BA"/>
    <w:rsid w:val="388D2FD0"/>
    <w:rsid w:val="389E012A"/>
    <w:rsid w:val="38AE6CEE"/>
    <w:rsid w:val="38D66725"/>
    <w:rsid w:val="39B5458C"/>
    <w:rsid w:val="3A101A0D"/>
    <w:rsid w:val="3A9C574C"/>
    <w:rsid w:val="3AB86BEE"/>
    <w:rsid w:val="3ADD76A6"/>
    <w:rsid w:val="3AE05031"/>
    <w:rsid w:val="3B1F0857"/>
    <w:rsid w:val="3C17152E"/>
    <w:rsid w:val="3C18574B"/>
    <w:rsid w:val="3C3B5844"/>
    <w:rsid w:val="3C9D7253"/>
    <w:rsid w:val="3CFC0724"/>
    <w:rsid w:val="3D053A7C"/>
    <w:rsid w:val="3D485717"/>
    <w:rsid w:val="3E5E4FD0"/>
    <w:rsid w:val="3E990920"/>
    <w:rsid w:val="3F60143E"/>
    <w:rsid w:val="3F7A7E3B"/>
    <w:rsid w:val="401F6C03"/>
    <w:rsid w:val="40BC08F6"/>
    <w:rsid w:val="412451C6"/>
    <w:rsid w:val="412D35A2"/>
    <w:rsid w:val="414C66FB"/>
    <w:rsid w:val="41585D86"/>
    <w:rsid w:val="41631529"/>
    <w:rsid w:val="418D60CE"/>
    <w:rsid w:val="41C01D3E"/>
    <w:rsid w:val="41C31810"/>
    <w:rsid w:val="422C61F8"/>
    <w:rsid w:val="424F14CB"/>
    <w:rsid w:val="42995053"/>
    <w:rsid w:val="42B147C1"/>
    <w:rsid w:val="43072E5B"/>
    <w:rsid w:val="43090FA9"/>
    <w:rsid w:val="432A7D99"/>
    <w:rsid w:val="4352109E"/>
    <w:rsid w:val="436C6603"/>
    <w:rsid w:val="43DA6B22"/>
    <w:rsid w:val="44281DE1"/>
    <w:rsid w:val="443C7F5E"/>
    <w:rsid w:val="44496945"/>
    <w:rsid w:val="446F07FE"/>
    <w:rsid w:val="44C25667"/>
    <w:rsid w:val="455E7AEC"/>
    <w:rsid w:val="45927E77"/>
    <w:rsid w:val="459C7FE3"/>
    <w:rsid w:val="45F44519"/>
    <w:rsid w:val="461B34AE"/>
    <w:rsid w:val="469C5C39"/>
    <w:rsid w:val="477322F3"/>
    <w:rsid w:val="47860586"/>
    <w:rsid w:val="48007537"/>
    <w:rsid w:val="48512E71"/>
    <w:rsid w:val="488317A3"/>
    <w:rsid w:val="48DA425B"/>
    <w:rsid w:val="48E14968"/>
    <w:rsid w:val="4936582A"/>
    <w:rsid w:val="498840B1"/>
    <w:rsid w:val="49FA3056"/>
    <w:rsid w:val="4A534028"/>
    <w:rsid w:val="4A5444AF"/>
    <w:rsid w:val="4A570EFB"/>
    <w:rsid w:val="4A722ED8"/>
    <w:rsid w:val="4AC07DEF"/>
    <w:rsid w:val="4AD2746C"/>
    <w:rsid w:val="4AFC64BF"/>
    <w:rsid w:val="4B57247E"/>
    <w:rsid w:val="4C0513A3"/>
    <w:rsid w:val="4C8E6B46"/>
    <w:rsid w:val="4CA311D2"/>
    <w:rsid w:val="4CCD031D"/>
    <w:rsid w:val="4CF5766A"/>
    <w:rsid w:val="4DD21759"/>
    <w:rsid w:val="4E023609"/>
    <w:rsid w:val="4E17716C"/>
    <w:rsid w:val="4E64598A"/>
    <w:rsid w:val="4F073684"/>
    <w:rsid w:val="4F302BDB"/>
    <w:rsid w:val="4F7F146C"/>
    <w:rsid w:val="4FAA3F1B"/>
    <w:rsid w:val="5022399A"/>
    <w:rsid w:val="50C67893"/>
    <w:rsid w:val="50EB4946"/>
    <w:rsid w:val="512978E2"/>
    <w:rsid w:val="517A013D"/>
    <w:rsid w:val="51864CFD"/>
    <w:rsid w:val="51864D34"/>
    <w:rsid w:val="51C51031"/>
    <w:rsid w:val="51D5428B"/>
    <w:rsid w:val="520D51E4"/>
    <w:rsid w:val="526176D1"/>
    <w:rsid w:val="527B7343"/>
    <w:rsid w:val="52A66D10"/>
    <w:rsid w:val="52CA0991"/>
    <w:rsid w:val="52D03D8D"/>
    <w:rsid w:val="53034162"/>
    <w:rsid w:val="53412F71"/>
    <w:rsid w:val="53AE7010"/>
    <w:rsid w:val="54492049"/>
    <w:rsid w:val="5463310B"/>
    <w:rsid w:val="54C0741E"/>
    <w:rsid w:val="54CB0CB0"/>
    <w:rsid w:val="550C1C87"/>
    <w:rsid w:val="550D051D"/>
    <w:rsid w:val="55583F3D"/>
    <w:rsid w:val="562E4C3B"/>
    <w:rsid w:val="564A2C2C"/>
    <w:rsid w:val="565C0A5B"/>
    <w:rsid w:val="568E3EB0"/>
    <w:rsid w:val="56DE1C53"/>
    <w:rsid w:val="56F253D6"/>
    <w:rsid w:val="57032983"/>
    <w:rsid w:val="57560D05"/>
    <w:rsid w:val="57676EA4"/>
    <w:rsid w:val="58135162"/>
    <w:rsid w:val="58315C0C"/>
    <w:rsid w:val="58E0287B"/>
    <w:rsid w:val="58E578B7"/>
    <w:rsid w:val="58F475B0"/>
    <w:rsid w:val="591470C9"/>
    <w:rsid w:val="595037C6"/>
    <w:rsid w:val="595B4CF8"/>
    <w:rsid w:val="59814033"/>
    <w:rsid w:val="59883E35"/>
    <w:rsid w:val="59A916B2"/>
    <w:rsid w:val="59DF76D7"/>
    <w:rsid w:val="5A5D684E"/>
    <w:rsid w:val="5AAD1584"/>
    <w:rsid w:val="5AC8016B"/>
    <w:rsid w:val="5B9D4B14"/>
    <w:rsid w:val="5C080CB9"/>
    <w:rsid w:val="5C0E6896"/>
    <w:rsid w:val="5CC606DB"/>
    <w:rsid w:val="5CD85C35"/>
    <w:rsid w:val="5D15716B"/>
    <w:rsid w:val="5D3A60FB"/>
    <w:rsid w:val="5D4B6E32"/>
    <w:rsid w:val="5DDC5CDC"/>
    <w:rsid w:val="5DF11223"/>
    <w:rsid w:val="5E714CB3"/>
    <w:rsid w:val="5E7B3747"/>
    <w:rsid w:val="5EAE58CA"/>
    <w:rsid w:val="5EE276D6"/>
    <w:rsid w:val="5F944FE5"/>
    <w:rsid w:val="5FD23A76"/>
    <w:rsid w:val="5FDC1FC3"/>
    <w:rsid w:val="5FF06D89"/>
    <w:rsid w:val="601D1EA8"/>
    <w:rsid w:val="60365498"/>
    <w:rsid w:val="608F7035"/>
    <w:rsid w:val="60B87BDB"/>
    <w:rsid w:val="61881DC6"/>
    <w:rsid w:val="618B49CE"/>
    <w:rsid w:val="62966DA1"/>
    <w:rsid w:val="62B70BE3"/>
    <w:rsid w:val="64975011"/>
    <w:rsid w:val="654A726D"/>
    <w:rsid w:val="655C2B7E"/>
    <w:rsid w:val="656560CF"/>
    <w:rsid w:val="656D2220"/>
    <w:rsid w:val="66023B0E"/>
    <w:rsid w:val="66256220"/>
    <w:rsid w:val="66272A80"/>
    <w:rsid w:val="6657352D"/>
    <w:rsid w:val="66F159A2"/>
    <w:rsid w:val="67332FD6"/>
    <w:rsid w:val="675A30E5"/>
    <w:rsid w:val="676F2F4D"/>
    <w:rsid w:val="67BF46A4"/>
    <w:rsid w:val="68282249"/>
    <w:rsid w:val="683E1A6D"/>
    <w:rsid w:val="69200BC7"/>
    <w:rsid w:val="69C24293"/>
    <w:rsid w:val="6A7618A7"/>
    <w:rsid w:val="6AC66305"/>
    <w:rsid w:val="6B1B6095"/>
    <w:rsid w:val="6B260AC3"/>
    <w:rsid w:val="6B8C2459"/>
    <w:rsid w:val="6BD9731F"/>
    <w:rsid w:val="6C0F7296"/>
    <w:rsid w:val="6C697558"/>
    <w:rsid w:val="6C6B79A8"/>
    <w:rsid w:val="6C804E50"/>
    <w:rsid w:val="6CD05E9D"/>
    <w:rsid w:val="6CD53F3B"/>
    <w:rsid w:val="6DB00EAC"/>
    <w:rsid w:val="6E9879FD"/>
    <w:rsid w:val="6E996735"/>
    <w:rsid w:val="6FE02BDF"/>
    <w:rsid w:val="700A59E5"/>
    <w:rsid w:val="700F0193"/>
    <w:rsid w:val="70191889"/>
    <w:rsid w:val="703A1A42"/>
    <w:rsid w:val="71D065E1"/>
    <w:rsid w:val="724265FE"/>
    <w:rsid w:val="725B32E0"/>
    <w:rsid w:val="726447C6"/>
    <w:rsid w:val="726A7902"/>
    <w:rsid w:val="72FA6ED8"/>
    <w:rsid w:val="73133AF6"/>
    <w:rsid w:val="73354155"/>
    <w:rsid w:val="73542D11"/>
    <w:rsid w:val="735C34E4"/>
    <w:rsid w:val="73791D2E"/>
    <w:rsid w:val="73DC213A"/>
    <w:rsid w:val="73E163AB"/>
    <w:rsid w:val="73F27BAF"/>
    <w:rsid w:val="741714DE"/>
    <w:rsid w:val="74380C80"/>
    <w:rsid w:val="74546174"/>
    <w:rsid w:val="74B23D8F"/>
    <w:rsid w:val="74C4154C"/>
    <w:rsid w:val="74C652C4"/>
    <w:rsid w:val="74CA4688"/>
    <w:rsid w:val="74E43264"/>
    <w:rsid w:val="762F50EB"/>
    <w:rsid w:val="77192F08"/>
    <w:rsid w:val="78186550"/>
    <w:rsid w:val="781B3612"/>
    <w:rsid w:val="786D673B"/>
    <w:rsid w:val="78A07BDA"/>
    <w:rsid w:val="793118AD"/>
    <w:rsid w:val="797D52E3"/>
    <w:rsid w:val="79A731EA"/>
    <w:rsid w:val="79D76BF8"/>
    <w:rsid w:val="79FC624F"/>
    <w:rsid w:val="79FF6B82"/>
    <w:rsid w:val="7B9D52D9"/>
    <w:rsid w:val="7C26489A"/>
    <w:rsid w:val="7C937F61"/>
    <w:rsid w:val="7D6F401F"/>
    <w:rsid w:val="7D9A29C3"/>
    <w:rsid w:val="7E2F2AA8"/>
    <w:rsid w:val="7E7B0D5F"/>
    <w:rsid w:val="7E83413E"/>
    <w:rsid w:val="7E8A3218"/>
    <w:rsid w:val="7ECD4F81"/>
    <w:rsid w:val="7EDD1E49"/>
    <w:rsid w:val="7F1726BF"/>
    <w:rsid w:val="7F352E40"/>
    <w:rsid w:val="7F385010"/>
    <w:rsid w:val="7F5E259D"/>
    <w:rsid w:val="7FA34C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83" w:firstLineChars="200"/>
      <w:jc w:val="both"/>
    </w:pPr>
    <w:rPr>
      <w:rFonts w:ascii="Times New Roman" w:hAnsi="Times New Roman" w:eastAsia="仿宋" w:cstheme="minorBidi"/>
      <w:kern w:val="2"/>
      <w:sz w:val="28"/>
      <w:szCs w:val="24"/>
      <w:lang w:val="en-US" w:eastAsia="zh-CN" w:bidi="ar-SA"/>
    </w:rPr>
  </w:style>
  <w:style w:type="paragraph" w:styleId="2">
    <w:name w:val="heading 1"/>
    <w:basedOn w:val="1"/>
    <w:next w:val="1"/>
    <w:qFormat/>
    <w:uiPriority w:val="0"/>
    <w:pPr>
      <w:keepNext/>
      <w:keepLines/>
      <w:spacing w:before="50" w:beforeLines="50" w:beforeAutospacing="0" w:after="50" w:afterLines="50" w:afterAutospacing="0" w:line="360" w:lineRule="auto"/>
      <w:ind w:firstLine="0" w:firstLineChars="0"/>
      <w:jc w:val="center"/>
      <w:outlineLvl w:val="0"/>
    </w:pPr>
    <w:rPr>
      <w:rFonts w:eastAsia="黑体"/>
      <w:b/>
      <w:kern w:val="44"/>
      <w:sz w:val="32"/>
    </w:rPr>
  </w:style>
  <w:style w:type="paragraph" w:styleId="3">
    <w:name w:val="heading 2"/>
    <w:basedOn w:val="1"/>
    <w:next w:val="1"/>
    <w:unhideWhenUsed/>
    <w:qFormat/>
    <w:uiPriority w:val="0"/>
    <w:pPr>
      <w:keepNext/>
      <w:keepLines/>
      <w:spacing w:before="50" w:beforeLines="50" w:beforeAutospacing="0" w:after="50" w:afterLines="50" w:afterAutospacing="0" w:line="360" w:lineRule="auto"/>
      <w:ind w:firstLine="883" w:firstLineChars="200"/>
      <w:outlineLvl w:val="1"/>
    </w:pPr>
    <w:rPr>
      <w:rFonts w:ascii="Times New Roman" w:hAnsi="Times New Roman" w:eastAsia="楷体"/>
      <w:b/>
      <w:sz w:val="30"/>
    </w:rPr>
  </w:style>
  <w:style w:type="paragraph" w:styleId="4">
    <w:name w:val="heading 3"/>
    <w:basedOn w:val="1"/>
    <w:next w:val="1"/>
    <w:unhideWhenUsed/>
    <w:qFormat/>
    <w:uiPriority w:val="0"/>
    <w:pPr>
      <w:keepNext/>
      <w:keepLines/>
      <w:spacing w:before="50" w:beforeLines="50" w:beforeAutospacing="0" w:after="10" w:afterLines="0" w:afterAutospacing="0" w:line="360" w:lineRule="auto"/>
      <w:outlineLvl w:val="2"/>
    </w:pPr>
    <w:rPr>
      <w:rFonts w:ascii="Times New Roman" w:hAnsi="Times New Roman"/>
      <w:b/>
      <w:sz w:val="28"/>
    </w:rPr>
  </w:style>
  <w:style w:type="character" w:default="1" w:styleId="10">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
    <w:name w:val="Table Theme"/>
    <w:basedOn w:val="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表名"/>
    <w:basedOn w:val="1"/>
    <w:qFormat/>
    <w:uiPriority w:val="0"/>
    <w:pPr>
      <w:spacing w:line="240" w:lineRule="auto"/>
      <w:ind w:firstLine="0" w:firstLineChars="0"/>
      <w:jc w:val="center"/>
    </w:pPr>
    <w:rPr>
      <w:rFonts w:hint="default" w:ascii="Times New Roman" w:hAnsi="Times New Roman"/>
      <w:bCs/>
      <w:sz w:val="24"/>
    </w:rPr>
  </w:style>
  <w:style w:type="paragraph" w:customStyle="1" w:styleId="12">
    <w:name w:val="表内文字"/>
    <w:basedOn w:val="1"/>
    <w:qFormat/>
    <w:uiPriority w:val="0"/>
    <w:pPr>
      <w:adjustRightInd w:val="0"/>
      <w:snapToGrid w:val="0"/>
      <w:spacing w:line="240" w:lineRule="auto"/>
      <w:ind w:firstLine="0" w:firstLineChars="0"/>
      <w:jc w:val="center"/>
    </w:pPr>
    <w:rPr>
      <w:rFonts w:hint="default" w:ascii="Times New Roman" w:hAnsi="Times New Roman"/>
      <w:bCs/>
      <w:sz w:val="24"/>
    </w:rPr>
  </w:style>
  <w:style w:type="paragraph" w:customStyle="1" w:styleId="13">
    <w:name w:val="表格"/>
    <w:qFormat/>
    <w:uiPriority w:val="0"/>
    <w:pPr>
      <w:spacing w:line="240" w:lineRule="atLeast"/>
      <w:jc w:val="center"/>
    </w:pPr>
    <w:rPr>
      <w:rFonts w:ascii="Times New Roman" w:hAnsi="Times New Roman" w:eastAsia="宋体" w:cs="Times New Roman"/>
      <w:sz w:val="18"/>
      <w:lang w:val="en-US" w:eastAsia="zh-CN" w:bidi="ar-SA"/>
    </w:rPr>
  </w:style>
  <w:style w:type="character" w:customStyle="1" w:styleId="14">
    <w:name w:val="font11"/>
    <w:basedOn w:val="10"/>
    <w:qFormat/>
    <w:uiPriority w:val="0"/>
    <w:rPr>
      <w:rFonts w:hint="eastAsia" w:ascii="仿宋" w:hAnsi="仿宋" w:eastAsia="仿宋" w:cs="仿宋"/>
      <w:color w:val="000000"/>
      <w:sz w:val="21"/>
      <w:szCs w:val="21"/>
      <w:u w:val="none"/>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paragraph" w:customStyle="1" w:styleId="16">
    <w:name w:val="WPSOffice手动目录 2"/>
    <w:qFormat/>
    <w:uiPriority w:val="0"/>
    <w:pPr>
      <w:ind w:leftChars="200"/>
    </w:pPr>
    <w:rPr>
      <w:rFonts w:ascii="Times New Roman" w:hAnsi="Times New Roman" w:eastAsia="宋体" w:cs="Times New Roman"/>
      <w:sz w:val="20"/>
      <w:szCs w:val="20"/>
    </w:rPr>
  </w:style>
  <w:style w:type="paragraph" w:customStyle="1" w:styleId="17">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14345</Words>
  <Characters>15119</Characters>
  <Lines>0</Lines>
  <Paragraphs>0</Paragraphs>
  <TotalTime>2</TotalTime>
  <ScaleCrop>false</ScaleCrop>
  <LinksUpToDate>false</LinksUpToDate>
  <CharactersWithSpaces>15390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2024-11-19T02:54:00Z</dcterms:created>
  <dc:creator>余怡航</dc:creator>
  <cp:lastModifiedBy>WPS_1715740278</cp:lastModifiedBy>
  <cp:lastPrinted>2024-12-07T05:35:00Z</cp:lastPrinted>
  <dcterms:modified xsi:type="dcterms:W3CDTF">2026-08-27T05:43:45Z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643674D2EB0941D0A290E2C9E38FAE3D_13</vt:lpwstr>
  </property>
  <property fmtid="{D5CDD505-2E9C-101B-9397-08002B2CF9AE}" pid="4" name="KSOTemplateDocerSaveRecord">
    <vt:lpwstr>eyJoZGlkIjoiN2U4OTEwMWQzMWY0MWI2ZmJhZjJmY2EyNzAxZWMwODIiLCJ1c2VySWQiOiIxNjAyMzEzNjE2In0=</vt:lpwstr>
  </property>
</Properties>
</file>