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BBFB6">
      <w:pPr>
        <w:jc w:val="center"/>
        <w:rPr>
          <w:b/>
          <w:bCs/>
          <w:spacing w:val="20"/>
          <w:sz w:val="44"/>
          <w:szCs w:val="44"/>
          <w:highlight w:val="none"/>
        </w:rPr>
      </w:pPr>
    </w:p>
    <w:p w14:paraId="5AD05914">
      <w:pPr>
        <w:jc w:val="center"/>
        <w:rPr>
          <w:b/>
          <w:bCs/>
          <w:spacing w:val="20"/>
          <w:sz w:val="44"/>
          <w:szCs w:val="44"/>
          <w:highlight w:val="none"/>
        </w:rPr>
      </w:pPr>
    </w:p>
    <w:p w14:paraId="19EB1F13">
      <w:pPr>
        <w:jc w:val="center"/>
        <w:rPr>
          <w:rFonts w:hint="eastAsia" w:ascii="黑体" w:hAnsi="黑体" w:eastAsia="黑体"/>
          <w:b/>
          <w:bCs/>
          <w:spacing w:val="20"/>
          <w:sz w:val="52"/>
          <w:szCs w:val="52"/>
          <w:highlight w:val="none"/>
        </w:rPr>
      </w:pPr>
      <w:r>
        <w:rPr>
          <w:rFonts w:hint="eastAsia" w:ascii="黑体" w:hAnsi="黑体" w:eastAsia="黑体"/>
          <w:b/>
          <w:bCs/>
          <w:spacing w:val="20"/>
          <w:sz w:val="52"/>
          <w:szCs w:val="52"/>
          <w:highlight w:val="none"/>
        </w:rPr>
        <w:t>《阿克陶县地质灾害防治“十五五”规划（2026-2030年）（草案）》</w:t>
      </w:r>
    </w:p>
    <w:p w14:paraId="3207C927">
      <w:pPr>
        <w:jc w:val="center"/>
        <w:rPr>
          <w:rFonts w:ascii="黑体" w:hAnsi="黑体" w:eastAsia="黑体"/>
          <w:b/>
          <w:bCs/>
          <w:spacing w:val="20"/>
          <w:sz w:val="52"/>
          <w:szCs w:val="52"/>
          <w:highlight w:val="none"/>
        </w:rPr>
      </w:pPr>
      <w:r>
        <w:rPr>
          <w:rFonts w:hint="eastAsia" w:ascii="黑体" w:hAnsi="黑体" w:eastAsia="黑体"/>
          <w:b/>
          <w:bCs/>
          <w:spacing w:val="20"/>
          <w:sz w:val="52"/>
          <w:szCs w:val="52"/>
          <w:highlight w:val="none"/>
        </w:rPr>
        <w:t>征求意见搞</w:t>
      </w:r>
    </w:p>
    <w:p w14:paraId="459C8B4D">
      <w:pPr>
        <w:spacing w:line="560" w:lineRule="exact"/>
        <w:rPr>
          <w:rFonts w:ascii="黑体" w:hAnsi="黑体" w:eastAsia="黑体"/>
          <w:b/>
          <w:bCs/>
          <w:sz w:val="32"/>
          <w:highlight w:val="none"/>
        </w:rPr>
      </w:pPr>
      <w:r>
        <w:rPr>
          <w:rFonts w:ascii="黑体" w:hAnsi="黑体" w:eastAsia="黑体"/>
          <w:b/>
          <w:bCs/>
          <w:sz w:val="32"/>
          <w:highlight w:val="none"/>
        </w:rPr>
        <w:t xml:space="preserve"> </w:t>
      </w:r>
    </w:p>
    <w:p w14:paraId="0C03E6E2">
      <w:pPr>
        <w:spacing w:line="560" w:lineRule="exact"/>
        <w:jc w:val="center"/>
        <w:rPr>
          <w:sz w:val="32"/>
          <w:highlight w:val="none"/>
        </w:rPr>
      </w:pPr>
      <w:r>
        <w:rPr>
          <w:rFonts w:hint="eastAsia" w:ascii="黑体" w:hAnsi="黑体" w:eastAsia="黑体"/>
          <w:sz w:val="32"/>
          <w:highlight w:val="none"/>
        </w:rPr>
        <w:t>（202</w:t>
      </w:r>
      <w:r>
        <w:rPr>
          <w:rFonts w:hint="eastAsia" w:ascii="黑体" w:hAnsi="黑体" w:eastAsia="黑体"/>
          <w:sz w:val="32"/>
          <w:highlight w:val="none"/>
          <w:lang w:val="en-US" w:eastAsia="zh-CN"/>
        </w:rPr>
        <w:t>6</w:t>
      </w:r>
      <w:r>
        <w:rPr>
          <w:rFonts w:hint="eastAsia" w:ascii="黑体" w:hAnsi="黑体" w:eastAsia="黑体"/>
          <w:sz w:val="32"/>
          <w:highlight w:val="none"/>
        </w:rPr>
        <w:t>—20</w:t>
      </w:r>
      <w:r>
        <w:rPr>
          <w:rFonts w:hint="eastAsia" w:ascii="黑体" w:hAnsi="黑体" w:eastAsia="黑体"/>
          <w:sz w:val="32"/>
          <w:highlight w:val="none"/>
          <w:lang w:val="en-US" w:eastAsia="zh-CN"/>
        </w:rPr>
        <w:t>30</w:t>
      </w:r>
      <w:r>
        <w:rPr>
          <w:rFonts w:hint="eastAsia" w:ascii="黑体" w:hAnsi="黑体" w:eastAsia="黑体"/>
          <w:sz w:val="32"/>
          <w:highlight w:val="none"/>
        </w:rPr>
        <w:t>年）</w:t>
      </w:r>
    </w:p>
    <w:p w14:paraId="72CB6F1D">
      <w:pPr>
        <w:spacing w:line="560" w:lineRule="exact"/>
        <w:ind w:firstLine="2880" w:firstLineChars="900"/>
        <w:rPr>
          <w:sz w:val="32"/>
          <w:highlight w:val="none"/>
        </w:rPr>
      </w:pPr>
    </w:p>
    <w:p w14:paraId="41915876">
      <w:pPr>
        <w:spacing w:line="560" w:lineRule="exact"/>
        <w:ind w:firstLine="2880" w:firstLineChars="900"/>
        <w:rPr>
          <w:sz w:val="32"/>
          <w:highlight w:val="none"/>
        </w:rPr>
      </w:pPr>
    </w:p>
    <w:p w14:paraId="7D8CBBD3">
      <w:pPr>
        <w:spacing w:line="560" w:lineRule="exact"/>
        <w:ind w:firstLine="2880" w:firstLineChars="900"/>
        <w:rPr>
          <w:sz w:val="32"/>
          <w:highlight w:val="none"/>
        </w:rPr>
      </w:pPr>
      <w:bookmarkStart w:id="64" w:name="_GoBack"/>
      <w:bookmarkEnd w:id="64"/>
    </w:p>
    <w:p w14:paraId="1B8F1203">
      <w:pPr>
        <w:spacing w:line="560" w:lineRule="exact"/>
        <w:ind w:firstLine="2880" w:firstLineChars="900"/>
        <w:rPr>
          <w:sz w:val="32"/>
          <w:highlight w:val="none"/>
        </w:rPr>
      </w:pPr>
    </w:p>
    <w:p w14:paraId="3DD42175">
      <w:pPr>
        <w:spacing w:line="560" w:lineRule="exact"/>
        <w:ind w:firstLine="2880" w:firstLineChars="900"/>
        <w:rPr>
          <w:sz w:val="32"/>
          <w:highlight w:val="none"/>
        </w:rPr>
      </w:pPr>
    </w:p>
    <w:p w14:paraId="5A36B2CF">
      <w:pPr>
        <w:spacing w:line="560" w:lineRule="exact"/>
        <w:ind w:firstLine="2880" w:firstLineChars="900"/>
        <w:rPr>
          <w:sz w:val="32"/>
          <w:highlight w:val="none"/>
        </w:rPr>
      </w:pPr>
    </w:p>
    <w:p w14:paraId="6C41858A">
      <w:pPr>
        <w:spacing w:line="560" w:lineRule="exact"/>
        <w:ind w:firstLine="2880" w:firstLineChars="900"/>
        <w:rPr>
          <w:sz w:val="32"/>
          <w:highlight w:val="none"/>
        </w:rPr>
      </w:pPr>
    </w:p>
    <w:p w14:paraId="146EE796">
      <w:pPr>
        <w:spacing w:line="560" w:lineRule="exact"/>
        <w:ind w:firstLine="2880" w:firstLineChars="900"/>
        <w:rPr>
          <w:sz w:val="32"/>
          <w:highlight w:val="none"/>
        </w:rPr>
      </w:pPr>
    </w:p>
    <w:p w14:paraId="2E4C3D8E">
      <w:pPr>
        <w:spacing w:line="560" w:lineRule="exact"/>
        <w:ind w:firstLine="2880" w:firstLineChars="900"/>
        <w:jc w:val="center"/>
        <w:rPr>
          <w:sz w:val="32"/>
          <w:highlight w:val="none"/>
        </w:rPr>
      </w:pPr>
    </w:p>
    <w:p w14:paraId="329189A4">
      <w:pPr>
        <w:spacing w:line="560" w:lineRule="exact"/>
        <w:ind w:firstLine="2880" w:firstLineChars="900"/>
        <w:rPr>
          <w:sz w:val="32"/>
          <w:highlight w:val="none"/>
        </w:rPr>
      </w:pPr>
    </w:p>
    <w:p w14:paraId="20765720">
      <w:pPr>
        <w:spacing w:line="560" w:lineRule="exact"/>
        <w:ind w:firstLine="2880" w:firstLineChars="900"/>
        <w:rPr>
          <w:sz w:val="32"/>
          <w:highlight w:val="none"/>
        </w:rPr>
      </w:pPr>
    </w:p>
    <w:p w14:paraId="5A2AF0FC">
      <w:pPr>
        <w:spacing w:line="560" w:lineRule="exact"/>
        <w:ind w:firstLine="2880" w:firstLineChars="900"/>
        <w:rPr>
          <w:rFonts w:hint="default" w:eastAsia="宋体"/>
          <w:sz w:val="32"/>
          <w:highlight w:val="none"/>
          <w:lang w:val="en-US" w:eastAsia="zh-CN"/>
        </w:rPr>
      </w:pPr>
      <w:r>
        <w:rPr>
          <w:rFonts w:hint="eastAsia"/>
          <w:sz w:val="32"/>
          <w:highlight w:val="none"/>
          <w:lang w:val="en-US" w:eastAsia="zh-CN"/>
        </w:rPr>
        <w:t xml:space="preserve">                                                                             </w:t>
      </w:r>
    </w:p>
    <w:p w14:paraId="73CACA3C">
      <w:pPr>
        <w:spacing w:line="560" w:lineRule="exact"/>
        <w:rPr>
          <w:sz w:val="32"/>
          <w:highlight w:val="none"/>
        </w:rPr>
      </w:pPr>
    </w:p>
    <w:p w14:paraId="77A7F0C1">
      <w:pPr>
        <w:spacing w:line="560" w:lineRule="exact"/>
        <w:ind w:firstLine="340"/>
        <w:jc w:val="center"/>
        <w:rPr>
          <w:b/>
          <w:bCs/>
          <w:sz w:val="40"/>
          <w:highlight w:val="none"/>
        </w:rPr>
      </w:pPr>
    </w:p>
    <w:p w14:paraId="38EF6FD9">
      <w:pPr>
        <w:jc w:val="center"/>
        <w:rPr>
          <w:rFonts w:ascii="黑体" w:hAnsi="黑体" w:eastAsia="黑体"/>
          <w:bCs/>
          <w:sz w:val="36"/>
          <w:szCs w:val="36"/>
          <w:highlight w:val="none"/>
        </w:rPr>
      </w:pPr>
      <w:r>
        <w:rPr>
          <w:rFonts w:hint="eastAsia" w:ascii="黑体" w:hAnsi="黑体" w:eastAsia="黑体"/>
          <w:bCs/>
          <w:sz w:val="36"/>
          <w:szCs w:val="36"/>
          <w:highlight w:val="none"/>
        </w:rPr>
        <w:t>阿克陶县自然资源局</w:t>
      </w:r>
    </w:p>
    <w:p w14:paraId="7DA77B93">
      <w:pPr>
        <w:spacing w:line="500" w:lineRule="exact"/>
        <w:jc w:val="center"/>
        <w:rPr>
          <w:rFonts w:hint="eastAsia" w:ascii="仿宋" w:hAnsi="仿宋" w:eastAsia="仿宋"/>
          <w:b/>
          <w:bCs/>
          <w:kern w:val="44"/>
          <w:sz w:val="52"/>
          <w:szCs w:val="52"/>
          <w:highlight w:val="none"/>
        </w:rPr>
      </w:pPr>
      <w:r>
        <w:rPr>
          <w:rFonts w:ascii="黑体" w:hAnsi="黑体" w:eastAsia="黑体"/>
          <w:bCs/>
          <w:sz w:val="36"/>
          <w:szCs w:val="36"/>
          <w:highlight w:val="none"/>
        </w:rPr>
        <w:t>二〇二</w:t>
      </w:r>
      <w:r>
        <w:rPr>
          <w:rFonts w:hint="eastAsia" w:ascii="黑体" w:hAnsi="黑体" w:eastAsia="黑体"/>
          <w:bCs/>
          <w:sz w:val="36"/>
          <w:szCs w:val="36"/>
          <w:highlight w:val="none"/>
          <w:lang w:val="en-US" w:eastAsia="zh-CN"/>
        </w:rPr>
        <w:t>五</w:t>
      </w:r>
      <w:r>
        <w:rPr>
          <w:rFonts w:ascii="黑体" w:hAnsi="黑体" w:eastAsia="黑体"/>
          <w:bCs/>
          <w:sz w:val="36"/>
          <w:szCs w:val="36"/>
          <w:highlight w:val="none"/>
        </w:rPr>
        <w:t>年</w:t>
      </w:r>
      <w:r>
        <w:rPr>
          <w:rFonts w:hint="eastAsia" w:ascii="黑体" w:hAnsi="黑体" w:eastAsia="黑体"/>
          <w:bCs/>
          <w:sz w:val="36"/>
          <w:szCs w:val="36"/>
          <w:highlight w:val="none"/>
          <w:lang w:val="en-US" w:eastAsia="zh-CN"/>
        </w:rPr>
        <w:t>十一</w:t>
      </w:r>
      <w:r>
        <w:rPr>
          <w:rFonts w:ascii="黑体" w:hAnsi="黑体" w:eastAsia="黑体"/>
          <w:bCs/>
          <w:sz w:val="36"/>
          <w:szCs w:val="36"/>
          <w:highlight w:val="none"/>
        </w:rPr>
        <w:t>月</w:t>
      </w:r>
    </w:p>
    <w:p w14:paraId="3204F62A">
      <w:pPr>
        <w:adjustRightInd w:val="0"/>
        <w:spacing w:line="480" w:lineRule="auto"/>
        <w:rPr>
          <w:rFonts w:ascii="仿宋" w:hAnsi="仿宋" w:eastAsia="仿宋"/>
          <w:b/>
          <w:bCs/>
          <w:kern w:val="44"/>
          <w:sz w:val="52"/>
          <w:szCs w:val="52"/>
          <w:highlight w:val="none"/>
        </w:rPr>
      </w:pPr>
      <w:r>
        <w:rPr>
          <w:rFonts w:hint="eastAsia" w:ascii="仿宋" w:hAnsi="仿宋" w:eastAsia="仿宋"/>
          <w:b/>
          <w:bCs/>
          <w:kern w:val="44"/>
          <w:sz w:val="52"/>
          <w:szCs w:val="52"/>
          <w:highlight w:val="none"/>
        </w:rPr>
        <w:t xml:space="preserve">             </w:t>
      </w:r>
    </w:p>
    <w:p w14:paraId="3AD704F0">
      <w:pPr>
        <w:spacing w:line="360" w:lineRule="auto"/>
        <w:jc w:val="center"/>
        <w:rPr>
          <w:rFonts w:ascii="黑体" w:hAnsi="黑体" w:eastAsia="黑体"/>
          <w:b/>
          <w:sz w:val="32"/>
          <w:szCs w:val="32"/>
          <w:highlight w:val="none"/>
        </w:rPr>
        <w:sectPr>
          <w:headerReference r:id="rId3" w:type="default"/>
          <w:footerReference r:id="rId4" w:type="default"/>
          <w:footerReference r:id="rId5" w:type="even"/>
          <w:pgSz w:w="11906" w:h="16838"/>
          <w:pgMar w:top="1440" w:right="1418" w:bottom="1440" w:left="1418" w:header="851" w:footer="992" w:gutter="0"/>
          <w:pgBorders>
            <w:top w:val="none" w:sz="0" w:space="0"/>
            <w:left w:val="none" w:sz="0" w:space="0"/>
            <w:bottom w:val="none" w:sz="0" w:space="0"/>
            <w:right w:val="none" w:sz="0" w:space="0"/>
          </w:pgBorders>
          <w:cols w:space="720" w:num="1"/>
          <w:docGrid w:linePitch="312" w:charSpace="0"/>
        </w:sectPr>
      </w:pPr>
    </w:p>
    <w:p w14:paraId="738D7F0D">
      <w:pPr>
        <w:spacing w:line="360" w:lineRule="auto"/>
        <w:jc w:val="center"/>
        <w:rPr>
          <w:rFonts w:ascii="黑体" w:hAnsi="黑体" w:eastAsia="黑体"/>
          <w:b/>
          <w:sz w:val="32"/>
          <w:szCs w:val="32"/>
          <w:highlight w:val="none"/>
        </w:rPr>
      </w:pPr>
      <w:r>
        <w:rPr>
          <w:rFonts w:ascii="黑体" w:hAnsi="黑体" w:eastAsia="黑体"/>
          <w:b/>
          <w:sz w:val="32"/>
          <w:szCs w:val="32"/>
          <w:highlight w:val="none"/>
        </w:rPr>
        <w:t>目  录</w:t>
      </w:r>
    </w:p>
    <w:p w14:paraId="74A0490E">
      <w:pPr>
        <w:pStyle w:val="20"/>
        <w:tabs>
          <w:tab w:val="right" w:leader="dot" w:pos="9070"/>
          <w:tab w:val="clear" w:pos="9060"/>
        </w:tabs>
        <w:rPr>
          <w:rFonts w:hint="default" w:ascii="Times New Roman" w:hAnsi="Times New Roman" w:eastAsia="仿宋" w:cs="Times New Roman"/>
          <w:sz w:val="32"/>
          <w:szCs w:val="32"/>
          <w:highlight w:val="none"/>
        </w:rPr>
      </w:pPr>
      <w:r>
        <w:rPr>
          <w:rFonts w:hint="default" w:ascii="Times New Roman" w:hAnsi="Times New Roman" w:eastAsia="仿宋" w:cs="Times New Roman"/>
          <w:b w:val="0"/>
          <w:sz w:val="32"/>
          <w:szCs w:val="32"/>
          <w:highlight w:val="none"/>
        </w:rPr>
        <w:fldChar w:fldCharType="begin"/>
      </w:r>
      <w:r>
        <w:rPr>
          <w:rFonts w:hint="default" w:ascii="Times New Roman" w:hAnsi="Times New Roman" w:eastAsia="仿宋" w:cs="Times New Roman"/>
          <w:b w:val="0"/>
          <w:sz w:val="32"/>
          <w:szCs w:val="32"/>
          <w:highlight w:val="none"/>
        </w:rPr>
        <w:instrText xml:space="preserve"> TOC \o "1-2" \h \z \u </w:instrText>
      </w:r>
      <w:r>
        <w:rPr>
          <w:rFonts w:hint="default" w:ascii="Times New Roman" w:hAnsi="Times New Roman" w:eastAsia="仿宋" w:cs="Times New Roman"/>
          <w:b w:val="0"/>
          <w:sz w:val="32"/>
          <w:szCs w:val="32"/>
          <w:highlight w:val="none"/>
        </w:rPr>
        <w:fldChar w:fldCharType="separate"/>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_Toc29532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前  言</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_Toc29532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1</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62F043DF">
      <w:pPr>
        <w:pStyle w:val="20"/>
        <w:tabs>
          <w:tab w:val="right" w:leader="dot" w:pos="9070"/>
          <w:tab w:val="clear" w:pos="906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_Toc11616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一、现状与防治形势</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_Toc11616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2</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65DB18ED">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_Toc28568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（一）</w:t>
      </w:r>
      <w:r>
        <w:rPr>
          <w:rFonts w:hint="default" w:ascii="Times New Roman" w:hAnsi="Times New Roman" w:eastAsia="仿宋" w:cs="Times New Roman"/>
          <w:sz w:val="32"/>
          <w:szCs w:val="32"/>
          <w:highlight w:val="none"/>
          <w:lang w:val="en-US" w:eastAsia="zh-CN"/>
        </w:rPr>
        <w:t>自然地理</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_Toc28568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2</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27569B03">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_Toc17942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二</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行政区划</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_Toc17942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2</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183ED9CC">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_Toc24918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三</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气象水文</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_Toc24918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3</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03A862BB">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_Toc4318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四</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地形地貌</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_Toc4318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4</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251C9DEF">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_Toc9763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五</w:t>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地质灾害现状概况及特征</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_Toc9763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4</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67603529">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_Toc17322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六</w:t>
      </w:r>
      <w:r>
        <w:rPr>
          <w:rFonts w:hint="default" w:ascii="Times New Roman" w:hAnsi="Times New Roman" w:eastAsia="仿宋" w:cs="Times New Roman"/>
          <w:sz w:val="32"/>
          <w:szCs w:val="32"/>
          <w:highlight w:val="none"/>
        </w:rPr>
        <w:t>）“十</w:t>
      </w:r>
      <w:r>
        <w:rPr>
          <w:rFonts w:hint="default" w:ascii="Times New Roman" w:hAnsi="Times New Roman" w:eastAsia="仿宋" w:cs="Times New Roman"/>
          <w:sz w:val="32"/>
          <w:szCs w:val="32"/>
          <w:highlight w:val="none"/>
          <w:lang w:val="en-US" w:eastAsia="zh-CN"/>
        </w:rPr>
        <w:t>四</w:t>
      </w:r>
      <w:r>
        <w:rPr>
          <w:rFonts w:hint="default" w:ascii="Times New Roman" w:hAnsi="Times New Roman" w:eastAsia="仿宋" w:cs="Times New Roman"/>
          <w:sz w:val="32"/>
          <w:szCs w:val="32"/>
          <w:highlight w:val="none"/>
        </w:rPr>
        <w:t>五”防治成效</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_Toc17322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9</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16542346">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_Toc14398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w:t>
      </w:r>
      <w:r>
        <w:rPr>
          <w:rFonts w:hint="default" w:ascii="Times New Roman" w:hAnsi="Times New Roman" w:eastAsia="仿宋" w:cs="Times New Roman"/>
          <w:sz w:val="32"/>
          <w:szCs w:val="32"/>
          <w:highlight w:val="none"/>
          <w:lang w:val="en-US" w:eastAsia="zh-CN"/>
        </w:rPr>
        <w:t>七</w:t>
      </w:r>
      <w:r>
        <w:rPr>
          <w:rFonts w:hint="default" w:ascii="Times New Roman" w:hAnsi="Times New Roman" w:eastAsia="仿宋" w:cs="Times New Roman"/>
          <w:sz w:val="32"/>
          <w:szCs w:val="32"/>
          <w:highlight w:val="none"/>
        </w:rPr>
        <w:t>）“十</w:t>
      </w:r>
      <w:r>
        <w:rPr>
          <w:rFonts w:hint="default" w:ascii="Times New Roman" w:hAnsi="Times New Roman" w:eastAsia="仿宋" w:cs="Times New Roman"/>
          <w:sz w:val="32"/>
          <w:szCs w:val="32"/>
          <w:highlight w:val="none"/>
          <w:lang w:val="en-US" w:eastAsia="zh-CN"/>
        </w:rPr>
        <w:t>五</w:t>
      </w:r>
      <w:r>
        <w:rPr>
          <w:rFonts w:hint="default" w:ascii="Times New Roman" w:hAnsi="Times New Roman" w:eastAsia="仿宋" w:cs="Times New Roman"/>
          <w:sz w:val="32"/>
          <w:szCs w:val="32"/>
          <w:highlight w:val="none"/>
        </w:rPr>
        <w:t>五”防治形势</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_Toc14398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14</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6EE6F1D9">
      <w:pPr>
        <w:pStyle w:val="20"/>
        <w:tabs>
          <w:tab w:val="right" w:leader="dot" w:pos="9070"/>
          <w:tab w:val="clear" w:pos="906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_Toc886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二、总体要求</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_Toc886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17</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2D511D22">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_Toc13730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（一）指导思想</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_Toc13730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17</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3B7AAAAE">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_Toc30609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（二）基本原则</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_Toc30609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17</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203F36CE">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_Toc11418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（三）规划目标</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_Toc11418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19</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3C30DD75">
      <w:pPr>
        <w:pStyle w:val="20"/>
        <w:tabs>
          <w:tab w:val="right" w:leader="dot" w:pos="9070"/>
          <w:tab w:val="clear" w:pos="906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_Toc20590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三、易发区和重点防治区</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_Toc20590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21</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672CE23F">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_Toc16858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（一）易发区</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_Toc16858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21</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40816373">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_Toc9681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（二）重点防治区</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_Toc9681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22</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0D9C4C59">
      <w:pPr>
        <w:pStyle w:val="20"/>
        <w:tabs>
          <w:tab w:val="right" w:leader="dot" w:pos="9070"/>
          <w:tab w:val="clear" w:pos="906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_Toc9322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四、防治工作任务</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_Toc9322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24</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793178B8">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_Toc28564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w:t>
      </w:r>
      <w:r>
        <w:rPr>
          <w:rFonts w:hint="eastAsia" w:ascii="仿宋" w:hAnsi="仿宋" w:eastAsia="仿宋" w:cs="仿宋"/>
          <w:sz w:val="32"/>
          <w:szCs w:val="32"/>
          <w:highlight w:val="none"/>
        </w:rPr>
        <w:t>一</w:t>
      </w:r>
      <w:r>
        <w:rPr>
          <w:rFonts w:hint="default" w:ascii="Times New Roman" w:hAnsi="Times New Roman" w:eastAsia="仿宋" w:cs="Times New Roman"/>
          <w:sz w:val="32"/>
          <w:szCs w:val="32"/>
          <w:highlight w:val="none"/>
        </w:rPr>
        <w:t>）</w:t>
      </w:r>
      <w:r>
        <w:rPr>
          <w:rFonts w:hint="eastAsia" w:ascii="仿宋" w:hAnsi="仿宋" w:eastAsia="仿宋" w:cs="仿宋"/>
          <w:sz w:val="32"/>
          <w:szCs w:val="32"/>
          <w:highlight w:val="none"/>
        </w:rPr>
        <w:t>地质灾害调查评价工作</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_Toc28564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24</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4188DAED">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_Toc9707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（二）提升完善地质灾害监测预警体系建设</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_Toc9707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25</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75C9C696">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_Toc13652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（三）地质灾害综合治理工程</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_Toc13652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26</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34BAD33F">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_Toc16893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（四）</w:t>
      </w:r>
      <w:r>
        <w:rPr>
          <w:rFonts w:hint="default" w:ascii="Times New Roman" w:hAnsi="Times New Roman" w:eastAsia="仿宋" w:cs="Times New Roman"/>
          <w:sz w:val="32"/>
          <w:szCs w:val="32"/>
          <w:highlight w:val="none"/>
          <w:lang w:val="en-US" w:eastAsia="zh-CN"/>
        </w:rPr>
        <w:t>持续提升</w:t>
      </w:r>
      <w:r>
        <w:rPr>
          <w:rFonts w:hint="default" w:ascii="Times New Roman" w:hAnsi="Times New Roman" w:eastAsia="仿宋" w:cs="Times New Roman"/>
          <w:sz w:val="32"/>
          <w:szCs w:val="32"/>
          <w:highlight w:val="none"/>
        </w:rPr>
        <w:t>地质灾害能力建设</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_Toc16893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28</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09ADD2B3">
      <w:pPr>
        <w:pStyle w:val="20"/>
        <w:tabs>
          <w:tab w:val="right" w:leader="dot" w:pos="9070"/>
          <w:tab w:val="clear" w:pos="906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_Toc13511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五、保障措施</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_Toc13511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29</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54053128">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_Toc30154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（一）组织保障</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_Toc30154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29</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28C5032D">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_Toc31629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（二）制度保障</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_Toc31629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29</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63436669">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_Toc4361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（三）资金保障</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_Toc4361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30</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441D5F07">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_Toc6328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（四）人才保障</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_Toc6328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30</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75F3DB74">
      <w:pPr>
        <w:pStyle w:val="26"/>
        <w:tabs>
          <w:tab w:val="right" w:leader="dot" w:pos="9070"/>
        </w:tabs>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HYPERLINK \l _Toc13298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（五）社会保障</w:t>
      </w:r>
      <w:r>
        <w:rPr>
          <w:rFonts w:hint="default" w:ascii="Times New Roman" w:hAnsi="Times New Roman" w:eastAsia="仿宋" w:cs="Times New Roman"/>
          <w:sz w:val="32"/>
          <w:szCs w:val="32"/>
          <w:highlight w:val="none"/>
        </w:rPr>
        <w:tab/>
      </w:r>
      <w:r>
        <w:rPr>
          <w:rFonts w:hint="default" w:ascii="Times New Roman" w:hAnsi="Times New Roman" w:eastAsia="仿宋" w:cs="Times New Roman"/>
          <w:sz w:val="32"/>
          <w:szCs w:val="32"/>
          <w:highlight w:val="none"/>
        </w:rPr>
        <w:fldChar w:fldCharType="begin"/>
      </w:r>
      <w:r>
        <w:rPr>
          <w:rFonts w:hint="default" w:ascii="Times New Roman" w:hAnsi="Times New Roman" w:eastAsia="仿宋" w:cs="Times New Roman"/>
          <w:sz w:val="32"/>
          <w:szCs w:val="32"/>
          <w:highlight w:val="none"/>
        </w:rPr>
        <w:instrText xml:space="preserve"> PAGEREF _Toc13298 \h </w:instrText>
      </w:r>
      <w:r>
        <w:rPr>
          <w:rFonts w:hint="default" w:ascii="Times New Roman" w:hAnsi="Times New Roman" w:eastAsia="仿宋" w:cs="Times New Roman"/>
          <w:sz w:val="32"/>
          <w:szCs w:val="32"/>
          <w:highlight w:val="none"/>
        </w:rPr>
        <w:fldChar w:fldCharType="separate"/>
      </w:r>
      <w:r>
        <w:rPr>
          <w:rFonts w:hint="default" w:ascii="Times New Roman" w:hAnsi="Times New Roman" w:eastAsia="仿宋" w:cs="Times New Roman"/>
          <w:sz w:val="32"/>
          <w:szCs w:val="32"/>
          <w:highlight w:val="none"/>
        </w:rPr>
        <w:t>31</w:t>
      </w:r>
      <w:r>
        <w:rPr>
          <w:rFonts w:hint="default" w:ascii="Times New Roman" w:hAnsi="Times New Roman" w:eastAsia="仿宋" w:cs="Times New Roman"/>
          <w:sz w:val="32"/>
          <w:szCs w:val="32"/>
          <w:highlight w:val="none"/>
        </w:rPr>
        <w:fldChar w:fldCharType="end"/>
      </w:r>
      <w:r>
        <w:rPr>
          <w:rFonts w:hint="default" w:ascii="Times New Roman" w:hAnsi="Times New Roman" w:eastAsia="仿宋" w:cs="Times New Roman"/>
          <w:sz w:val="32"/>
          <w:szCs w:val="32"/>
          <w:highlight w:val="none"/>
        </w:rPr>
        <w:fldChar w:fldCharType="end"/>
      </w:r>
    </w:p>
    <w:p w14:paraId="0124616D">
      <w:pPr>
        <w:keepNext w:val="0"/>
        <w:keepLines w:val="0"/>
        <w:pageBreakBefore w:val="0"/>
        <w:widowControl w:val="0"/>
        <w:kinsoku/>
        <w:wordWrap/>
        <w:overflowPunct/>
        <w:topLinePunct w:val="0"/>
        <w:autoSpaceDE/>
        <w:autoSpaceDN/>
        <w:bidi w:val="0"/>
        <w:adjustRightInd/>
        <w:snapToGrid/>
        <w:spacing w:line="300" w:lineRule="auto"/>
        <w:ind w:firstLine="640" w:firstLineChars="200"/>
        <w:jc w:val="distribute"/>
        <w:textAlignment w:val="auto"/>
        <w:rPr>
          <w:rFonts w:hint="default" w:ascii="Times New Roman" w:hAnsi="Times New Roman" w:eastAsia="黑体" w:cs="Times New Roman"/>
          <w:sz w:val="32"/>
          <w:szCs w:val="32"/>
          <w:highlight w:val="none"/>
        </w:rPr>
      </w:pPr>
      <w:r>
        <w:rPr>
          <w:rFonts w:hint="default" w:ascii="Times New Roman" w:hAnsi="Times New Roman" w:eastAsia="仿宋" w:cs="Times New Roman"/>
          <w:sz w:val="32"/>
          <w:szCs w:val="32"/>
          <w:highlight w:val="none"/>
        </w:rPr>
        <w:fldChar w:fldCharType="end"/>
      </w:r>
    </w:p>
    <w:p w14:paraId="3990BA76">
      <w:pPr>
        <w:keepNext w:val="0"/>
        <w:keepLines w:val="0"/>
        <w:pageBreakBefore w:val="0"/>
        <w:widowControl w:val="0"/>
        <w:kinsoku/>
        <w:wordWrap/>
        <w:overflowPunct/>
        <w:topLinePunct w:val="0"/>
        <w:autoSpaceDE/>
        <w:autoSpaceDN/>
        <w:bidi w:val="0"/>
        <w:adjustRightInd/>
        <w:snapToGrid/>
        <w:spacing w:line="300" w:lineRule="auto"/>
        <w:ind w:firstLine="640" w:firstLineChars="200"/>
        <w:jc w:val="distribute"/>
        <w:textAlignment w:val="auto"/>
        <w:rPr>
          <w:rFonts w:hint="eastAsia" w:ascii="黑体" w:hAnsi="黑体" w:eastAsia="黑体" w:cs="黑体"/>
          <w:sz w:val="32"/>
          <w:szCs w:val="32"/>
          <w:highlight w:val="none"/>
        </w:rPr>
      </w:pPr>
    </w:p>
    <w:p w14:paraId="429D7F06">
      <w:pPr>
        <w:keepNext w:val="0"/>
        <w:keepLines w:val="0"/>
        <w:pageBreakBefore w:val="0"/>
        <w:widowControl w:val="0"/>
        <w:kinsoku/>
        <w:wordWrap/>
        <w:overflowPunct/>
        <w:topLinePunct w:val="0"/>
        <w:autoSpaceDE/>
        <w:autoSpaceDN/>
        <w:bidi w:val="0"/>
        <w:adjustRightInd/>
        <w:snapToGrid/>
        <w:spacing w:line="300" w:lineRule="auto"/>
        <w:ind w:firstLine="640" w:firstLineChars="200"/>
        <w:jc w:val="distribute"/>
        <w:textAlignment w:val="auto"/>
        <w:rPr>
          <w:rFonts w:hint="eastAsia" w:ascii="黑体" w:hAnsi="黑体" w:eastAsia="黑体" w:cs="黑体"/>
          <w:sz w:val="32"/>
          <w:szCs w:val="32"/>
          <w:highlight w:val="none"/>
        </w:rPr>
      </w:pPr>
    </w:p>
    <w:p w14:paraId="5130BD1A">
      <w:pPr>
        <w:pStyle w:val="2"/>
        <w:spacing w:after="120"/>
        <w:rPr>
          <w:rFonts w:ascii="黑体" w:hAnsi="黑体" w:eastAsia="黑体"/>
          <w:b w:val="0"/>
          <w:highlight w:val="none"/>
        </w:rPr>
        <w:sectPr>
          <w:headerReference r:id="rId6" w:type="default"/>
          <w:footerReference r:id="rId7" w:type="default"/>
          <w:footerReference r:id="rId8" w:type="even"/>
          <w:pgSz w:w="11906" w:h="16838"/>
          <w:pgMar w:top="1247" w:right="1247" w:bottom="1247" w:left="1418" w:header="851" w:footer="992" w:gutter="0"/>
          <w:pgBorders>
            <w:top w:val="none" w:sz="0" w:space="0"/>
            <w:left w:val="none" w:sz="0" w:space="0"/>
            <w:bottom w:val="none" w:sz="0" w:space="0"/>
            <w:right w:val="none" w:sz="0" w:space="0"/>
          </w:pgBorders>
          <w:pgNumType w:start="1"/>
          <w:cols w:space="720" w:num="1"/>
          <w:docGrid w:linePitch="312" w:charSpace="0"/>
        </w:sectPr>
      </w:pPr>
      <w:bookmarkStart w:id="0" w:name="_Toc345874438"/>
      <w:bookmarkStart w:id="1" w:name="_Toc349826149"/>
      <w:bookmarkStart w:id="2" w:name="_Toc29532"/>
      <w:bookmarkStart w:id="3" w:name="_Toc278546514"/>
    </w:p>
    <w:p w14:paraId="416288DA">
      <w:pPr>
        <w:pStyle w:val="2"/>
        <w:spacing w:after="120"/>
        <w:rPr>
          <w:rFonts w:ascii="黑体" w:hAnsi="黑体" w:eastAsia="黑体"/>
          <w:b w:val="0"/>
          <w:highlight w:val="none"/>
        </w:rPr>
      </w:pPr>
      <w:r>
        <w:rPr>
          <w:rFonts w:ascii="黑体" w:hAnsi="黑体" w:eastAsia="黑体"/>
          <w:b w:val="0"/>
          <w:highlight w:val="none"/>
        </w:rPr>
        <w:t xml:space="preserve">前  </w:t>
      </w:r>
      <w:bookmarkEnd w:id="0"/>
      <w:bookmarkEnd w:id="1"/>
      <w:r>
        <w:rPr>
          <w:rFonts w:ascii="黑体" w:hAnsi="黑体" w:eastAsia="黑体"/>
          <w:b w:val="0"/>
          <w:highlight w:val="none"/>
        </w:rPr>
        <w:t>言</w:t>
      </w:r>
      <w:bookmarkEnd w:id="2"/>
    </w:p>
    <w:p w14:paraId="12631F05">
      <w:pPr>
        <w:spacing w:line="560" w:lineRule="exact"/>
        <w:ind w:firstLine="640" w:firstLineChars="200"/>
        <w:jc w:val="left"/>
        <w:rPr>
          <w:rFonts w:eastAsia="仿宋_GB2312"/>
          <w:sz w:val="32"/>
          <w:szCs w:val="32"/>
          <w:highlight w:val="none"/>
        </w:rPr>
      </w:pPr>
      <w:r>
        <w:rPr>
          <w:rFonts w:hint="eastAsia" w:eastAsia="仿宋_GB2312"/>
          <w:sz w:val="32"/>
          <w:szCs w:val="32"/>
          <w:highlight w:val="none"/>
        </w:rPr>
        <w:t>为全面贯彻党的</w:t>
      </w:r>
      <w:r>
        <w:rPr>
          <w:rFonts w:hint="eastAsia" w:eastAsia="仿宋_GB2312"/>
          <w:sz w:val="32"/>
          <w:szCs w:val="32"/>
          <w:highlight w:val="none"/>
          <w:lang w:val="en-US" w:eastAsia="zh-CN"/>
        </w:rPr>
        <w:t>二十大和二十届二中、三中、四中全会</w:t>
      </w:r>
      <w:r>
        <w:rPr>
          <w:rFonts w:hint="eastAsia" w:eastAsia="仿宋_GB2312"/>
          <w:sz w:val="32"/>
          <w:szCs w:val="32"/>
          <w:highlight w:val="none"/>
        </w:rPr>
        <w:t>精神，贯彻落实习近平总书记关于防灾减灾工作系列重要指示精神，全面落实自治区党委、自治区人民政府关于提高自然灾害防治能力的工作部署，坚持人民至上、生命至上，加快构建科学高效的地质灾害防治体系，有效防范地质灾害风险，最大限度避免和减少地质灾害造成人员伤亡和财产损失，为开启全面建设社会主义现代化国家新征程保驾护航，服务保障阿克陶县社会经济高质量发展。</w:t>
      </w:r>
      <w:r>
        <w:rPr>
          <w:rFonts w:eastAsia="仿宋_GB2312"/>
          <w:sz w:val="32"/>
          <w:szCs w:val="32"/>
          <w:highlight w:val="none"/>
        </w:rPr>
        <w:t>依据《地质灾害防治条例》、《国务院关于加强地质灾害防治工作的决定》、《新疆维吾尔自治区地质灾害防治条例》</w:t>
      </w:r>
      <w:r>
        <w:rPr>
          <w:rFonts w:hint="eastAsia" w:eastAsia="仿宋_GB2312"/>
          <w:sz w:val="32"/>
          <w:szCs w:val="32"/>
          <w:highlight w:val="none"/>
        </w:rPr>
        <w:t>、</w:t>
      </w:r>
      <w:r>
        <w:rPr>
          <w:rFonts w:hint="eastAsia" w:eastAsia="仿宋_GB2312"/>
          <w:sz w:val="32"/>
          <w:szCs w:val="32"/>
          <w:highlight w:val="none"/>
        </w:rPr>
        <w:t>《新疆维吾尔自治区地质灾害防治“十</w:t>
      </w:r>
      <w:r>
        <w:rPr>
          <w:rFonts w:hint="eastAsia" w:eastAsia="仿宋_GB2312"/>
          <w:sz w:val="32"/>
          <w:szCs w:val="32"/>
          <w:highlight w:val="none"/>
          <w:lang w:val="en-US" w:eastAsia="zh-CN"/>
        </w:rPr>
        <w:t>五</w:t>
      </w:r>
      <w:r>
        <w:rPr>
          <w:rFonts w:hint="eastAsia" w:eastAsia="仿宋_GB2312"/>
          <w:sz w:val="32"/>
          <w:szCs w:val="32"/>
          <w:highlight w:val="none"/>
        </w:rPr>
        <w:t>五”规划》、《克孜勒苏柯尔克孜自治州地质灾害防治“十</w:t>
      </w:r>
      <w:r>
        <w:rPr>
          <w:rFonts w:hint="eastAsia" w:eastAsia="仿宋_GB2312"/>
          <w:sz w:val="32"/>
          <w:szCs w:val="32"/>
          <w:highlight w:val="none"/>
          <w:lang w:val="en-US" w:eastAsia="zh-CN"/>
        </w:rPr>
        <w:t>五</w:t>
      </w:r>
      <w:r>
        <w:rPr>
          <w:rFonts w:hint="eastAsia" w:eastAsia="仿宋_GB2312"/>
          <w:sz w:val="32"/>
          <w:szCs w:val="32"/>
          <w:highlight w:val="none"/>
        </w:rPr>
        <w:t>五”规划》、《阿克陶县国民经济和社会发展第十</w:t>
      </w:r>
      <w:r>
        <w:rPr>
          <w:rFonts w:hint="eastAsia" w:eastAsia="仿宋_GB2312"/>
          <w:sz w:val="32"/>
          <w:szCs w:val="32"/>
          <w:highlight w:val="none"/>
          <w:lang w:val="en-US" w:eastAsia="zh-CN"/>
        </w:rPr>
        <w:t>五</w:t>
      </w:r>
      <w:r>
        <w:rPr>
          <w:rFonts w:hint="eastAsia" w:eastAsia="仿宋_GB2312"/>
          <w:sz w:val="32"/>
          <w:szCs w:val="32"/>
          <w:highlight w:val="none"/>
        </w:rPr>
        <w:t>个五年规划和2035年远景目标纲要》</w:t>
      </w:r>
      <w:r>
        <w:rPr>
          <w:rFonts w:hint="eastAsia" w:eastAsia="仿宋_GB2312"/>
          <w:sz w:val="32"/>
          <w:szCs w:val="32"/>
          <w:highlight w:val="none"/>
        </w:rPr>
        <w:t>等法规政策，制定本规划。</w:t>
      </w:r>
    </w:p>
    <w:p w14:paraId="023BA68E">
      <w:pPr>
        <w:spacing w:line="560" w:lineRule="exact"/>
        <w:ind w:firstLine="640" w:firstLineChars="200"/>
        <w:jc w:val="left"/>
        <w:rPr>
          <w:rFonts w:eastAsia="仿宋_GB2312"/>
          <w:sz w:val="32"/>
          <w:szCs w:val="32"/>
          <w:highlight w:val="none"/>
        </w:rPr>
      </w:pPr>
      <w:r>
        <w:rPr>
          <w:rFonts w:hint="eastAsia" w:eastAsia="仿宋_GB2312"/>
          <w:sz w:val="32"/>
          <w:szCs w:val="32"/>
          <w:highlight w:val="none"/>
        </w:rPr>
        <w:t>《新疆阿克陶县地质灾害防治“十</w:t>
      </w:r>
      <w:r>
        <w:rPr>
          <w:rFonts w:hint="eastAsia" w:eastAsia="仿宋_GB2312"/>
          <w:sz w:val="32"/>
          <w:szCs w:val="32"/>
          <w:highlight w:val="none"/>
          <w:lang w:val="en-US" w:eastAsia="zh-CN"/>
        </w:rPr>
        <w:t>五</w:t>
      </w:r>
      <w:r>
        <w:rPr>
          <w:rFonts w:hint="eastAsia" w:eastAsia="仿宋_GB2312"/>
          <w:sz w:val="32"/>
          <w:szCs w:val="32"/>
          <w:highlight w:val="none"/>
        </w:rPr>
        <w:t>五”规划》（以下简称《规划》）</w:t>
      </w:r>
      <w:r>
        <w:rPr>
          <w:rFonts w:hint="eastAsia" w:eastAsia="仿宋_GB2312"/>
          <w:sz w:val="32"/>
          <w:szCs w:val="32"/>
          <w:highlight w:val="none"/>
          <w:lang w:val="en-US" w:eastAsia="zh-CN"/>
        </w:rPr>
        <w:t>是全州地质灾害防治“十五五”规划体系的重要组成部分</w:t>
      </w:r>
      <w:r>
        <w:rPr>
          <w:rFonts w:hint="eastAsia" w:eastAsia="仿宋_GB2312"/>
          <w:sz w:val="32"/>
          <w:szCs w:val="32"/>
          <w:highlight w:val="none"/>
          <w:lang w:eastAsia="zh-CN"/>
        </w:rPr>
        <w:t>，</w:t>
      </w:r>
      <w:r>
        <w:rPr>
          <w:rFonts w:hint="eastAsia" w:eastAsia="仿宋_GB2312"/>
          <w:sz w:val="32"/>
          <w:szCs w:val="32"/>
          <w:highlight w:val="none"/>
        </w:rPr>
        <w:t>是着力防范化解地质灾害风险挑战、提升地质灾害防治工作服务经济社会高质量发展能力和水平的重要手段，是依法开展、监督本县地质灾害防治工作的重要依据，是指导各乡（镇、场）积极防范、科学应对、高效处置各类突发地质灾害事件的重要遵循。对阿克陶县地质灾害防治工作具有十分重要的意义。</w:t>
      </w:r>
    </w:p>
    <w:p w14:paraId="7B738CEE">
      <w:pPr>
        <w:spacing w:line="560" w:lineRule="exact"/>
        <w:ind w:firstLine="640" w:firstLineChars="200"/>
        <w:jc w:val="left"/>
        <w:rPr>
          <w:rFonts w:eastAsia="仿宋_GB2312"/>
          <w:sz w:val="32"/>
          <w:szCs w:val="32"/>
          <w:highlight w:val="none"/>
        </w:rPr>
      </w:pPr>
      <w:r>
        <w:rPr>
          <w:rFonts w:eastAsia="仿宋_GB2312"/>
          <w:sz w:val="32"/>
          <w:szCs w:val="32"/>
          <w:highlight w:val="none"/>
        </w:rPr>
        <w:t>《规划》对象：崩塌、泥石流</w:t>
      </w:r>
      <w:r>
        <w:rPr>
          <w:rFonts w:hint="eastAsia" w:eastAsia="仿宋_GB2312"/>
          <w:sz w:val="32"/>
          <w:szCs w:val="32"/>
          <w:highlight w:val="none"/>
        </w:rPr>
        <w:t>、滑坡</w:t>
      </w:r>
      <w:r>
        <w:rPr>
          <w:rFonts w:hint="eastAsia" w:eastAsia="仿宋_GB2312"/>
          <w:sz w:val="32"/>
          <w:szCs w:val="32"/>
          <w:highlight w:val="none"/>
          <w:lang w:val="en-US" w:eastAsia="zh-CN"/>
        </w:rPr>
        <w:t>等</w:t>
      </w:r>
      <w:r>
        <w:rPr>
          <w:rFonts w:hint="eastAsia" w:eastAsia="仿宋_GB2312"/>
          <w:sz w:val="32"/>
          <w:szCs w:val="32"/>
          <w:highlight w:val="none"/>
        </w:rPr>
        <w:t>地质灾害</w:t>
      </w:r>
      <w:r>
        <w:rPr>
          <w:rFonts w:eastAsia="仿宋_GB2312"/>
          <w:sz w:val="32"/>
          <w:szCs w:val="32"/>
          <w:highlight w:val="none"/>
        </w:rPr>
        <w:t>。</w:t>
      </w:r>
    </w:p>
    <w:p w14:paraId="2F54B0C3">
      <w:pPr>
        <w:spacing w:line="560" w:lineRule="exact"/>
        <w:ind w:firstLine="640" w:firstLineChars="200"/>
        <w:jc w:val="left"/>
        <w:rPr>
          <w:rFonts w:eastAsia="仿宋_GB2312"/>
          <w:sz w:val="32"/>
          <w:szCs w:val="32"/>
          <w:highlight w:val="none"/>
        </w:rPr>
      </w:pPr>
      <w:r>
        <w:rPr>
          <w:rFonts w:hint="eastAsia" w:eastAsia="仿宋_GB2312"/>
          <w:sz w:val="32"/>
          <w:szCs w:val="32"/>
          <w:highlight w:val="none"/>
        </w:rPr>
        <w:t>《规划》基准年：202</w:t>
      </w:r>
      <w:r>
        <w:rPr>
          <w:rFonts w:hint="eastAsia" w:eastAsia="仿宋_GB2312"/>
          <w:sz w:val="32"/>
          <w:szCs w:val="32"/>
          <w:highlight w:val="none"/>
          <w:lang w:val="en-US" w:eastAsia="zh-CN"/>
        </w:rPr>
        <w:t>5</w:t>
      </w:r>
      <w:r>
        <w:rPr>
          <w:rFonts w:hint="eastAsia" w:eastAsia="仿宋_GB2312"/>
          <w:sz w:val="32"/>
          <w:szCs w:val="32"/>
          <w:highlight w:val="none"/>
        </w:rPr>
        <w:t>年。</w:t>
      </w:r>
    </w:p>
    <w:p w14:paraId="40DB62F3">
      <w:pPr>
        <w:spacing w:line="560" w:lineRule="exact"/>
        <w:ind w:firstLine="640" w:firstLineChars="200"/>
        <w:jc w:val="left"/>
        <w:rPr>
          <w:rFonts w:eastAsia="仿宋_GB2312"/>
          <w:sz w:val="32"/>
          <w:szCs w:val="32"/>
          <w:highlight w:val="none"/>
        </w:rPr>
      </w:pPr>
      <w:r>
        <w:rPr>
          <w:rFonts w:hint="eastAsia" w:eastAsia="仿宋_GB2312"/>
          <w:sz w:val="32"/>
          <w:szCs w:val="32"/>
          <w:highlight w:val="none"/>
        </w:rPr>
        <w:t>《规划》期：202</w:t>
      </w:r>
      <w:r>
        <w:rPr>
          <w:rFonts w:hint="eastAsia" w:eastAsia="仿宋_GB2312"/>
          <w:sz w:val="32"/>
          <w:szCs w:val="32"/>
          <w:highlight w:val="none"/>
          <w:lang w:val="en-US" w:eastAsia="zh-CN"/>
        </w:rPr>
        <w:t>6</w:t>
      </w:r>
      <w:r>
        <w:rPr>
          <w:rFonts w:hint="eastAsia" w:eastAsia="仿宋_GB2312"/>
          <w:sz w:val="32"/>
          <w:szCs w:val="32"/>
          <w:highlight w:val="none"/>
        </w:rPr>
        <w:t>—20</w:t>
      </w:r>
      <w:r>
        <w:rPr>
          <w:rFonts w:hint="eastAsia" w:eastAsia="仿宋_GB2312"/>
          <w:sz w:val="32"/>
          <w:szCs w:val="32"/>
          <w:highlight w:val="none"/>
          <w:lang w:val="en-US" w:eastAsia="zh-CN"/>
        </w:rPr>
        <w:t>30</w:t>
      </w:r>
      <w:r>
        <w:rPr>
          <w:rFonts w:hint="eastAsia" w:eastAsia="仿宋_GB2312"/>
          <w:sz w:val="32"/>
          <w:szCs w:val="32"/>
          <w:highlight w:val="none"/>
        </w:rPr>
        <w:t>年。</w:t>
      </w:r>
    </w:p>
    <w:p w14:paraId="5B96EA02">
      <w:pPr>
        <w:spacing w:line="560" w:lineRule="exact"/>
        <w:ind w:firstLine="640" w:firstLineChars="200"/>
        <w:jc w:val="left"/>
        <w:rPr>
          <w:rFonts w:eastAsia="仿宋_GB2312"/>
          <w:sz w:val="28"/>
          <w:szCs w:val="28"/>
          <w:highlight w:val="none"/>
        </w:rPr>
      </w:pPr>
      <w:r>
        <w:rPr>
          <w:rFonts w:eastAsia="仿宋_GB2312"/>
          <w:sz w:val="32"/>
          <w:szCs w:val="32"/>
          <w:highlight w:val="none"/>
        </w:rPr>
        <w:t>《规划》</w:t>
      </w:r>
      <w:r>
        <w:rPr>
          <w:rFonts w:hint="eastAsia" w:eastAsia="仿宋_GB2312"/>
          <w:sz w:val="32"/>
          <w:szCs w:val="32"/>
          <w:highlight w:val="none"/>
        </w:rPr>
        <w:t>适用</w:t>
      </w:r>
      <w:r>
        <w:rPr>
          <w:rFonts w:eastAsia="仿宋_GB2312"/>
          <w:sz w:val="32"/>
          <w:szCs w:val="32"/>
          <w:highlight w:val="none"/>
        </w:rPr>
        <w:t>范围：阿克陶县所辖行政区范围。</w:t>
      </w:r>
    </w:p>
    <w:p w14:paraId="594B07FC">
      <w:pPr>
        <w:pStyle w:val="2"/>
        <w:spacing w:after="120" w:line="500" w:lineRule="exact"/>
        <w:rPr>
          <w:rFonts w:eastAsia="仿宋_GB2312"/>
          <w:kern w:val="2"/>
          <w:szCs w:val="32"/>
          <w:highlight w:val="none"/>
        </w:rPr>
        <w:sectPr>
          <w:footerReference r:id="rId9" w:type="default"/>
          <w:pgSz w:w="11906" w:h="16838"/>
          <w:pgMar w:top="1247" w:right="1247" w:bottom="1247" w:left="1418" w:header="851" w:footer="992" w:gutter="0"/>
          <w:pgBorders>
            <w:top w:val="none" w:sz="0" w:space="0"/>
            <w:left w:val="none" w:sz="0" w:space="0"/>
            <w:bottom w:val="none" w:sz="0" w:space="0"/>
            <w:right w:val="none" w:sz="0" w:space="0"/>
          </w:pgBorders>
          <w:pgNumType w:start="1"/>
          <w:cols w:space="720" w:num="1"/>
          <w:docGrid w:linePitch="312" w:charSpace="0"/>
        </w:sectPr>
      </w:pPr>
      <w:bookmarkStart w:id="4" w:name="_Toc345846379"/>
    </w:p>
    <w:p w14:paraId="75ED3425">
      <w:pPr>
        <w:pStyle w:val="2"/>
        <w:spacing w:after="0" w:afterLines="0" w:line="560" w:lineRule="exact"/>
        <w:ind w:firstLine="640" w:firstLineChars="200"/>
        <w:jc w:val="both"/>
        <w:rPr>
          <w:rFonts w:ascii="黑体" w:hAnsi="黑体" w:eastAsia="黑体"/>
          <w:b w:val="0"/>
          <w:szCs w:val="32"/>
          <w:highlight w:val="none"/>
        </w:rPr>
      </w:pPr>
      <w:bookmarkStart w:id="5" w:name="_Toc11616"/>
      <w:r>
        <w:rPr>
          <w:rFonts w:hint="eastAsia" w:ascii="黑体" w:hAnsi="黑体" w:eastAsia="黑体"/>
          <w:b w:val="0"/>
          <w:szCs w:val="32"/>
          <w:highlight w:val="none"/>
        </w:rPr>
        <w:t>一、</w:t>
      </w:r>
      <w:r>
        <w:rPr>
          <w:rFonts w:ascii="黑体" w:hAnsi="黑体" w:eastAsia="黑体"/>
          <w:b w:val="0"/>
          <w:szCs w:val="32"/>
          <w:highlight w:val="none"/>
        </w:rPr>
        <w:t>现状与</w:t>
      </w:r>
      <w:r>
        <w:rPr>
          <w:rFonts w:hint="eastAsia" w:ascii="黑体" w:hAnsi="黑体" w:eastAsia="黑体"/>
          <w:b w:val="0"/>
          <w:szCs w:val="32"/>
          <w:highlight w:val="none"/>
        </w:rPr>
        <w:t>防治</w:t>
      </w:r>
      <w:r>
        <w:rPr>
          <w:rFonts w:ascii="黑体" w:hAnsi="黑体" w:eastAsia="黑体"/>
          <w:b w:val="0"/>
          <w:szCs w:val="32"/>
          <w:highlight w:val="none"/>
        </w:rPr>
        <w:t>形势</w:t>
      </w:r>
      <w:bookmarkEnd w:id="4"/>
      <w:bookmarkEnd w:id="5"/>
    </w:p>
    <w:p w14:paraId="13F3F9A5">
      <w:pPr>
        <w:pStyle w:val="3"/>
        <w:spacing w:after="0" w:afterLines="0" w:line="560" w:lineRule="exact"/>
        <w:ind w:firstLine="643"/>
        <w:rPr>
          <w:rFonts w:hint="default" w:ascii="楷体" w:hAnsi="楷体" w:eastAsia="楷体" w:cs="黑体"/>
          <w:sz w:val="32"/>
          <w:highlight w:val="none"/>
          <w:lang w:val="en-US" w:eastAsia="zh-CN"/>
        </w:rPr>
      </w:pPr>
      <w:bookmarkStart w:id="6" w:name="_Toc28568"/>
      <w:r>
        <w:rPr>
          <w:rFonts w:hint="eastAsia" w:ascii="楷体" w:hAnsi="楷体" w:eastAsia="楷体" w:cs="黑体"/>
          <w:sz w:val="32"/>
          <w:highlight w:val="none"/>
        </w:rPr>
        <w:t>（一）</w:t>
      </w:r>
      <w:r>
        <w:rPr>
          <w:rFonts w:hint="eastAsia" w:ascii="楷体" w:hAnsi="楷体" w:eastAsia="楷体" w:cs="黑体"/>
          <w:sz w:val="32"/>
          <w:highlight w:val="none"/>
          <w:lang w:val="en-US" w:eastAsia="zh-CN"/>
        </w:rPr>
        <w:t>自然地理</w:t>
      </w:r>
      <w:bookmarkEnd w:id="6"/>
    </w:p>
    <w:p w14:paraId="167B5CF4">
      <w:pPr>
        <w:spacing w:line="560" w:lineRule="exact"/>
        <w:ind w:firstLine="640" w:firstLineChars="200"/>
        <w:jc w:val="left"/>
        <w:rPr>
          <w:rFonts w:hint="eastAsia" w:eastAsia="仿宋_GB2312"/>
          <w:sz w:val="32"/>
          <w:szCs w:val="32"/>
          <w:highlight w:val="none"/>
        </w:rPr>
      </w:pPr>
      <w:bookmarkStart w:id="7" w:name="gk"/>
      <w:r>
        <w:rPr>
          <w:rFonts w:eastAsia="仿宋_GB2312"/>
          <w:sz w:val="32"/>
          <w:szCs w:val="32"/>
          <w:highlight w:val="none"/>
        </w:rPr>
        <w:t>阿克陶县位于</w:t>
      </w:r>
      <w:r>
        <w:rPr>
          <w:rFonts w:hint="eastAsia" w:eastAsia="仿宋_GB2312"/>
          <w:sz w:val="32"/>
          <w:szCs w:val="32"/>
          <w:highlight w:val="none"/>
        </w:rPr>
        <w:t>东经</w:t>
      </w:r>
      <w:r>
        <w:rPr>
          <w:rFonts w:hint="default" w:ascii="Times New Roman" w:hAnsi="Times New Roman" w:eastAsia="仿宋_GB2312" w:cs="Times New Roman"/>
          <w:sz w:val="32"/>
          <w:szCs w:val="32"/>
          <w:highlight w:val="none"/>
        </w:rPr>
        <w:t>73°26′05″～76°43′31″，北纬37°41′28″～39°29′55″</w:t>
      </w:r>
      <w:r>
        <w:rPr>
          <w:rFonts w:hint="eastAsia" w:eastAsia="仿宋_GB2312"/>
          <w:sz w:val="32"/>
          <w:szCs w:val="32"/>
          <w:highlight w:val="none"/>
        </w:rPr>
        <w:t>之间</w:t>
      </w:r>
      <w:r>
        <w:rPr>
          <w:rFonts w:hint="eastAsia" w:eastAsia="仿宋_GB2312"/>
          <w:sz w:val="32"/>
          <w:szCs w:val="32"/>
          <w:highlight w:val="none"/>
          <w:lang w:eastAsia="zh-CN"/>
        </w:rPr>
        <w:t>，</w:t>
      </w:r>
      <w:r>
        <w:rPr>
          <w:rFonts w:hint="eastAsia" w:eastAsia="仿宋_GB2312"/>
          <w:sz w:val="32"/>
          <w:szCs w:val="32"/>
          <w:highlight w:val="none"/>
          <w:lang w:val="en-US" w:eastAsia="zh-CN"/>
        </w:rPr>
        <w:t>地处</w:t>
      </w:r>
      <w:r>
        <w:rPr>
          <w:rFonts w:eastAsia="仿宋_GB2312"/>
          <w:sz w:val="32"/>
          <w:szCs w:val="32"/>
          <w:highlight w:val="none"/>
        </w:rPr>
        <w:t>祖国西部边陲，新疆维吾尔自治区西南部，帕米尔高原东麓，塔里木盆地西缘。</w:t>
      </w:r>
      <w:r>
        <w:rPr>
          <w:rFonts w:hint="eastAsia" w:eastAsia="仿宋_GB2312"/>
          <w:sz w:val="32"/>
          <w:szCs w:val="32"/>
          <w:highlight w:val="none"/>
        </w:rPr>
        <w:t>阿克陶县西部、西南部分别与吉尔吉斯共和国和塔吉克斯坦共和国接壤，边境线长380多千米。北部与乌恰县和疏勒县为邻，东北部以岳普湖河为界与疏勒县、新疆生产建设兵团农三师四十一团场隔河相望，东部与英吉沙县、莎车县相连，南部与塔什库尔干塔吉克自治县相接。县城距乌鲁木齐市1535千米，距阿图什市103千米，距喀什市37千米。</w:t>
      </w:r>
    </w:p>
    <w:p w14:paraId="352D90A8">
      <w:pPr>
        <w:pStyle w:val="3"/>
        <w:spacing w:after="0" w:afterLines="0" w:line="560" w:lineRule="exact"/>
        <w:ind w:firstLine="643"/>
        <w:rPr>
          <w:rFonts w:hint="default" w:eastAsia="楷体"/>
          <w:sz w:val="32"/>
          <w:szCs w:val="32"/>
          <w:highlight w:val="none"/>
          <w:lang w:val="en-US" w:eastAsia="zh-CN"/>
        </w:rPr>
      </w:pPr>
      <w:bookmarkStart w:id="8" w:name="_Toc17942"/>
      <w:r>
        <w:rPr>
          <w:rFonts w:hint="eastAsia" w:ascii="楷体" w:hAnsi="楷体" w:eastAsia="楷体" w:cs="黑体"/>
          <w:sz w:val="32"/>
          <w:highlight w:val="none"/>
        </w:rPr>
        <w:t>（</w:t>
      </w:r>
      <w:r>
        <w:rPr>
          <w:rFonts w:hint="eastAsia" w:ascii="楷体" w:hAnsi="楷体" w:eastAsia="楷体" w:cs="黑体"/>
          <w:sz w:val="32"/>
          <w:highlight w:val="none"/>
          <w:lang w:val="en-US" w:eastAsia="zh-CN"/>
        </w:rPr>
        <w:t>二</w:t>
      </w:r>
      <w:r>
        <w:rPr>
          <w:rFonts w:hint="eastAsia" w:ascii="楷体" w:hAnsi="楷体" w:eastAsia="楷体" w:cs="黑体"/>
          <w:sz w:val="32"/>
          <w:highlight w:val="none"/>
        </w:rPr>
        <w:t>）</w:t>
      </w:r>
      <w:r>
        <w:rPr>
          <w:rFonts w:hint="eastAsia" w:ascii="楷体" w:hAnsi="楷体" w:eastAsia="楷体" w:cs="黑体"/>
          <w:sz w:val="32"/>
          <w:highlight w:val="none"/>
          <w:lang w:val="en-US" w:eastAsia="zh-CN"/>
        </w:rPr>
        <w:t>行政区划</w:t>
      </w:r>
      <w:bookmarkEnd w:id="8"/>
    </w:p>
    <w:p w14:paraId="3BD2DDD1">
      <w:pPr>
        <w:spacing w:line="560" w:lineRule="exact"/>
        <w:ind w:firstLine="640" w:firstLineChars="200"/>
        <w:jc w:val="left"/>
        <w:rPr>
          <w:rFonts w:eastAsia="仿宋_GB2312"/>
          <w:sz w:val="32"/>
          <w:szCs w:val="32"/>
          <w:highlight w:val="none"/>
        </w:rPr>
      </w:pPr>
      <w:r>
        <w:rPr>
          <w:rFonts w:eastAsia="仿宋_GB2312"/>
          <w:sz w:val="32"/>
          <w:szCs w:val="32"/>
          <w:highlight w:val="none"/>
        </w:rPr>
        <w:t>阿克陶县行政隶属克孜勒苏柯尔克孜自治州管辖，共辖</w:t>
      </w:r>
      <w:r>
        <w:rPr>
          <w:rFonts w:hint="eastAsia" w:eastAsia="仿宋_GB2312"/>
          <w:sz w:val="32"/>
          <w:szCs w:val="32"/>
          <w:highlight w:val="none"/>
        </w:rPr>
        <w:t>5</w:t>
      </w:r>
      <w:r>
        <w:rPr>
          <w:rFonts w:eastAsia="仿宋_GB2312"/>
          <w:sz w:val="32"/>
          <w:szCs w:val="32"/>
          <w:highlight w:val="none"/>
        </w:rPr>
        <w:t>镇</w:t>
      </w:r>
      <w:r>
        <w:rPr>
          <w:rFonts w:hint="eastAsia" w:eastAsia="仿宋_GB2312"/>
          <w:sz w:val="32"/>
          <w:szCs w:val="32"/>
          <w:highlight w:val="none"/>
        </w:rPr>
        <w:t>（</w:t>
      </w:r>
      <w:r>
        <w:rPr>
          <w:rFonts w:eastAsia="仿宋_GB2312"/>
          <w:sz w:val="32"/>
          <w:szCs w:val="32"/>
          <w:highlight w:val="none"/>
        </w:rPr>
        <w:t>阿克陶镇、</w:t>
      </w:r>
      <w:r>
        <w:rPr>
          <w:highlight w:val="none"/>
        </w:rPr>
        <w:fldChar w:fldCharType="begin"/>
      </w:r>
      <w:r>
        <w:rPr>
          <w:highlight w:val="none"/>
        </w:rPr>
        <w:instrText xml:space="preserve"> HYPERLINK "http://baike.baidu.com/view/3003600.htm" \t "_blank" </w:instrText>
      </w:r>
      <w:r>
        <w:rPr>
          <w:highlight w:val="none"/>
        </w:rPr>
        <w:fldChar w:fldCharType="separate"/>
      </w:r>
      <w:r>
        <w:rPr>
          <w:rFonts w:eastAsia="仿宋_GB2312"/>
          <w:sz w:val="32"/>
          <w:szCs w:val="32"/>
          <w:highlight w:val="none"/>
        </w:rPr>
        <w:t>奥依塔克镇</w:t>
      </w:r>
      <w:r>
        <w:rPr>
          <w:rFonts w:eastAsia="仿宋_GB2312"/>
          <w:sz w:val="32"/>
          <w:szCs w:val="32"/>
          <w:highlight w:val="none"/>
        </w:rPr>
        <w:fldChar w:fldCharType="end"/>
      </w:r>
      <w:r>
        <w:rPr>
          <w:rFonts w:hint="eastAsia" w:eastAsia="仿宋_GB2312"/>
          <w:sz w:val="32"/>
          <w:szCs w:val="32"/>
          <w:highlight w:val="none"/>
        </w:rPr>
        <w:t>、</w:t>
      </w:r>
      <w:r>
        <w:rPr>
          <w:rFonts w:eastAsia="仿宋_GB2312"/>
          <w:sz w:val="32"/>
          <w:szCs w:val="32"/>
          <w:highlight w:val="none"/>
        </w:rPr>
        <w:t>玉麦</w:t>
      </w:r>
      <w:r>
        <w:rPr>
          <w:rFonts w:hint="eastAsia" w:eastAsia="仿宋_GB2312"/>
          <w:sz w:val="32"/>
          <w:szCs w:val="32"/>
          <w:highlight w:val="none"/>
        </w:rPr>
        <w:t>镇、</w:t>
      </w:r>
      <w:r>
        <w:rPr>
          <w:rFonts w:eastAsia="仿宋_GB2312"/>
          <w:sz w:val="32"/>
          <w:szCs w:val="32"/>
          <w:highlight w:val="none"/>
        </w:rPr>
        <w:t>克孜勒陶</w:t>
      </w:r>
      <w:r>
        <w:rPr>
          <w:rFonts w:hint="eastAsia" w:eastAsia="仿宋_GB2312"/>
          <w:sz w:val="32"/>
          <w:szCs w:val="32"/>
          <w:highlight w:val="none"/>
        </w:rPr>
        <w:t>镇、</w:t>
      </w:r>
      <w:r>
        <w:rPr>
          <w:highlight w:val="none"/>
        </w:rPr>
        <w:fldChar w:fldCharType="begin"/>
      </w:r>
      <w:r>
        <w:rPr>
          <w:highlight w:val="none"/>
        </w:rPr>
        <w:instrText xml:space="preserve"> HYPERLINK "http://baike.baidu.com/view/1209905.htm" \t "_blank" </w:instrText>
      </w:r>
      <w:r>
        <w:rPr>
          <w:highlight w:val="none"/>
        </w:rPr>
        <w:fldChar w:fldCharType="separate"/>
      </w:r>
      <w:r>
        <w:rPr>
          <w:rFonts w:eastAsia="仿宋_GB2312"/>
          <w:sz w:val="32"/>
          <w:szCs w:val="32"/>
          <w:highlight w:val="none"/>
        </w:rPr>
        <w:t>恰尔隆</w:t>
      </w:r>
      <w:r>
        <w:rPr>
          <w:rFonts w:eastAsia="仿宋_GB2312"/>
          <w:sz w:val="32"/>
          <w:szCs w:val="32"/>
          <w:highlight w:val="none"/>
        </w:rPr>
        <w:fldChar w:fldCharType="end"/>
      </w:r>
      <w:r>
        <w:rPr>
          <w:rFonts w:hint="eastAsia" w:eastAsia="仿宋_GB2312"/>
          <w:sz w:val="32"/>
          <w:szCs w:val="32"/>
          <w:highlight w:val="none"/>
        </w:rPr>
        <w:t>镇）</w:t>
      </w:r>
      <w:r>
        <w:rPr>
          <w:rFonts w:eastAsia="仿宋_GB2312"/>
          <w:sz w:val="32"/>
          <w:szCs w:val="32"/>
          <w:highlight w:val="none"/>
        </w:rPr>
        <w:t>、</w:t>
      </w:r>
      <w:r>
        <w:rPr>
          <w:rFonts w:hint="eastAsia" w:eastAsia="仿宋_GB2312"/>
          <w:sz w:val="32"/>
          <w:szCs w:val="32"/>
          <w:highlight w:val="none"/>
        </w:rPr>
        <w:t>7</w:t>
      </w:r>
      <w:r>
        <w:rPr>
          <w:rFonts w:eastAsia="仿宋_GB2312"/>
          <w:sz w:val="32"/>
          <w:szCs w:val="32"/>
          <w:highlight w:val="none"/>
        </w:rPr>
        <w:t>乡</w:t>
      </w:r>
      <w:r>
        <w:rPr>
          <w:rFonts w:hint="eastAsia" w:eastAsia="仿宋_GB2312"/>
          <w:sz w:val="32"/>
          <w:szCs w:val="32"/>
          <w:highlight w:val="none"/>
        </w:rPr>
        <w:t>（</w:t>
      </w:r>
      <w:r>
        <w:rPr>
          <w:rFonts w:eastAsia="仿宋_GB2312"/>
          <w:sz w:val="32"/>
          <w:szCs w:val="32"/>
          <w:highlight w:val="none"/>
        </w:rPr>
        <w:t>皮拉勒乡、巴仁乡、加</w:t>
      </w:r>
      <w:r>
        <w:rPr>
          <w:highlight w:val="none"/>
        </w:rPr>
        <w:fldChar w:fldCharType="begin"/>
      </w:r>
      <w:r>
        <w:rPr>
          <w:highlight w:val="none"/>
        </w:rPr>
        <w:instrText xml:space="preserve"> HYPERLINK "http://baike.baidu.com/view/201676.htm" \t "_blank" </w:instrText>
      </w:r>
      <w:r>
        <w:rPr>
          <w:highlight w:val="none"/>
        </w:rPr>
        <w:fldChar w:fldCharType="separate"/>
      </w:r>
      <w:r>
        <w:rPr>
          <w:rFonts w:eastAsia="仿宋_GB2312"/>
          <w:sz w:val="32"/>
          <w:szCs w:val="32"/>
          <w:highlight w:val="none"/>
        </w:rPr>
        <w:t>马铁</w:t>
      </w:r>
      <w:r>
        <w:rPr>
          <w:rFonts w:eastAsia="仿宋_GB2312"/>
          <w:sz w:val="32"/>
          <w:szCs w:val="32"/>
          <w:highlight w:val="none"/>
        </w:rPr>
        <w:fldChar w:fldCharType="end"/>
      </w:r>
      <w:r>
        <w:rPr>
          <w:rFonts w:eastAsia="仿宋_GB2312"/>
          <w:sz w:val="32"/>
          <w:szCs w:val="32"/>
          <w:highlight w:val="none"/>
        </w:rPr>
        <w:t>热克乡、喀热开其克乡、布伦口乡、木吉乡</w:t>
      </w:r>
      <w:r>
        <w:rPr>
          <w:rFonts w:hint="eastAsia" w:eastAsia="仿宋_GB2312"/>
          <w:sz w:val="32"/>
          <w:szCs w:val="32"/>
          <w:highlight w:val="none"/>
        </w:rPr>
        <w:t>、</w:t>
      </w:r>
      <w:r>
        <w:rPr>
          <w:highlight w:val="none"/>
        </w:rPr>
        <w:fldChar w:fldCharType="begin"/>
      </w:r>
      <w:r>
        <w:rPr>
          <w:highlight w:val="none"/>
        </w:rPr>
        <w:instrText xml:space="preserve"> HYPERLINK "http://baike.baidu.com/view/3003640.htm" \t "_blank" </w:instrText>
      </w:r>
      <w:r>
        <w:rPr>
          <w:highlight w:val="none"/>
        </w:rPr>
        <w:fldChar w:fldCharType="separate"/>
      </w:r>
      <w:r>
        <w:rPr>
          <w:rFonts w:eastAsia="仿宋_GB2312"/>
          <w:sz w:val="32"/>
          <w:szCs w:val="32"/>
          <w:highlight w:val="none"/>
        </w:rPr>
        <w:t>塔尔塔吉克族乡</w:t>
      </w:r>
      <w:r>
        <w:rPr>
          <w:rFonts w:eastAsia="仿宋_GB2312"/>
          <w:sz w:val="32"/>
          <w:szCs w:val="32"/>
          <w:highlight w:val="none"/>
        </w:rPr>
        <w:fldChar w:fldCharType="end"/>
      </w:r>
      <w:r>
        <w:rPr>
          <w:rFonts w:hint="eastAsia" w:eastAsia="仿宋_GB2312"/>
          <w:sz w:val="32"/>
          <w:szCs w:val="32"/>
          <w:highlight w:val="none"/>
        </w:rPr>
        <w:t>）</w:t>
      </w:r>
      <w:r>
        <w:rPr>
          <w:rFonts w:hint="eastAsia" w:eastAsia="仿宋_GB2312"/>
          <w:sz w:val="32"/>
          <w:szCs w:val="32"/>
          <w:highlight w:val="none"/>
          <w:lang w:eastAsia="zh-CN"/>
        </w:rPr>
        <w:t>，</w:t>
      </w:r>
      <w:r>
        <w:rPr>
          <w:rFonts w:hint="eastAsia" w:eastAsia="仿宋_GB2312"/>
          <w:sz w:val="32"/>
          <w:szCs w:val="32"/>
          <w:highlight w:val="none"/>
        </w:rPr>
        <w:t>另辖</w:t>
      </w:r>
      <w:r>
        <w:rPr>
          <w:rFonts w:hint="eastAsia" w:eastAsia="仿宋_GB2312"/>
          <w:sz w:val="32"/>
          <w:szCs w:val="32"/>
          <w:highlight w:val="none"/>
          <w:lang w:val="en-US" w:eastAsia="zh-CN"/>
        </w:rPr>
        <w:t>3</w:t>
      </w:r>
      <w:r>
        <w:rPr>
          <w:rFonts w:hint="eastAsia" w:eastAsia="仿宋_GB2312"/>
          <w:sz w:val="32"/>
          <w:szCs w:val="32"/>
          <w:highlight w:val="none"/>
        </w:rPr>
        <w:t>个乡级单位</w:t>
      </w:r>
      <w:r>
        <w:rPr>
          <w:rFonts w:hint="eastAsia" w:eastAsia="仿宋_GB2312"/>
          <w:sz w:val="32"/>
          <w:szCs w:val="32"/>
          <w:highlight w:val="none"/>
          <w:lang w:eastAsia="zh-CN"/>
        </w:rPr>
        <w:t>（托尔塔依农场、原种场、克孜勒苏柯尔克孜自治州林场）</w:t>
      </w:r>
      <w:r>
        <w:rPr>
          <w:rFonts w:hint="eastAsia" w:eastAsia="仿宋_GB2312"/>
          <w:sz w:val="32"/>
          <w:szCs w:val="32"/>
          <w:highlight w:val="none"/>
        </w:rPr>
        <w:t>。</w:t>
      </w:r>
      <w:bookmarkEnd w:id="7"/>
      <w:r>
        <w:rPr>
          <w:rFonts w:eastAsia="仿宋_GB2312"/>
          <w:sz w:val="32"/>
          <w:szCs w:val="32"/>
          <w:highlight w:val="none"/>
        </w:rPr>
        <w:t>阿克陶县境内多山，山地面积占</w:t>
      </w:r>
      <w:r>
        <w:rPr>
          <w:rFonts w:hint="eastAsia" w:eastAsia="仿宋_GB2312"/>
          <w:sz w:val="32"/>
          <w:szCs w:val="32"/>
          <w:highlight w:val="none"/>
        </w:rPr>
        <w:t>县域</w:t>
      </w:r>
      <w:r>
        <w:rPr>
          <w:rFonts w:eastAsia="仿宋_GB2312"/>
          <w:sz w:val="32"/>
          <w:szCs w:val="32"/>
          <w:highlight w:val="none"/>
        </w:rPr>
        <w:t>总面积的96.4%</w:t>
      </w:r>
      <w:r>
        <w:rPr>
          <w:rFonts w:hint="eastAsia" w:eastAsia="仿宋_GB2312"/>
          <w:sz w:val="32"/>
          <w:szCs w:val="32"/>
          <w:highlight w:val="none"/>
        </w:rPr>
        <w:t>，</w:t>
      </w:r>
      <w:r>
        <w:rPr>
          <w:rFonts w:eastAsia="仿宋_GB2312"/>
          <w:sz w:val="32"/>
          <w:szCs w:val="32"/>
          <w:highlight w:val="none"/>
        </w:rPr>
        <w:t>平原区则占总面积的1.68％，少量的戈壁、荒漠占总面积的1.92％</w:t>
      </w:r>
      <w:r>
        <w:rPr>
          <w:rFonts w:hint="eastAsia" w:eastAsia="仿宋_GB2312"/>
          <w:sz w:val="32"/>
          <w:szCs w:val="32"/>
          <w:highlight w:val="none"/>
        </w:rPr>
        <w:t>，</w:t>
      </w:r>
      <w:r>
        <w:rPr>
          <w:rFonts w:eastAsia="仿宋_GB2312"/>
          <w:sz w:val="32"/>
          <w:szCs w:val="32"/>
          <w:highlight w:val="none"/>
        </w:rPr>
        <w:t>地势西南高</w:t>
      </w:r>
      <w:r>
        <w:rPr>
          <w:rFonts w:hint="eastAsia" w:eastAsia="仿宋_GB2312"/>
          <w:sz w:val="32"/>
          <w:szCs w:val="32"/>
          <w:highlight w:val="none"/>
        </w:rPr>
        <w:t>、</w:t>
      </w:r>
      <w:r>
        <w:rPr>
          <w:rFonts w:eastAsia="仿宋_GB2312"/>
          <w:sz w:val="32"/>
          <w:szCs w:val="32"/>
          <w:highlight w:val="none"/>
        </w:rPr>
        <w:t>东北低，截然分为平原农区与山间牧区两部分。县境内河流属塔里木河流域，多发源于昆仑山脉、帕米尔高原上，由西南山区向东北平原而流</w:t>
      </w:r>
      <w:r>
        <w:rPr>
          <w:rFonts w:hint="eastAsia" w:eastAsia="仿宋_GB2312"/>
          <w:sz w:val="32"/>
          <w:szCs w:val="32"/>
          <w:highlight w:val="none"/>
        </w:rPr>
        <w:t>，有木吉河、依格孜牙河、康西瓦河、喀拉塔什河等水系，</w:t>
      </w:r>
      <w:r>
        <w:rPr>
          <w:rFonts w:eastAsia="仿宋_GB2312"/>
          <w:sz w:val="32"/>
          <w:szCs w:val="32"/>
          <w:highlight w:val="none"/>
        </w:rPr>
        <w:t>地表水较为丰富</w:t>
      </w:r>
      <w:r>
        <w:rPr>
          <w:rFonts w:hint="eastAsia" w:eastAsia="仿宋_GB2312"/>
          <w:sz w:val="32"/>
          <w:szCs w:val="32"/>
          <w:highlight w:val="none"/>
        </w:rPr>
        <w:t>。阿克陶县气候和自然环境复杂多变，构造与地震活动强烈，叠加人类工程活动影响，地质灾害易发、多发、频发，是新疆地质灾害发育、危害较严重的县之一。</w:t>
      </w:r>
    </w:p>
    <w:bookmarkEnd w:id="3"/>
    <w:p w14:paraId="2C16C3C3">
      <w:pPr>
        <w:pStyle w:val="3"/>
        <w:spacing w:after="0" w:afterLines="0" w:line="560" w:lineRule="exact"/>
        <w:ind w:firstLine="643"/>
        <w:rPr>
          <w:rFonts w:hint="default" w:eastAsia="楷体"/>
          <w:sz w:val="32"/>
          <w:szCs w:val="32"/>
          <w:highlight w:val="none"/>
          <w:lang w:val="en-US" w:eastAsia="zh-CN"/>
        </w:rPr>
      </w:pPr>
      <w:bookmarkStart w:id="9" w:name="_Toc24918"/>
      <w:r>
        <w:rPr>
          <w:rFonts w:hint="eastAsia" w:ascii="楷体" w:hAnsi="楷体" w:eastAsia="楷体" w:cs="黑体"/>
          <w:sz w:val="32"/>
          <w:highlight w:val="none"/>
        </w:rPr>
        <w:t>（</w:t>
      </w:r>
      <w:r>
        <w:rPr>
          <w:rFonts w:hint="eastAsia" w:ascii="楷体" w:hAnsi="楷体" w:eastAsia="楷体" w:cs="黑体"/>
          <w:sz w:val="32"/>
          <w:highlight w:val="none"/>
          <w:lang w:val="en-US" w:eastAsia="zh-CN"/>
        </w:rPr>
        <w:t>三</w:t>
      </w:r>
      <w:r>
        <w:rPr>
          <w:rFonts w:hint="eastAsia" w:ascii="楷体" w:hAnsi="楷体" w:eastAsia="楷体" w:cs="黑体"/>
          <w:sz w:val="32"/>
          <w:highlight w:val="none"/>
        </w:rPr>
        <w:t>）</w:t>
      </w:r>
      <w:r>
        <w:rPr>
          <w:rFonts w:hint="eastAsia" w:ascii="楷体" w:hAnsi="楷体" w:eastAsia="楷体" w:cs="黑体"/>
          <w:sz w:val="32"/>
          <w:highlight w:val="none"/>
          <w:lang w:val="en-US" w:eastAsia="zh-CN"/>
        </w:rPr>
        <w:t>气象水文</w:t>
      </w:r>
      <w:bookmarkEnd w:id="9"/>
    </w:p>
    <w:p w14:paraId="284390F7">
      <w:pPr>
        <w:spacing w:line="560" w:lineRule="exact"/>
        <w:ind w:firstLine="640" w:firstLineChars="200"/>
        <w:jc w:val="left"/>
        <w:rPr>
          <w:rFonts w:hint="eastAsia" w:eastAsia="仿宋_GB2312"/>
          <w:sz w:val="32"/>
          <w:szCs w:val="32"/>
          <w:highlight w:val="none"/>
        </w:rPr>
      </w:pPr>
      <w:r>
        <w:rPr>
          <w:rFonts w:hint="eastAsia" w:eastAsia="仿宋_GB2312"/>
          <w:sz w:val="32"/>
          <w:szCs w:val="32"/>
          <w:highlight w:val="none"/>
        </w:rPr>
        <w:t>阿克陶县平原地带，海拔1180—1500米，属暖温带极干旱气候区，四季分明，光照充足，昼夜温差大，无霜期长；海拔1500米以上的广大山区，属寒温带高原寒带干旱气候区，无明显的四季之分，仅有寒暖两季之别。根据位于平原地带的阿克陶县气象站观测数据：年平均气温为0.08℃，年平均气温最低-2.0℃（2017年），最高1.9℃（2015年），极端最高气温为39.4℃，出现在1971年7月11日，极端最低气温为-27.4℃，出现在1975年12月11日；多年平均降水量约为10.21mm，年最大降水量17.3mm（2018年），年最少降水量5.3mm（2020年），一日最大降水量51.9mm，出现在2004年5月1日；多年平均日照时长约为224.91h。开春期为2月23日，入冬期为11月25日，每年的无霜期约为163天，大风日数11.9天，雷暴日数15.0天，浮尘日数41.7天。</w:t>
      </w:r>
    </w:p>
    <w:p w14:paraId="3AD5D4A5">
      <w:pPr>
        <w:spacing w:line="560" w:lineRule="exact"/>
        <w:ind w:firstLine="640" w:firstLineChars="200"/>
        <w:jc w:val="left"/>
        <w:rPr>
          <w:rFonts w:hint="eastAsia" w:eastAsia="仿宋_GB2312"/>
          <w:sz w:val="32"/>
          <w:szCs w:val="32"/>
          <w:highlight w:val="none"/>
        </w:rPr>
      </w:pPr>
      <w:r>
        <w:rPr>
          <w:rFonts w:hint="eastAsia" w:eastAsia="仿宋_GB2312"/>
          <w:sz w:val="32"/>
          <w:szCs w:val="32"/>
          <w:highlight w:val="none"/>
          <w:lang w:val="en-US" w:eastAsia="zh-CN"/>
        </w:rPr>
        <w:t>县域</w:t>
      </w:r>
      <w:r>
        <w:rPr>
          <w:rFonts w:hint="eastAsia" w:eastAsia="仿宋_GB2312"/>
          <w:sz w:val="32"/>
          <w:szCs w:val="32"/>
          <w:highlight w:val="none"/>
        </w:rPr>
        <w:t>山地地带属东帕米尔高原，海拔多在4000m以上，寒冷多雪，气温常年在0</w:t>
      </w:r>
      <w:r>
        <w:rPr>
          <w:rFonts w:hint="eastAsia" w:eastAsia="仿宋_GB2312"/>
          <w:sz w:val="32"/>
          <w:szCs w:val="32"/>
          <w:highlight w:val="none"/>
          <w:lang w:val="en-US" w:eastAsia="zh-CN"/>
        </w:rPr>
        <w:t>℃</w:t>
      </w:r>
      <w:r>
        <w:rPr>
          <w:rFonts w:hint="eastAsia" w:eastAsia="仿宋_GB2312"/>
          <w:sz w:val="32"/>
          <w:szCs w:val="32"/>
          <w:highlight w:val="none"/>
        </w:rPr>
        <w:t>以下。山区积雪面积790km</w:t>
      </w:r>
      <w:r>
        <w:rPr>
          <w:rFonts w:hint="eastAsia" w:eastAsia="仿宋_GB2312"/>
          <w:sz w:val="32"/>
          <w:szCs w:val="32"/>
          <w:highlight w:val="none"/>
          <w:vertAlign w:val="superscript"/>
        </w:rPr>
        <w:t>2</w:t>
      </w:r>
      <w:r>
        <w:rPr>
          <w:rFonts w:hint="eastAsia" w:eastAsia="仿宋_GB2312"/>
          <w:sz w:val="32"/>
          <w:szCs w:val="32"/>
          <w:highlight w:val="none"/>
        </w:rPr>
        <w:t>，冰川面积600km</w:t>
      </w:r>
      <w:r>
        <w:rPr>
          <w:rFonts w:hint="eastAsia" w:eastAsia="仿宋_GB2312"/>
          <w:sz w:val="32"/>
          <w:szCs w:val="32"/>
          <w:highlight w:val="none"/>
          <w:vertAlign w:val="superscript"/>
        </w:rPr>
        <w:t>2</w:t>
      </w:r>
      <w:r>
        <w:rPr>
          <w:rFonts w:hint="eastAsia" w:eastAsia="仿宋_GB2312"/>
          <w:sz w:val="32"/>
          <w:szCs w:val="32"/>
          <w:highlight w:val="none"/>
        </w:rPr>
        <w:t>。常年积雪，冰川融化形成众多河流、湖泊，并有众多泉水溢出，因此地表水较为丰富。全区河川地表水总径流量28.236×108m</w:t>
      </w:r>
      <w:r>
        <w:rPr>
          <w:rFonts w:hint="eastAsia" w:eastAsia="仿宋_GB2312"/>
          <w:sz w:val="32"/>
          <w:szCs w:val="32"/>
          <w:highlight w:val="none"/>
          <w:vertAlign w:val="superscript"/>
        </w:rPr>
        <w:t>3</w:t>
      </w:r>
      <w:r>
        <w:rPr>
          <w:rFonts w:hint="eastAsia" w:eastAsia="仿宋_GB2312"/>
          <w:sz w:val="32"/>
          <w:szCs w:val="32"/>
          <w:highlight w:val="none"/>
        </w:rPr>
        <w:t>/a，其中山区河川径流量26.676×108m</w:t>
      </w:r>
      <w:r>
        <w:rPr>
          <w:rFonts w:hint="eastAsia" w:eastAsia="仿宋_GB2312"/>
          <w:sz w:val="32"/>
          <w:szCs w:val="32"/>
          <w:highlight w:val="none"/>
          <w:vertAlign w:val="superscript"/>
        </w:rPr>
        <w:t>3</w:t>
      </w:r>
      <w:r>
        <w:rPr>
          <w:rFonts w:hint="eastAsia" w:eastAsia="仿宋_GB2312"/>
          <w:sz w:val="32"/>
          <w:szCs w:val="32"/>
          <w:highlight w:val="none"/>
        </w:rPr>
        <w:t>/a，泉水为1.56×108m</w:t>
      </w:r>
      <w:r>
        <w:rPr>
          <w:rFonts w:hint="eastAsia" w:eastAsia="仿宋_GB2312"/>
          <w:sz w:val="32"/>
          <w:szCs w:val="32"/>
          <w:highlight w:val="none"/>
          <w:vertAlign w:val="superscript"/>
        </w:rPr>
        <w:t>3</w:t>
      </w:r>
      <w:r>
        <w:rPr>
          <w:rFonts w:hint="eastAsia" w:eastAsia="仿宋_GB2312"/>
          <w:sz w:val="32"/>
          <w:szCs w:val="32"/>
          <w:highlight w:val="none"/>
        </w:rPr>
        <w:t>/a。</w:t>
      </w:r>
    </w:p>
    <w:p w14:paraId="33A60460">
      <w:pPr>
        <w:spacing w:line="560" w:lineRule="exact"/>
        <w:ind w:firstLine="640" w:firstLineChars="200"/>
        <w:jc w:val="left"/>
        <w:rPr>
          <w:rFonts w:hint="eastAsia" w:eastAsia="仿宋_GB2312"/>
          <w:sz w:val="32"/>
          <w:szCs w:val="32"/>
          <w:highlight w:val="none"/>
        </w:rPr>
      </w:pPr>
      <w:r>
        <w:rPr>
          <w:rFonts w:hint="eastAsia" w:eastAsia="仿宋_GB2312"/>
          <w:sz w:val="32"/>
          <w:szCs w:val="32"/>
          <w:highlight w:val="none"/>
          <w:lang w:val="en-US" w:eastAsia="zh-CN"/>
        </w:rPr>
        <w:t>县域</w:t>
      </w:r>
      <w:r>
        <w:rPr>
          <w:rFonts w:hint="eastAsia" w:eastAsia="仿宋_GB2312"/>
          <w:sz w:val="32"/>
          <w:szCs w:val="32"/>
          <w:highlight w:val="none"/>
        </w:rPr>
        <w:t>内河流均属内陆河流，系塔里木河流域。共有5大水系13支主要河流：①叶尔羌河水系：塔什库尔干河，帕斯热瓦提河，恰尔隆河；②依格孜牙河水系：依格孜牙河，青干河；③汗铁力克河水系：汗铁力克河，卡拉塔什河，其木干河；④盖孜河水系：盖孜河，奥依塔克河，康西瓦尔河；⑤玛尔坎苏河水系：玛尔坎苏河、卡拉尔特河。</w:t>
      </w:r>
    </w:p>
    <w:p w14:paraId="7E9D5FD5">
      <w:pPr>
        <w:spacing w:line="560" w:lineRule="exact"/>
        <w:ind w:firstLine="640" w:firstLineChars="200"/>
        <w:jc w:val="left"/>
        <w:rPr>
          <w:rFonts w:hint="default" w:eastAsia="仿宋_GB2312"/>
          <w:sz w:val="32"/>
          <w:szCs w:val="32"/>
          <w:highlight w:val="none"/>
          <w:lang w:val="en-US" w:eastAsia="zh-CN"/>
        </w:rPr>
      </w:pPr>
      <w:r>
        <w:rPr>
          <w:rFonts w:hint="eastAsia" w:eastAsia="仿宋_GB2312"/>
          <w:sz w:val="32"/>
          <w:szCs w:val="32"/>
          <w:highlight w:val="none"/>
          <w:lang w:val="en-US" w:eastAsia="zh-CN"/>
        </w:rPr>
        <w:t>县域</w:t>
      </w:r>
      <w:r>
        <w:rPr>
          <w:rFonts w:hint="eastAsia" w:eastAsia="仿宋_GB2312"/>
          <w:sz w:val="32"/>
          <w:szCs w:val="32"/>
          <w:highlight w:val="none"/>
        </w:rPr>
        <w:t>内共有大小湖泊8处，大部分分布在布伦口乡境内，均属淡水高原湖。比较大的湖泊有喀拉库勒湖、布伦库勒湖、特勒库木库勒湖、恰克尔艾格勒库勒湖，湖面面积共有20.5km</w:t>
      </w:r>
      <w:r>
        <w:rPr>
          <w:rFonts w:hint="eastAsia" w:eastAsia="仿宋_GB2312"/>
          <w:sz w:val="32"/>
          <w:szCs w:val="32"/>
          <w:highlight w:val="none"/>
          <w:vertAlign w:val="superscript"/>
        </w:rPr>
        <w:t>2</w:t>
      </w:r>
      <w:r>
        <w:rPr>
          <w:rFonts w:hint="eastAsia" w:eastAsia="仿宋_GB2312"/>
          <w:sz w:val="32"/>
          <w:szCs w:val="32"/>
          <w:highlight w:val="none"/>
        </w:rPr>
        <w:t>。</w:t>
      </w:r>
    </w:p>
    <w:p w14:paraId="73DD0162">
      <w:pPr>
        <w:pStyle w:val="3"/>
        <w:spacing w:after="0" w:afterLines="0" w:line="560" w:lineRule="exact"/>
        <w:ind w:firstLine="643"/>
        <w:rPr>
          <w:rFonts w:hint="eastAsia" w:eastAsia="楷体"/>
          <w:sz w:val="32"/>
          <w:szCs w:val="32"/>
          <w:highlight w:val="none"/>
          <w:lang w:val="en-US" w:eastAsia="zh-CN"/>
        </w:rPr>
      </w:pPr>
      <w:bookmarkStart w:id="10" w:name="_Toc4318"/>
      <w:r>
        <w:rPr>
          <w:rFonts w:hint="eastAsia" w:ascii="楷体" w:hAnsi="楷体" w:eastAsia="楷体" w:cs="黑体"/>
          <w:sz w:val="32"/>
          <w:highlight w:val="none"/>
        </w:rPr>
        <w:t>（</w:t>
      </w:r>
      <w:r>
        <w:rPr>
          <w:rFonts w:hint="eastAsia" w:ascii="楷体" w:hAnsi="楷体" w:eastAsia="楷体" w:cs="黑体"/>
          <w:sz w:val="32"/>
          <w:highlight w:val="none"/>
          <w:lang w:val="en-US" w:eastAsia="zh-CN"/>
        </w:rPr>
        <w:t>四</w:t>
      </w:r>
      <w:r>
        <w:rPr>
          <w:rFonts w:hint="eastAsia" w:ascii="楷体" w:hAnsi="楷体" w:eastAsia="楷体" w:cs="黑体"/>
          <w:sz w:val="32"/>
          <w:highlight w:val="none"/>
        </w:rPr>
        <w:t>）</w:t>
      </w:r>
      <w:r>
        <w:rPr>
          <w:rFonts w:hint="eastAsia" w:ascii="楷体" w:hAnsi="楷体" w:eastAsia="楷体" w:cs="黑体"/>
          <w:sz w:val="32"/>
          <w:highlight w:val="none"/>
          <w:lang w:val="en-US" w:eastAsia="zh-CN"/>
        </w:rPr>
        <w:t>地形地貌</w:t>
      </w:r>
      <w:bookmarkEnd w:id="10"/>
    </w:p>
    <w:p w14:paraId="1A5BEA6C">
      <w:pPr>
        <w:spacing w:line="560" w:lineRule="exact"/>
        <w:ind w:firstLine="640" w:firstLineChars="200"/>
        <w:jc w:val="left"/>
        <w:rPr>
          <w:rFonts w:hint="eastAsia" w:eastAsia="仿宋_GB2312"/>
          <w:sz w:val="32"/>
          <w:szCs w:val="32"/>
          <w:highlight w:val="none"/>
        </w:rPr>
      </w:pPr>
      <w:r>
        <w:rPr>
          <w:rFonts w:hint="eastAsia" w:eastAsia="仿宋_GB2312"/>
          <w:sz w:val="32"/>
          <w:szCs w:val="32"/>
          <w:highlight w:val="none"/>
          <w:lang w:val="en-US" w:eastAsia="zh-CN"/>
        </w:rPr>
        <w:t>阿克陶县</w:t>
      </w:r>
      <w:r>
        <w:rPr>
          <w:rFonts w:hint="eastAsia" w:eastAsia="仿宋_GB2312"/>
          <w:sz w:val="32"/>
          <w:szCs w:val="32"/>
          <w:highlight w:val="none"/>
        </w:rPr>
        <w:t>海拔</w:t>
      </w:r>
      <w:r>
        <w:rPr>
          <w:rFonts w:hint="eastAsia" w:eastAsia="仿宋_GB2312"/>
          <w:sz w:val="32"/>
          <w:szCs w:val="32"/>
          <w:highlight w:val="none"/>
          <w:lang w:val="en-US" w:eastAsia="zh-CN"/>
        </w:rPr>
        <w:t>范围</w:t>
      </w:r>
      <w:r>
        <w:rPr>
          <w:rFonts w:hint="eastAsia" w:eastAsia="仿宋_GB2312"/>
          <w:sz w:val="32"/>
          <w:szCs w:val="32"/>
          <w:highlight w:val="none"/>
        </w:rPr>
        <w:t>1180～7719m，总的地形特点是山地多，平原少，西南高而东北低。山地面积占总面积的96.4％，平原区则占总面积的1.68％，少量的戈壁、荒漠占总面积的1.92％。东北部为绿洲平原，多为农田、林带、植被等覆盖，海拔在1180～1500m之间。</w:t>
      </w:r>
      <w:r>
        <w:rPr>
          <w:rFonts w:hint="eastAsia" w:eastAsia="仿宋_GB2312"/>
          <w:sz w:val="32"/>
          <w:szCs w:val="32"/>
          <w:highlight w:val="none"/>
          <w:lang w:val="en-US" w:eastAsia="zh-CN"/>
        </w:rPr>
        <w:t>县域</w:t>
      </w:r>
      <w:r>
        <w:rPr>
          <w:rFonts w:hint="eastAsia" w:eastAsia="仿宋_GB2312"/>
          <w:sz w:val="32"/>
          <w:szCs w:val="32"/>
          <w:highlight w:val="none"/>
        </w:rPr>
        <w:t>绝大部分为山区，由东帕米尔高原和少部分的西昆仑山脉组成，海拔一般在4000～5000m之间。西北部为昆盖山脉，海拔一般在5000～5800m，西南部是萨雷阔勒岭，海拔多在4500m以上；中部有著名的山脉：公格尔山，海拔7719m，公格尔九别峰海拔7530m，慕士塔格峰海拔7546m。这里常年白雪皑皑，多为冰川所覆盖，人类活动及植被稀少。</w:t>
      </w:r>
    </w:p>
    <w:p w14:paraId="78FED45E">
      <w:pPr>
        <w:spacing w:line="560" w:lineRule="exact"/>
        <w:ind w:firstLine="640" w:firstLineChars="20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根据内外营力作用及地貌特征、地形的绝对和相对高度，将阿克陶县的地貌类型划分为侵蚀、剥蚀构造山地，构造剥蚀低山丘陵和堆积平原3个一级地貌单元和5个二级地貌单元；依据阿克陶县地貌形态成因，可划分为5个二级地貌单元：高山、极高山区（Ⅰ</w:t>
      </w:r>
      <w:r>
        <w:rPr>
          <w:rFonts w:hint="default" w:ascii="Times New Roman" w:hAnsi="Times New Roman" w:eastAsia="仿宋_GB2312" w:cs="Times New Roman"/>
          <w:sz w:val="32"/>
          <w:szCs w:val="32"/>
          <w:highlight w:val="none"/>
          <w:vertAlign w:val="subscript"/>
        </w:rPr>
        <w:t>1</w:t>
      </w:r>
      <w:r>
        <w:rPr>
          <w:rFonts w:hint="default" w:ascii="Times New Roman" w:hAnsi="Times New Roman" w:eastAsia="仿宋_GB2312" w:cs="Times New Roman"/>
          <w:sz w:val="32"/>
          <w:szCs w:val="32"/>
          <w:highlight w:val="none"/>
        </w:rPr>
        <w:t>）、中山区（Ⅰ</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）、低山丘陵区（Ⅱ）、细土平原区（Ⅲ</w:t>
      </w:r>
      <w:r>
        <w:rPr>
          <w:rFonts w:hint="default" w:ascii="Times New Roman" w:hAnsi="Times New Roman" w:eastAsia="仿宋_GB2312" w:cs="Times New Roman"/>
          <w:sz w:val="32"/>
          <w:szCs w:val="32"/>
          <w:highlight w:val="none"/>
          <w:vertAlign w:val="subscript"/>
        </w:rPr>
        <w:t>1</w:t>
      </w:r>
      <w:r>
        <w:rPr>
          <w:rFonts w:hint="default" w:ascii="Times New Roman" w:hAnsi="Times New Roman" w:eastAsia="仿宋_GB2312" w:cs="Times New Roman"/>
          <w:sz w:val="32"/>
          <w:szCs w:val="32"/>
          <w:highlight w:val="none"/>
        </w:rPr>
        <w:t>）、高山谷盆区（Ⅲ</w:t>
      </w:r>
      <w:r>
        <w:rPr>
          <w:rFonts w:hint="default" w:ascii="Times New Roman" w:hAnsi="Times New Roman" w:eastAsia="仿宋_GB2312" w:cs="Times New Roman"/>
          <w:sz w:val="32"/>
          <w:szCs w:val="32"/>
          <w:highlight w:val="none"/>
          <w:vertAlign w:val="subscript"/>
        </w:rPr>
        <w:t>2</w:t>
      </w:r>
      <w:r>
        <w:rPr>
          <w:rFonts w:hint="default" w:ascii="Times New Roman" w:hAnsi="Times New Roman" w:eastAsia="仿宋_GB2312" w:cs="Times New Roman"/>
          <w:sz w:val="32"/>
          <w:szCs w:val="32"/>
          <w:highlight w:val="none"/>
        </w:rPr>
        <w:t>）。</w:t>
      </w:r>
    </w:p>
    <w:p w14:paraId="09E3492A">
      <w:pPr>
        <w:pStyle w:val="3"/>
        <w:spacing w:after="0" w:afterLines="0" w:line="560" w:lineRule="exact"/>
        <w:ind w:firstLine="643"/>
        <w:rPr>
          <w:rFonts w:hint="default" w:eastAsia="楷体"/>
          <w:sz w:val="32"/>
          <w:szCs w:val="32"/>
          <w:highlight w:val="none"/>
          <w:lang w:val="en-US" w:eastAsia="zh-CN"/>
        </w:rPr>
      </w:pPr>
      <w:bookmarkStart w:id="11" w:name="_Toc9763"/>
      <w:r>
        <w:rPr>
          <w:rFonts w:hint="eastAsia" w:ascii="楷体" w:hAnsi="楷体" w:eastAsia="楷体" w:cs="黑体"/>
          <w:sz w:val="32"/>
          <w:highlight w:val="none"/>
        </w:rPr>
        <w:t>（</w:t>
      </w:r>
      <w:r>
        <w:rPr>
          <w:rFonts w:hint="eastAsia" w:ascii="楷体" w:hAnsi="楷体" w:eastAsia="楷体" w:cs="黑体"/>
          <w:sz w:val="32"/>
          <w:highlight w:val="none"/>
          <w:lang w:val="en-US" w:eastAsia="zh-CN"/>
        </w:rPr>
        <w:t>五</w:t>
      </w:r>
      <w:r>
        <w:rPr>
          <w:rFonts w:hint="eastAsia" w:ascii="楷体" w:hAnsi="楷体" w:eastAsia="楷体" w:cs="黑体"/>
          <w:sz w:val="32"/>
          <w:highlight w:val="none"/>
        </w:rPr>
        <w:t>）</w:t>
      </w:r>
      <w:r>
        <w:rPr>
          <w:rFonts w:hint="eastAsia" w:ascii="楷体" w:hAnsi="楷体" w:eastAsia="楷体" w:cs="黑体"/>
          <w:sz w:val="32"/>
          <w:highlight w:val="none"/>
          <w:lang w:val="en-US" w:eastAsia="zh-CN"/>
        </w:rPr>
        <w:t>地质灾害现状概况及特征</w:t>
      </w:r>
      <w:bookmarkEnd w:id="11"/>
    </w:p>
    <w:p w14:paraId="44E18F50">
      <w:pPr>
        <w:spacing w:line="560" w:lineRule="exact"/>
        <w:ind w:firstLine="640" w:firstLineChars="200"/>
        <w:jc w:val="left"/>
        <w:rPr>
          <w:rFonts w:hint="default" w:eastAsia="仿宋_GB2312"/>
          <w:sz w:val="32"/>
          <w:szCs w:val="32"/>
          <w:highlight w:val="none"/>
          <w:lang w:val="en-US" w:eastAsia="zh-CN"/>
        </w:rPr>
      </w:pPr>
      <w:r>
        <w:rPr>
          <w:rFonts w:eastAsia="仿宋_GB2312"/>
          <w:sz w:val="32"/>
          <w:szCs w:val="32"/>
          <w:highlight w:val="none"/>
        </w:rPr>
        <w:t>据不完全统计，201</w:t>
      </w:r>
      <w:r>
        <w:rPr>
          <w:rFonts w:hint="eastAsia" w:eastAsia="仿宋_GB2312"/>
          <w:sz w:val="32"/>
          <w:szCs w:val="32"/>
          <w:highlight w:val="none"/>
          <w:lang w:val="en-US" w:eastAsia="zh-CN"/>
        </w:rPr>
        <w:t>0</w:t>
      </w:r>
      <w:r>
        <w:rPr>
          <w:rFonts w:eastAsia="仿宋_GB2312"/>
          <w:sz w:val="32"/>
          <w:szCs w:val="32"/>
          <w:highlight w:val="none"/>
        </w:rPr>
        <w:t>-202</w:t>
      </w:r>
      <w:r>
        <w:rPr>
          <w:rFonts w:hint="eastAsia" w:eastAsia="仿宋_GB2312"/>
          <w:sz w:val="32"/>
          <w:szCs w:val="32"/>
          <w:highlight w:val="none"/>
          <w:lang w:val="en-US" w:eastAsia="zh-CN"/>
        </w:rPr>
        <w:t>5</w:t>
      </w:r>
      <w:r>
        <w:rPr>
          <w:rFonts w:eastAsia="仿宋_GB2312"/>
          <w:sz w:val="32"/>
          <w:szCs w:val="32"/>
          <w:highlight w:val="none"/>
        </w:rPr>
        <w:t>年</w:t>
      </w:r>
      <w:r>
        <w:rPr>
          <w:rFonts w:hint="eastAsia" w:eastAsia="仿宋_GB2312"/>
          <w:sz w:val="32"/>
          <w:szCs w:val="32"/>
          <w:highlight w:val="none"/>
          <w:lang w:val="en-US" w:eastAsia="zh-CN"/>
        </w:rPr>
        <w:t>阿克陶</w:t>
      </w:r>
      <w:r>
        <w:rPr>
          <w:rFonts w:eastAsia="仿宋_GB2312"/>
          <w:sz w:val="32"/>
          <w:szCs w:val="32"/>
          <w:highlight w:val="none"/>
        </w:rPr>
        <w:t>县共发生地质灾害</w:t>
      </w:r>
      <w:r>
        <w:rPr>
          <w:rFonts w:hint="eastAsia" w:eastAsia="仿宋_GB2312"/>
          <w:sz w:val="32"/>
          <w:szCs w:val="32"/>
          <w:highlight w:val="none"/>
          <w:lang w:val="en-US" w:eastAsia="zh-CN"/>
        </w:rPr>
        <w:t>61</w:t>
      </w:r>
      <w:r>
        <w:rPr>
          <w:rFonts w:eastAsia="仿宋_GB2312"/>
          <w:sz w:val="32"/>
          <w:szCs w:val="32"/>
          <w:highlight w:val="none"/>
        </w:rPr>
        <w:t>起，其中泥石流</w:t>
      </w:r>
      <w:r>
        <w:rPr>
          <w:rFonts w:hint="eastAsia" w:eastAsia="仿宋_GB2312"/>
          <w:sz w:val="32"/>
          <w:szCs w:val="32"/>
          <w:highlight w:val="none"/>
          <w:lang w:val="en-US" w:eastAsia="zh-CN"/>
        </w:rPr>
        <w:t>43</w:t>
      </w:r>
      <w:r>
        <w:rPr>
          <w:rFonts w:eastAsia="仿宋_GB2312"/>
          <w:sz w:val="32"/>
          <w:szCs w:val="32"/>
          <w:highlight w:val="none"/>
        </w:rPr>
        <w:t>起，崩塌</w:t>
      </w:r>
      <w:r>
        <w:rPr>
          <w:rFonts w:hint="eastAsia" w:eastAsia="仿宋_GB2312"/>
          <w:sz w:val="32"/>
          <w:szCs w:val="32"/>
          <w:highlight w:val="none"/>
          <w:lang w:val="en-US" w:eastAsia="zh-CN"/>
        </w:rPr>
        <w:t>16</w:t>
      </w:r>
      <w:r>
        <w:rPr>
          <w:rFonts w:eastAsia="仿宋_GB2312"/>
          <w:sz w:val="32"/>
          <w:szCs w:val="32"/>
          <w:highlight w:val="none"/>
        </w:rPr>
        <w:t>起，</w:t>
      </w:r>
      <w:r>
        <w:rPr>
          <w:rFonts w:hint="eastAsia" w:eastAsia="仿宋_GB2312"/>
          <w:sz w:val="32"/>
          <w:szCs w:val="32"/>
          <w:highlight w:val="none"/>
          <w:lang w:val="en-US" w:eastAsia="zh-CN"/>
        </w:rPr>
        <w:t>滑坡2起，</w:t>
      </w:r>
      <w:r>
        <w:rPr>
          <w:rFonts w:eastAsia="仿宋_GB2312"/>
          <w:sz w:val="32"/>
          <w:szCs w:val="32"/>
          <w:highlight w:val="none"/>
        </w:rPr>
        <w:t>多为中巴公路</w:t>
      </w:r>
      <w:r>
        <w:rPr>
          <w:rFonts w:hint="eastAsia" w:eastAsia="仿宋_GB2312"/>
          <w:sz w:val="32"/>
          <w:szCs w:val="32"/>
          <w:highlight w:val="none"/>
          <w:lang w:val="en-US" w:eastAsia="zh-CN"/>
        </w:rPr>
        <w:t>-布伦口乡</w:t>
      </w:r>
      <w:r>
        <w:rPr>
          <w:rFonts w:eastAsia="仿宋_GB2312"/>
          <w:sz w:val="32"/>
          <w:szCs w:val="32"/>
          <w:highlight w:val="none"/>
        </w:rPr>
        <w:t>沿线，</w:t>
      </w:r>
      <w:r>
        <w:rPr>
          <w:rFonts w:hint="eastAsia" w:eastAsia="仿宋_GB2312"/>
          <w:sz w:val="32"/>
          <w:szCs w:val="32"/>
          <w:highlight w:val="none"/>
          <w:lang w:val="en-US" w:eastAsia="zh-CN"/>
        </w:rPr>
        <w:t>克孜勒陶镇、</w:t>
      </w:r>
      <w:r>
        <w:rPr>
          <w:rFonts w:hint="eastAsia" w:eastAsia="仿宋_GB2312"/>
          <w:sz w:val="32"/>
          <w:szCs w:val="32"/>
          <w:highlight w:val="none"/>
        </w:rPr>
        <w:t>阿克塔拉牧场</w:t>
      </w:r>
      <w:r>
        <w:rPr>
          <w:rFonts w:hint="eastAsia" w:eastAsia="仿宋_GB2312"/>
          <w:sz w:val="32"/>
          <w:szCs w:val="32"/>
          <w:highlight w:val="none"/>
          <w:lang w:eastAsia="zh-CN"/>
        </w:rPr>
        <w:t>、</w:t>
      </w:r>
      <w:r>
        <w:rPr>
          <w:rFonts w:hint="eastAsia" w:eastAsia="仿宋_GB2312"/>
          <w:sz w:val="32"/>
          <w:szCs w:val="32"/>
          <w:highlight w:val="none"/>
        </w:rPr>
        <w:t>恰尔隆镇、塔尔乡等山区乡（镇、场）</w:t>
      </w:r>
      <w:r>
        <w:rPr>
          <w:rFonts w:hint="eastAsia" w:eastAsia="仿宋_GB2312"/>
          <w:sz w:val="32"/>
          <w:szCs w:val="32"/>
          <w:highlight w:val="none"/>
          <w:lang w:val="en-US" w:eastAsia="zh-CN"/>
        </w:rPr>
        <w:t>也时有发生，</w:t>
      </w:r>
      <w:r>
        <w:rPr>
          <w:rFonts w:eastAsia="仿宋_GB2312"/>
          <w:sz w:val="32"/>
          <w:szCs w:val="32"/>
          <w:highlight w:val="none"/>
        </w:rPr>
        <w:t>直接经济损失超过</w:t>
      </w:r>
      <w:r>
        <w:rPr>
          <w:rFonts w:hint="eastAsia" w:eastAsia="仿宋_GB2312"/>
          <w:sz w:val="32"/>
          <w:szCs w:val="32"/>
          <w:highlight w:val="none"/>
        </w:rPr>
        <w:t>4</w:t>
      </w:r>
      <w:r>
        <w:rPr>
          <w:rFonts w:eastAsia="仿宋_GB2312"/>
          <w:sz w:val="32"/>
          <w:szCs w:val="32"/>
          <w:highlight w:val="none"/>
        </w:rPr>
        <w:t>50万元，受威胁人口</w:t>
      </w:r>
      <w:r>
        <w:rPr>
          <w:rFonts w:hint="eastAsia" w:eastAsia="仿宋_GB2312"/>
          <w:sz w:val="32"/>
          <w:szCs w:val="32"/>
          <w:highlight w:val="none"/>
        </w:rPr>
        <w:t>总计5274人，受威胁财产总计</w:t>
      </w:r>
      <w:r>
        <w:rPr>
          <w:rFonts w:eastAsia="仿宋_GB2312"/>
          <w:sz w:val="32"/>
          <w:szCs w:val="32"/>
          <w:highlight w:val="none"/>
        </w:rPr>
        <w:t>43800.63</w:t>
      </w:r>
      <w:r>
        <w:rPr>
          <w:rFonts w:hint="eastAsia" w:eastAsia="仿宋_GB2312"/>
          <w:sz w:val="32"/>
          <w:szCs w:val="32"/>
          <w:highlight w:val="none"/>
        </w:rPr>
        <w:t>万元</w:t>
      </w:r>
      <w:r>
        <w:rPr>
          <w:rFonts w:eastAsia="仿宋_GB2312"/>
          <w:sz w:val="32"/>
          <w:szCs w:val="32"/>
          <w:highlight w:val="none"/>
        </w:rPr>
        <w:t>。</w:t>
      </w:r>
    </w:p>
    <w:p w14:paraId="174E48E3">
      <w:pPr>
        <w:spacing w:line="560" w:lineRule="exact"/>
        <w:ind w:firstLine="640" w:firstLineChars="200"/>
        <w:jc w:val="left"/>
        <w:rPr>
          <w:rFonts w:eastAsia="仿宋_GB2312"/>
          <w:bCs/>
          <w:sz w:val="28"/>
          <w:szCs w:val="28"/>
          <w:highlight w:val="none"/>
        </w:rPr>
      </w:pPr>
      <w:r>
        <w:rPr>
          <w:rFonts w:eastAsia="仿宋_GB2312"/>
          <w:sz w:val="32"/>
          <w:szCs w:val="32"/>
          <w:highlight w:val="none"/>
        </w:rPr>
        <w:t>据近几年开展的地质灾害更新调查、</w:t>
      </w:r>
      <w:r>
        <w:rPr>
          <w:rFonts w:hint="eastAsia" w:eastAsia="仿宋_GB2312"/>
          <w:sz w:val="32"/>
          <w:szCs w:val="32"/>
          <w:highlight w:val="none"/>
          <w:lang w:val="en-US" w:eastAsia="zh-CN"/>
        </w:rPr>
        <w:t>地质灾害风险普查、</w:t>
      </w:r>
      <w:r>
        <w:rPr>
          <w:rFonts w:eastAsia="仿宋_GB2312"/>
          <w:sz w:val="32"/>
          <w:szCs w:val="32"/>
          <w:highlight w:val="none"/>
        </w:rPr>
        <w:t>地质灾害危险性评估、历年巡查、检查及应急调查资料统计，截至202</w:t>
      </w:r>
      <w:r>
        <w:rPr>
          <w:rFonts w:hint="eastAsia" w:eastAsia="仿宋_GB2312"/>
          <w:sz w:val="32"/>
          <w:szCs w:val="32"/>
          <w:highlight w:val="none"/>
          <w:lang w:val="en-US" w:eastAsia="zh-CN"/>
        </w:rPr>
        <w:t>5</w:t>
      </w:r>
      <w:r>
        <w:rPr>
          <w:rFonts w:eastAsia="仿宋_GB2312"/>
          <w:sz w:val="32"/>
          <w:szCs w:val="32"/>
          <w:highlight w:val="none"/>
        </w:rPr>
        <w:t>年，全县</w:t>
      </w:r>
      <w:r>
        <w:rPr>
          <w:rFonts w:hint="eastAsia" w:eastAsia="仿宋_GB2312"/>
          <w:sz w:val="32"/>
          <w:szCs w:val="32"/>
          <w:highlight w:val="none"/>
        </w:rPr>
        <w:t>共分布各类地质灾害隐患点</w:t>
      </w:r>
      <w:r>
        <w:rPr>
          <w:rFonts w:hint="eastAsia" w:eastAsia="仿宋_GB2312"/>
          <w:sz w:val="32"/>
          <w:szCs w:val="32"/>
          <w:highlight w:val="none"/>
          <w:lang w:val="en-US" w:eastAsia="zh-CN"/>
        </w:rPr>
        <w:t>510</w:t>
      </w:r>
      <w:r>
        <w:rPr>
          <w:rFonts w:eastAsia="仿宋_GB2312"/>
          <w:sz w:val="32"/>
          <w:szCs w:val="32"/>
          <w:highlight w:val="none"/>
        </w:rPr>
        <w:t>处，重要</w:t>
      </w:r>
      <w:r>
        <w:rPr>
          <w:rFonts w:hint="eastAsia" w:eastAsia="仿宋_GB2312"/>
          <w:sz w:val="32"/>
          <w:szCs w:val="32"/>
          <w:highlight w:val="none"/>
        </w:rPr>
        <w:t>地质灾害隐患点56</w:t>
      </w:r>
      <w:r>
        <w:rPr>
          <w:rFonts w:eastAsia="仿宋_GB2312"/>
          <w:sz w:val="32"/>
          <w:szCs w:val="32"/>
          <w:highlight w:val="none"/>
        </w:rPr>
        <w:t>处，一般</w:t>
      </w:r>
      <w:r>
        <w:rPr>
          <w:rFonts w:hint="eastAsia" w:eastAsia="仿宋_GB2312"/>
          <w:sz w:val="32"/>
          <w:szCs w:val="32"/>
          <w:highlight w:val="none"/>
        </w:rPr>
        <w:t>地质灾害隐患点45</w:t>
      </w:r>
      <w:r>
        <w:rPr>
          <w:rFonts w:hint="eastAsia" w:eastAsia="仿宋_GB2312"/>
          <w:sz w:val="32"/>
          <w:szCs w:val="32"/>
          <w:highlight w:val="none"/>
          <w:lang w:val="en-US" w:eastAsia="zh-CN"/>
        </w:rPr>
        <w:t>4</w:t>
      </w:r>
      <w:r>
        <w:rPr>
          <w:rFonts w:eastAsia="仿宋_GB2312"/>
          <w:sz w:val="32"/>
          <w:szCs w:val="32"/>
          <w:highlight w:val="none"/>
        </w:rPr>
        <w:t>处</w:t>
      </w:r>
      <w:r>
        <w:rPr>
          <w:rFonts w:hint="eastAsia" w:eastAsia="仿宋_GB2312"/>
          <w:sz w:val="32"/>
          <w:szCs w:val="32"/>
          <w:highlight w:val="none"/>
        </w:rPr>
        <w:t>：</w:t>
      </w:r>
      <w:r>
        <w:rPr>
          <w:rFonts w:hint="eastAsia" w:ascii="Times New Roman" w:hAnsi="Times New Roman" w:eastAsia="仿宋" w:cs="Times New Roman"/>
          <w:color w:val="000000"/>
          <w:sz w:val="32"/>
          <w:szCs w:val="32"/>
          <w:highlight w:val="none"/>
        </w:rPr>
        <w:t>其中崩塌200处，占地质灾害点总数的39.</w:t>
      </w:r>
      <w:r>
        <w:rPr>
          <w:rFonts w:hint="eastAsia" w:ascii="Times New Roman" w:hAnsi="Times New Roman" w:eastAsia="仿宋" w:cs="Times New Roman"/>
          <w:color w:val="000000"/>
          <w:sz w:val="32"/>
          <w:szCs w:val="32"/>
          <w:highlight w:val="none"/>
          <w:lang w:val="en-US" w:eastAsia="zh-CN"/>
        </w:rPr>
        <w:t>22</w:t>
      </w:r>
      <w:r>
        <w:rPr>
          <w:rFonts w:hint="eastAsia" w:ascii="Times New Roman" w:hAnsi="Times New Roman" w:eastAsia="仿宋" w:cs="Times New Roman"/>
          <w:color w:val="000000"/>
          <w:sz w:val="32"/>
          <w:szCs w:val="32"/>
          <w:highlight w:val="none"/>
        </w:rPr>
        <w:t>%</w:t>
      </w:r>
      <w:r>
        <w:rPr>
          <w:rFonts w:hint="eastAsia" w:ascii="Times New Roman" w:hAnsi="Times New Roman" w:eastAsia="仿宋" w:cs="Times New Roman"/>
          <w:color w:val="000000"/>
          <w:sz w:val="32"/>
          <w:szCs w:val="32"/>
          <w:highlight w:val="none"/>
          <w:lang w:eastAsia="zh-CN"/>
        </w:rPr>
        <w:t>；</w:t>
      </w:r>
      <w:r>
        <w:rPr>
          <w:rFonts w:hint="eastAsia" w:ascii="Times New Roman" w:hAnsi="Times New Roman" w:eastAsia="仿宋" w:cs="Times New Roman"/>
          <w:color w:val="000000"/>
          <w:sz w:val="32"/>
          <w:szCs w:val="32"/>
          <w:highlight w:val="none"/>
        </w:rPr>
        <w:t>泥石流</w:t>
      </w:r>
      <w:r>
        <w:rPr>
          <w:rFonts w:hint="eastAsia" w:ascii="Times New Roman" w:hAnsi="Times New Roman" w:eastAsia="仿宋" w:cs="Times New Roman"/>
          <w:color w:val="000000"/>
          <w:sz w:val="32"/>
          <w:szCs w:val="32"/>
          <w:highlight w:val="none"/>
          <w:lang w:val="en-US" w:eastAsia="zh-CN"/>
        </w:rPr>
        <w:t>302</w:t>
      </w:r>
      <w:r>
        <w:rPr>
          <w:rFonts w:hint="eastAsia" w:ascii="Times New Roman" w:hAnsi="Times New Roman" w:eastAsia="仿宋" w:cs="Times New Roman"/>
          <w:color w:val="000000"/>
          <w:sz w:val="32"/>
          <w:szCs w:val="32"/>
          <w:highlight w:val="none"/>
        </w:rPr>
        <w:t>处，占地质灾害点总数的5</w:t>
      </w:r>
      <w:r>
        <w:rPr>
          <w:rFonts w:hint="eastAsia" w:ascii="Times New Roman" w:hAnsi="Times New Roman" w:eastAsia="仿宋" w:cs="Times New Roman"/>
          <w:color w:val="000000"/>
          <w:sz w:val="32"/>
          <w:szCs w:val="32"/>
          <w:highlight w:val="none"/>
          <w:lang w:val="en-US" w:eastAsia="zh-CN"/>
        </w:rPr>
        <w:t>9.22</w:t>
      </w:r>
      <w:r>
        <w:rPr>
          <w:rFonts w:hint="eastAsia" w:ascii="Times New Roman" w:hAnsi="Times New Roman" w:eastAsia="仿宋" w:cs="Times New Roman"/>
          <w:color w:val="000000"/>
          <w:sz w:val="32"/>
          <w:szCs w:val="32"/>
          <w:highlight w:val="none"/>
        </w:rPr>
        <w:t>%</w:t>
      </w:r>
      <w:r>
        <w:rPr>
          <w:rFonts w:hint="eastAsia" w:ascii="Times New Roman" w:hAnsi="Times New Roman" w:eastAsia="仿宋" w:cs="Times New Roman"/>
          <w:color w:val="000000"/>
          <w:sz w:val="32"/>
          <w:szCs w:val="32"/>
          <w:highlight w:val="none"/>
          <w:lang w:val="en-US" w:eastAsia="zh-CN"/>
        </w:rPr>
        <w:t>；</w:t>
      </w:r>
      <w:r>
        <w:rPr>
          <w:rFonts w:hint="eastAsia" w:ascii="Times New Roman" w:hAnsi="Times New Roman" w:eastAsia="仿宋" w:cs="Times New Roman"/>
          <w:color w:val="000000"/>
          <w:sz w:val="32"/>
          <w:szCs w:val="32"/>
          <w:highlight w:val="none"/>
        </w:rPr>
        <w:t>滑坡8处，占地质灾害点总数的1.5</w:t>
      </w:r>
      <w:r>
        <w:rPr>
          <w:rFonts w:hint="eastAsia" w:ascii="Times New Roman" w:hAnsi="Times New Roman" w:eastAsia="仿宋" w:cs="Times New Roman"/>
          <w:color w:val="000000"/>
          <w:sz w:val="32"/>
          <w:szCs w:val="32"/>
          <w:highlight w:val="none"/>
          <w:lang w:val="en-US" w:eastAsia="zh-CN"/>
        </w:rPr>
        <w:t>6</w:t>
      </w:r>
      <w:r>
        <w:rPr>
          <w:rFonts w:hint="eastAsia" w:ascii="Times New Roman" w:hAnsi="Times New Roman" w:eastAsia="仿宋" w:cs="Times New Roman"/>
          <w:color w:val="000000"/>
          <w:sz w:val="32"/>
          <w:szCs w:val="32"/>
          <w:highlight w:val="none"/>
        </w:rPr>
        <w:t>%。</w:t>
      </w:r>
      <w:r>
        <w:rPr>
          <w:rFonts w:eastAsia="仿宋_GB2312"/>
          <w:sz w:val="32"/>
          <w:szCs w:val="32"/>
          <w:highlight w:val="none"/>
        </w:rPr>
        <w:t>各乡</w:t>
      </w:r>
      <w:r>
        <w:rPr>
          <w:rFonts w:hint="eastAsia" w:eastAsia="仿宋_GB2312"/>
          <w:sz w:val="32"/>
          <w:szCs w:val="32"/>
          <w:highlight w:val="none"/>
        </w:rPr>
        <w:t>（</w:t>
      </w:r>
      <w:r>
        <w:rPr>
          <w:rFonts w:eastAsia="仿宋_GB2312"/>
          <w:sz w:val="32"/>
          <w:szCs w:val="32"/>
          <w:highlight w:val="none"/>
        </w:rPr>
        <w:t>镇</w:t>
      </w:r>
      <w:r>
        <w:rPr>
          <w:rFonts w:hint="eastAsia" w:eastAsia="仿宋_GB2312"/>
          <w:sz w:val="32"/>
          <w:szCs w:val="32"/>
          <w:highlight w:val="none"/>
        </w:rPr>
        <w:t>、场）</w:t>
      </w:r>
      <w:r>
        <w:rPr>
          <w:rFonts w:eastAsia="仿宋_GB2312"/>
          <w:sz w:val="32"/>
          <w:szCs w:val="32"/>
          <w:highlight w:val="none"/>
        </w:rPr>
        <w:t>地质灾害点类型及分布情况统计见表1-</w:t>
      </w:r>
      <w:r>
        <w:rPr>
          <w:rFonts w:hint="eastAsia" w:eastAsia="仿宋_GB2312"/>
          <w:sz w:val="32"/>
          <w:szCs w:val="32"/>
          <w:highlight w:val="none"/>
        </w:rPr>
        <w:t>1</w:t>
      </w:r>
      <w:r>
        <w:rPr>
          <w:rFonts w:eastAsia="仿宋_GB2312"/>
          <w:sz w:val="32"/>
          <w:szCs w:val="32"/>
          <w:highlight w:val="none"/>
        </w:rPr>
        <w:t>，重要地质灾害隐患点见表1-</w:t>
      </w:r>
      <w:r>
        <w:rPr>
          <w:rFonts w:hint="eastAsia" w:eastAsia="仿宋_GB2312"/>
          <w:sz w:val="32"/>
          <w:szCs w:val="32"/>
          <w:highlight w:val="none"/>
        </w:rPr>
        <w:t>2</w:t>
      </w:r>
      <w:r>
        <w:rPr>
          <w:rFonts w:eastAsia="仿宋_GB2312"/>
          <w:sz w:val="32"/>
          <w:szCs w:val="32"/>
          <w:highlight w:val="none"/>
        </w:rPr>
        <w:t>。</w:t>
      </w:r>
    </w:p>
    <w:p w14:paraId="3807D84B">
      <w:pPr>
        <w:spacing w:before="120" w:beforeLines="50" w:line="320" w:lineRule="atLeast"/>
        <w:jc w:val="center"/>
        <w:rPr>
          <w:rFonts w:eastAsia="仿宋_GB2312"/>
          <w:b/>
          <w:sz w:val="24"/>
          <w:highlight w:val="none"/>
        </w:rPr>
      </w:pPr>
      <w:r>
        <w:rPr>
          <w:rFonts w:eastAsia="仿宋_GB2312"/>
          <w:b/>
          <w:sz w:val="24"/>
          <w:highlight w:val="none"/>
        </w:rPr>
        <w:t>表1-</w:t>
      </w:r>
      <w:r>
        <w:rPr>
          <w:rFonts w:hint="eastAsia" w:eastAsia="仿宋_GB2312"/>
          <w:b/>
          <w:sz w:val="24"/>
          <w:highlight w:val="none"/>
        </w:rPr>
        <w:t>1</w:t>
      </w:r>
      <w:r>
        <w:rPr>
          <w:rFonts w:eastAsia="仿宋_GB2312"/>
          <w:b/>
          <w:sz w:val="24"/>
          <w:highlight w:val="none"/>
        </w:rPr>
        <w:t xml:space="preserve"> 地质灾害类型及分布情况统计表</w:t>
      </w:r>
    </w:p>
    <w:tbl>
      <w:tblPr>
        <w:tblStyle w:val="32"/>
        <w:tblW w:w="4203"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781"/>
        <w:gridCol w:w="925"/>
        <w:gridCol w:w="925"/>
        <w:gridCol w:w="925"/>
        <w:gridCol w:w="934"/>
        <w:gridCol w:w="1108"/>
        <w:gridCol w:w="1208"/>
      </w:tblGrid>
      <w:tr w14:paraId="5A2B89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1141" w:type="pct"/>
            <w:vMerge w:val="restart"/>
            <w:shd w:val="clear" w:color="auto" w:fill="auto"/>
            <w:vAlign w:val="center"/>
          </w:tcPr>
          <w:p w14:paraId="2C28D435">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乡（镇、场）</w:t>
            </w:r>
          </w:p>
        </w:tc>
        <w:tc>
          <w:tcPr>
            <w:tcW w:w="592" w:type="pct"/>
            <w:shd w:val="clear" w:color="auto" w:fill="auto"/>
            <w:vAlign w:val="center"/>
          </w:tcPr>
          <w:p w14:paraId="545CA02E">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面积</w:t>
            </w:r>
          </w:p>
        </w:tc>
        <w:tc>
          <w:tcPr>
            <w:tcW w:w="1782" w:type="pct"/>
            <w:gridSpan w:val="3"/>
            <w:shd w:val="clear" w:color="auto" w:fill="auto"/>
            <w:vAlign w:val="center"/>
          </w:tcPr>
          <w:p w14:paraId="633F38BA">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地质灾害点</w:t>
            </w:r>
          </w:p>
        </w:tc>
        <w:tc>
          <w:tcPr>
            <w:tcW w:w="709" w:type="pct"/>
            <w:vMerge w:val="restart"/>
            <w:shd w:val="clear" w:color="auto" w:fill="auto"/>
            <w:vAlign w:val="center"/>
          </w:tcPr>
          <w:p w14:paraId="5C5879B1">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合计</w:t>
            </w:r>
          </w:p>
        </w:tc>
        <w:tc>
          <w:tcPr>
            <w:tcW w:w="773" w:type="pct"/>
            <w:shd w:val="clear" w:color="auto" w:fill="auto"/>
            <w:vAlign w:val="center"/>
          </w:tcPr>
          <w:p w14:paraId="5918B8B4">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占总数百分比</w:t>
            </w:r>
          </w:p>
        </w:tc>
      </w:tr>
      <w:tr w14:paraId="52420F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vMerge w:val="continue"/>
            <w:vAlign w:val="center"/>
          </w:tcPr>
          <w:p w14:paraId="0F26DF31">
            <w:pPr>
              <w:pStyle w:val="82"/>
              <w:bidi w:val="0"/>
              <w:rPr>
                <w:rFonts w:hint="eastAsia" w:ascii="Times New Roman" w:hAnsi="Times New Roman" w:eastAsia="仿宋" w:cs="Times New Roman"/>
                <w:sz w:val="24"/>
                <w:szCs w:val="24"/>
                <w:highlight w:val="none"/>
              </w:rPr>
            </w:pPr>
          </w:p>
        </w:tc>
        <w:tc>
          <w:tcPr>
            <w:tcW w:w="592" w:type="pct"/>
            <w:shd w:val="clear" w:color="auto" w:fill="auto"/>
            <w:vAlign w:val="center"/>
          </w:tcPr>
          <w:p w14:paraId="70692FAC">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km</w:t>
            </w:r>
            <w:r>
              <w:rPr>
                <w:rFonts w:hint="eastAsia" w:ascii="Times New Roman" w:hAnsi="Times New Roman" w:eastAsia="仿宋" w:cs="Times New Roman"/>
                <w:sz w:val="24"/>
                <w:szCs w:val="24"/>
                <w:highlight w:val="none"/>
                <w:vertAlign w:val="superscript"/>
              </w:rPr>
              <w:t>2</w:t>
            </w:r>
          </w:p>
        </w:tc>
        <w:tc>
          <w:tcPr>
            <w:tcW w:w="592" w:type="pct"/>
            <w:shd w:val="clear" w:color="auto" w:fill="auto"/>
            <w:vAlign w:val="center"/>
          </w:tcPr>
          <w:p w14:paraId="33EE85FD">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崩塌</w:t>
            </w:r>
          </w:p>
        </w:tc>
        <w:tc>
          <w:tcPr>
            <w:tcW w:w="592" w:type="pct"/>
            <w:shd w:val="clear" w:color="auto" w:fill="auto"/>
            <w:vAlign w:val="center"/>
          </w:tcPr>
          <w:p w14:paraId="11EEBDAA">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滑坡</w:t>
            </w:r>
          </w:p>
        </w:tc>
        <w:tc>
          <w:tcPr>
            <w:tcW w:w="597" w:type="pct"/>
            <w:shd w:val="clear" w:color="auto" w:fill="auto"/>
            <w:vAlign w:val="center"/>
          </w:tcPr>
          <w:p w14:paraId="3EDBC13A">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泥石流</w:t>
            </w:r>
          </w:p>
        </w:tc>
        <w:tc>
          <w:tcPr>
            <w:tcW w:w="709" w:type="pct"/>
            <w:vMerge w:val="continue"/>
            <w:vAlign w:val="center"/>
          </w:tcPr>
          <w:p w14:paraId="01394416">
            <w:pPr>
              <w:pStyle w:val="82"/>
              <w:bidi w:val="0"/>
              <w:rPr>
                <w:rFonts w:hint="eastAsia" w:ascii="Times New Roman" w:hAnsi="Times New Roman" w:eastAsia="仿宋" w:cs="Times New Roman"/>
                <w:sz w:val="24"/>
                <w:szCs w:val="24"/>
                <w:highlight w:val="none"/>
              </w:rPr>
            </w:pPr>
          </w:p>
        </w:tc>
        <w:tc>
          <w:tcPr>
            <w:tcW w:w="773" w:type="pct"/>
            <w:shd w:val="clear" w:color="auto" w:fill="auto"/>
            <w:vAlign w:val="center"/>
          </w:tcPr>
          <w:p w14:paraId="5FD5AA07">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w:t>
            </w:r>
          </w:p>
        </w:tc>
      </w:tr>
      <w:tr w14:paraId="300260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13A16214">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木吉乡</w:t>
            </w:r>
          </w:p>
        </w:tc>
        <w:tc>
          <w:tcPr>
            <w:tcW w:w="942" w:type="dxa"/>
            <w:shd w:val="clear" w:color="auto" w:fill="auto"/>
            <w:vAlign w:val="center"/>
          </w:tcPr>
          <w:p w14:paraId="43A05F44">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6958</w:t>
            </w:r>
          </w:p>
        </w:tc>
        <w:tc>
          <w:tcPr>
            <w:tcW w:w="942" w:type="dxa"/>
            <w:shd w:val="clear" w:color="auto" w:fill="auto"/>
            <w:vAlign w:val="center"/>
          </w:tcPr>
          <w:p w14:paraId="53F441D6">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w:t>
            </w:r>
          </w:p>
        </w:tc>
        <w:tc>
          <w:tcPr>
            <w:tcW w:w="942" w:type="dxa"/>
            <w:shd w:val="clear" w:color="auto" w:fill="auto"/>
            <w:vAlign w:val="center"/>
          </w:tcPr>
          <w:p w14:paraId="3691E295">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50" w:type="dxa"/>
            <w:shd w:val="clear" w:color="auto" w:fill="auto"/>
            <w:vAlign w:val="center"/>
          </w:tcPr>
          <w:p w14:paraId="79142B47">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31</w:t>
            </w:r>
          </w:p>
        </w:tc>
        <w:tc>
          <w:tcPr>
            <w:tcW w:w="1129" w:type="dxa"/>
            <w:shd w:val="clear" w:color="auto" w:fill="auto"/>
            <w:vAlign w:val="center"/>
          </w:tcPr>
          <w:p w14:paraId="482EA71B">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46</w:t>
            </w:r>
          </w:p>
        </w:tc>
        <w:tc>
          <w:tcPr>
            <w:tcW w:w="1230" w:type="dxa"/>
            <w:shd w:val="clear" w:color="auto" w:fill="auto"/>
            <w:vAlign w:val="center"/>
          </w:tcPr>
          <w:p w14:paraId="79FB8B45">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9.02%</w:t>
            </w:r>
          </w:p>
        </w:tc>
      </w:tr>
      <w:tr w14:paraId="458701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20225DB5">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布伦口乡</w:t>
            </w:r>
          </w:p>
        </w:tc>
        <w:tc>
          <w:tcPr>
            <w:tcW w:w="942" w:type="dxa"/>
            <w:shd w:val="clear" w:color="auto" w:fill="auto"/>
            <w:vAlign w:val="center"/>
          </w:tcPr>
          <w:p w14:paraId="6C24D6A0">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5705</w:t>
            </w:r>
          </w:p>
        </w:tc>
        <w:tc>
          <w:tcPr>
            <w:tcW w:w="942" w:type="dxa"/>
            <w:shd w:val="clear" w:color="auto" w:fill="auto"/>
            <w:vAlign w:val="center"/>
          </w:tcPr>
          <w:p w14:paraId="0D44815E">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71</w:t>
            </w:r>
          </w:p>
        </w:tc>
        <w:tc>
          <w:tcPr>
            <w:tcW w:w="942" w:type="dxa"/>
            <w:shd w:val="clear" w:color="auto" w:fill="auto"/>
            <w:vAlign w:val="center"/>
          </w:tcPr>
          <w:p w14:paraId="3A090733">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2</w:t>
            </w:r>
          </w:p>
        </w:tc>
        <w:tc>
          <w:tcPr>
            <w:tcW w:w="950" w:type="dxa"/>
            <w:shd w:val="clear" w:color="auto" w:fill="auto"/>
            <w:vAlign w:val="center"/>
          </w:tcPr>
          <w:p w14:paraId="41CE5885">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83</w:t>
            </w:r>
          </w:p>
        </w:tc>
        <w:tc>
          <w:tcPr>
            <w:tcW w:w="1129" w:type="dxa"/>
            <w:shd w:val="clear" w:color="auto" w:fill="auto"/>
            <w:vAlign w:val="center"/>
          </w:tcPr>
          <w:p w14:paraId="70BAB4F2">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156</w:t>
            </w:r>
          </w:p>
        </w:tc>
        <w:tc>
          <w:tcPr>
            <w:tcW w:w="1230" w:type="dxa"/>
            <w:shd w:val="clear" w:color="auto" w:fill="auto"/>
            <w:vAlign w:val="center"/>
          </w:tcPr>
          <w:p w14:paraId="69C2D1D9">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30.59%</w:t>
            </w:r>
          </w:p>
        </w:tc>
      </w:tr>
      <w:tr w14:paraId="49A3FB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6C58BFA1">
            <w:pPr>
              <w:pStyle w:val="82"/>
              <w:bidi w:val="0"/>
              <w:rPr>
                <w:rFonts w:hint="eastAsia" w:ascii="Times New Roman" w:hAnsi="Times New Roman" w:eastAsia="仿宋" w:cs="Times New Roman"/>
                <w:sz w:val="24"/>
                <w:szCs w:val="24"/>
                <w:highlight w:val="none"/>
                <w:lang w:eastAsia="zh-CN"/>
              </w:rPr>
            </w:pPr>
            <w:r>
              <w:rPr>
                <w:rFonts w:hint="eastAsia" w:ascii="Times New Roman" w:hAnsi="Times New Roman" w:eastAsia="仿宋" w:cs="Times New Roman"/>
                <w:sz w:val="24"/>
                <w:szCs w:val="24"/>
                <w:highlight w:val="none"/>
                <w:lang w:eastAsia="zh-CN"/>
              </w:rPr>
              <w:t>克孜勒陶镇</w:t>
            </w:r>
          </w:p>
        </w:tc>
        <w:tc>
          <w:tcPr>
            <w:tcW w:w="942" w:type="dxa"/>
            <w:shd w:val="clear" w:color="auto" w:fill="auto"/>
            <w:vAlign w:val="center"/>
          </w:tcPr>
          <w:p w14:paraId="666352F2">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5968</w:t>
            </w:r>
          </w:p>
        </w:tc>
        <w:tc>
          <w:tcPr>
            <w:tcW w:w="942" w:type="dxa"/>
            <w:shd w:val="clear" w:color="auto" w:fill="auto"/>
            <w:vAlign w:val="center"/>
          </w:tcPr>
          <w:p w14:paraId="545D1F15">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40</w:t>
            </w:r>
          </w:p>
        </w:tc>
        <w:tc>
          <w:tcPr>
            <w:tcW w:w="942" w:type="dxa"/>
            <w:shd w:val="clear" w:color="auto" w:fill="auto"/>
            <w:vAlign w:val="center"/>
          </w:tcPr>
          <w:p w14:paraId="276B5C0B">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6</w:t>
            </w:r>
          </w:p>
        </w:tc>
        <w:tc>
          <w:tcPr>
            <w:tcW w:w="950" w:type="dxa"/>
            <w:shd w:val="clear" w:color="auto" w:fill="auto"/>
            <w:vAlign w:val="center"/>
          </w:tcPr>
          <w:p w14:paraId="57F68D24">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90</w:t>
            </w:r>
          </w:p>
        </w:tc>
        <w:tc>
          <w:tcPr>
            <w:tcW w:w="1129" w:type="dxa"/>
            <w:shd w:val="clear" w:color="auto" w:fill="auto"/>
            <w:vAlign w:val="center"/>
          </w:tcPr>
          <w:p w14:paraId="4BE675C9">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136</w:t>
            </w:r>
          </w:p>
        </w:tc>
        <w:tc>
          <w:tcPr>
            <w:tcW w:w="1230" w:type="dxa"/>
            <w:shd w:val="clear" w:color="auto" w:fill="auto"/>
            <w:vAlign w:val="center"/>
          </w:tcPr>
          <w:p w14:paraId="2C6F6EBA">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26.67%</w:t>
            </w:r>
          </w:p>
        </w:tc>
      </w:tr>
      <w:tr w14:paraId="5973FA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1D5824B1">
            <w:pPr>
              <w:pStyle w:val="82"/>
              <w:bidi w:val="0"/>
              <w:rPr>
                <w:rFonts w:hint="eastAsia" w:ascii="Times New Roman" w:hAnsi="Times New Roman" w:eastAsia="仿宋" w:cs="Times New Roman"/>
                <w:sz w:val="24"/>
                <w:szCs w:val="24"/>
                <w:highlight w:val="none"/>
                <w:lang w:eastAsia="zh-CN"/>
              </w:rPr>
            </w:pPr>
            <w:r>
              <w:rPr>
                <w:rFonts w:hint="eastAsia" w:ascii="Times New Roman" w:hAnsi="Times New Roman" w:eastAsia="仿宋" w:cs="Times New Roman"/>
                <w:sz w:val="24"/>
                <w:szCs w:val="24"/>
                <w:highlight w:val="none"/>
                <w:lang w:eastAsia="zh-CN"/>
              </w:rPr>
              <w:t>恰尔隆镇</w:t>
            </w:r>
          </w:p>
        </w:tc>
        <w:tc>
          <w:tcPr>
            <w:tcW w:w="942" w:type="dxa"/>
            <w:shd w:val="clear" w:color="auto" w:fill="auto"/>
            <w:vAlign w:val="center"/>
          </w:tcPr>
          <w:p w14:paraId="015C75B6">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2505</w:t>
            </w:r>
          </w:p>
        </w:tc>
        <w:tc>
          <w:tcPr>
            <w:tcW w:w="942" w:type="dxa"/>
            <w:shd w:val="clear" w:color="auto" w:fill="auto"/>
            <w:vAlign w:val="center"/>
          </w:tcPr>
          <w:p w14:paraId="1D4C7291">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28</w:t>
            </w:r>
          </w:p>
        </w:tc>
        <w:tc>
          <w:tcPr>
            <w:tcW w:w="942" w:type="dxa"/>
            <w:shd w:val="clear" w:color="auto" w:fill="auto"/>
            <w:vAlign w:val="center"/>
          </w:tcPr>
          <w:p w14:paraId="1326021E">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50" w:type="dxa"/>
            <w:shd w:val="clear" w:color="auto" w:fill="auto"/>
            <w:vAlign w:val="center"/>
          </w:tcPr>
          <w:p w14:paraId="7E4E0293">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41</w:t>
            </w:r>
          </w:p>
        </w:tc>
        <w:tc>
          <w:tcPr>
            <w:tcW w:w="1129" w:type="dxa"/>
            <w:shd w:val="clear" w:color="auto" w:fill="auto"/>
            <w:vAlign w:val="center"/>
          </w:tcPr>
          <w:p w14:paraId="34CDA058">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69</w:t>
            </w:r>
          </w:p>
        </w:tc>
        <w:tc>
          <w:tcPr>
            <w:tcW w:w="1230" w:type="dxa"/>
            <w:shd w:val="clear" w:color="auto" w:fill="auto"/>
            <w:vAlign w:val="center"/>
          </w:tcPr>
          <w:p w14:paraId="3546172D">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13.53%</w:t>
            </w:r>
          </w:p>
        </w:tc>
      </w:tr>
      <w:tr w14:paraId="68C017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413CDC4C">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塔尔乡</w:t>
            </w:r>
          </w:p>
        </w:tc>
        <w:tc>
          <w:tcPr>
            <w:tcW w:w="942" w:type="dxa"/>
            <w:shd w:val="clear" w:color="auto" w:fill="auto"/>
            <w:vAlign w:val="center"/>
          </w:tcPr>
          <w:p w14:paraId="2E6FC42F">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940</w:t>
            </w:r>
          </w:p>
        </w:tc>
        <w:tc>
          <w:tcPr>
            <w:tcW w:w="942" w:type="dxa"/>
            <w:shd w:val="clear" w:color="auto" w:fill="auto"/>
            <w:vAlign w:val="center"/>
          </w:tcPr>
          <w:p w14:paraId="66ECEE2E">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29</w:t>
            </w:r>
          </w:p>
        </w:tc>
        <w:tc>
          <w:tcPr>
            <w:tcW w:w="942" w:type="dxa"/>
            <w:shd w:val="clear" w:color="auto" w:fill="auto"/>
            <w:vAlign w:val="center"/>
          </w:tcPr>
          <w:p w14:paraId="0617F998">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50" w:type="dxa"/>
            <w:shd w:val="clear" w:color="auto" w:fill="auto"/>
            <w:vAlign w:val="center"/>
          </w:tcPr>
          <w:p w14:paraId="0FE73793">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16</w:t>
            </w:r>
          </w:p>
        </w:tc>
        <w:tc>
          <w:tcPr>
            <w:tcW w:w="1129" w:type="dxa"/>
            <w:shd w:val="clear" w:color="auto" w:fill="auto"/>
            <w:vAlign w:val="center"/>
          </w:tcPr>
          <w:p w14:paraId="6E17F794">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45</w:t>
            </w:r>
          </w:p>
        </w:tc>
        <w:tc>
          <w:tcPr>
            <w:tcW w:w="1230" w:type="dxa"/>
            <w:shd w:val="clear" w:color="auto" w:fill="auto"/>
            <w:vAlign w:val="center"/>
          </w:tcPr>
          <w:p w14:paraId="7690D625">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8.82%</w:t>
            </w:r>
          </w:p>
        </w:tc>
      </w:tr>
      <w:tr w14:paraId="3C5805A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7BC34C89">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奥依塔克镇</w:t>
            </w:r>
          </w:p>
        </w:tc>
        <w:tc>
          <w:tcPr>
            <w:tcW w:w="942" w:type="dxa"/>
            <w:shd w:val="clear" w:color="auto" w:fill="auto"/>
            <w:vAlign w:val="center"/>
          </w:tcPr>
          <w:p w14:paraId="02DA7F9B">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888</w:t>
            </w:r>
          </w:p>
        </w:tc>
        <w:tc>
          <w:tcPr>
            <w:tcW w:w="942" w:type="dxa"/>
            <w:shd w:val="clear" w:color="auto" w:fill="auto"/>
            <w:vAlign w:val="center"/>
          </w:tcPr>
          <w:p w14:paraId="40D4670E">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17</w:t>
            </w:r>
          </w:p>
        </w:tc>
        <w:tc>
          <w:tcPr>
            <w:tcW w:w="942" w:type="dxa"/>
            <w:shd w:val="clear" w:color="auto" w:fill="auto"/>
            <w:vAlign w:val="center"/>
          </w:tcPr>
          <w:p w14:paraId="1ED41E71">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50" w:type="dxa"/>
            <w:shd w:val="clear" w:color="auto" w:fill="auto"/>
            <w:vAlign w:val="center"/>
          </w:tcPr>
          <w:p w14:paraId="18DBA733">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30</w:t>
            </w:r>
          </w:p>
        </w:tc>
        <w:tc>
          <w:tcPr>
            <w:tcW w:w="1129" w:type="dxa"/>
            <w:shd w:val="clear" w:color="auto" w:fill="auto"/>
            <w:vAlign w:val="center"/>
          </w:tcPr>
          <w:p w14:paraId="477B5B77">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47</w:t>
            </w:r>
          </w:p>
        </w:tc>
        <w:tc>
          <w:tcPr>
            <w:tcW w:w="1230" w:type="dxa"/>
            <w:shd w:val="clear" w:color="auto" w:fill="auto"/>
            <w:vAlign w:val="center"/>
          </w:tcPr>
          <w:p w14:paraId="04552A0D">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9.22%</w:t>
            </w:r>
          </w:p>
        </w:tc>
      </w:tr>
      <w:tr w14:paraId="777F86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141" w:type="pct"/>
            <w:shd w:val="clear" w:color="auto" w:fill="auto"/>
            <w:vAlign w:val="center"/>
          </w:tcPr>
          <w:p w14:paraId="7CAE7B77">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巴仁乡</w:t>
            </w:r>
          </w:p>
        </w:tc>
        <w:tc>
          <w:tcPr>
            <w:tcW w:w="942" w:type="dxa"/>
            <w:shd w:val="clear" w:color="auto" w:fill="auto"/>
            <w:vAlign w:val="center"/>
          </w:tcPr>
          <w:p w14:paraId="302B92A1">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820</w:t>
            </w:r>
          </w:p>
        </w:tc>
        <w:tc>
          <w:tcPr>
            <w:tcW w:w="942" w:type="dxa"/>
            <w:shd w:val="clear" w:color="auto" w:fill="auto"/>
            <w:vAlign w:val="center"/>
          </w:tcPr>
          <w:p w14:paraId="6302D838">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42" w:type="dxa"/>
            <w:shd w:val="clear" w:color="auto" w:fill="auto"/>
            <w:vAlign w:val="center"/>
          </w:tcPr>
          <w:p w14:paraId="6C91F09B">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50" w:type="dxa"/>
            <w:shd w:val="clear" w:color="auto" w:fill="auto"/>
            <w:vAlign w:val="center"/>
          </w:tcPr>
          <w:p w14:paraId="395F01F6">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11</w:t>
            </w:r>
          </w:p>
        </w:tc>
        <w:tc>
          <w:tcPr>
            <w:tcW w:w="1129" w:type="dxa"/>
            <w:shd w:val="clear" w:color="auto" w:fill="auto"/>
            <w:vAlign w:val="center"/>
          </w:tcPr>
          <w:p w14:paraId="3617D3AA">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11</w:t>
            </w:r>
          </w:p>
        </w:tc>
        <w:tc>
          <w:tcPr>
            <w:tcW w:w="1230" w:type="dxa"/>
            <w:shd w:val="clear" w:color="auto" w:fill="auto"/>
            <w:vAlign w:val="center"/>
          </w:tcPr>
          <w:p w14:paraId="4A3DE4C5">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2.16%</w:t>
            </w:r>
          </w:p>
        </w:tc>
      </w:tr>
      <w:tr w14:paraId="64EFDE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7B3F2E77">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玉麦乡</w:t>
            </w:r>
          </w:p>
        </w:tc>
        <w:tc>
          <w:tcPr>
            <w:tcW w:w="942" w:type="dxa"/>
            <w:shd w:val="clear" w:color="auto" w:fill="auto"/>
            <w:vAlign w:val="center"/>
          </w:tcPr>
          <w:p w14:paraId="61CE7BC0">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208</w:t>
            </w:r>
          </w:p>
        </w:tc>
        <w:tc>
          <w:tcPr>
            <w:tcW w:w="942" w:type="dxa"/>
            <w:shd w:val="clear" w:color="auto" w:fill="auto"/>
            <w:vAlign w:val="center"/>
          </w:tcPr>
          <w:p w14:paraId="27278148">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42" w:type="dxa"/>
            <w:shd w:val="clear" w:color="auto" w:fill="auto"/>
            <w:vAlign w:val="center"/>
          </w:tcPr>
          <w:p w14:paraId="65950ED9">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50" w:type="dxa"/>
            <w:shd w:val="clear" w:color="auto" w:fill="auto"/>
            <w:vAlign w:val="center"/>
          </w:tcPr>
          <w:p w14:paraId="77EF7E03">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29" w:type="dxa"/>
            <w:shd w:val="clear" w:color="auto" w:fill="auto"/>
            <w:vAlign w:val="center"/>
          </w:tcPr>
          <w:p w14:paraId="0E76323A">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230" w:type="dxa"/>
            <w:shd w:val="clear" w:color="auto" w:fill="auto"/>
            <w:vAlign w:val="center"/>
          </w:tcPr>
          <w:p w14:paraId="0F4F3DF3">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48B861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1BEA5227">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皮拉勒乡</w:t>
            </w:r>
          </w:p>
        </w:tc>
        <w:tc>
          <w:tcPr>
            <w:tcW w:w="942" w:type="dxa"/>
            <w:shd w:val="clear" w:color="auto" w:fill="auto"/>
            <w:vAlign w:val="center"/>
          </w:tcPr>
          <w:p w14:paraId="6E5C7AE7">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176</w:t>
            </w:r>
          </w:p>
        </w:tc>
        <w:tc>
          <w:tcPr>
            <w:tcW w:w="942" w:type="dxa"/>
            <w:shd w:val="clear" w:color="auto" w:fill="auto"/>
            <w:vAlign w:val="center"/>
          </w:tcPr>
          <w:p w14:paraId="0326591F">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42" w:type="dxa"/>
            <w:shd w:val="clear" w:color="auto" w:fill="auto"/>
            <w:vAlign w:val="center"/>
          </w:tcPr>
          <w:p w14:paraId="72D7F8C1">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50" w:type="dxa"/>
            <w:shd w:val="clear" w:color="auto" w:fill="auto"/>
            <w:vAlign w:val="center"/>
          </w:tcPr>
          <w:p w14:paraId="2F755DB1">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29" w:type="dxa"/>
            <w:shd w:val="clear" w:color="auto" w:fill="auto"/>
            <w:vAlign w:val="center"/>
          </w:tcPr>
          <w:p w14:paraId="358525E8">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230" w:type="dxa"/>
            <w:shd w:val="clear" w:color="auto" w:fill="auto"/>
            <w:vAlign w:val="center"/>
          </w:tcPr>
          <w:p w14:paraId="0EF70868">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38E77B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7C03B7A6">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阿克陶镇</w:t>
            </w:r>
          </w:p>
        </w:tc>
        <w:tc>
          <w:tcPr>
            <w:tcW w:w="942" w:type="dxa"/>
            <w:shd w:val="clear" w:color="auto" w:fill="auto"/>
            <w:vAlign w:val="center"/>
          </w:tcPr>
          <w:p w14:paraId="4DAD6BCA">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100.3</w:t>
            </w:r>
          </w:p>
        </w:tc>
        <w:tc>
          <w:tcPr>
            <w:tcW w:w="942" w:type="dxa"/>
            <w:shd w:val="clear" w:color="auto" w:fill="auto"/>
            <w:vAlign w:val="center"/>
          </w:tcPr>
          <w:p w14:paraId="6BDF0498">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42" w:type="dxa"/>
            <w:shd w:val="clear" w:color="auto" w:fill="auto"/>
            <w:vAlign w:val="center"/>
          </w:tcPr>
          <w:p w14:paraId="306EA18C">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50" w:type="dxa"/>
            <w:shd w:val="clear" w:color="auto" w:fill="auto"/>
            <w:vAlign w:val="center"/>
          </w:tcPr>
          <w:p w14:paraId="6B4C05AB">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29" w:type="dxa"/>
            <w:shd w:val="clear" w:color="auto" w:fill="auto"/>
            <w:vAlign w:val="center"/>
          </w:tcPr>
          <w:p w14:paraId="41A86F48">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230" w:type="dxa"/>
            <w:shd w:val="clear" w:color="auto" w:fill="auto"/>
            <w:vAlign w:val="center"/>
          </w:tcPr>
          <w:p w14:paraId="62CE3AF1">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3F51E8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5CD29DC5">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加马铁力克乡</w:t>
            </w:r>
          </w:p>
        </w:tc>
        <w:tc>
          <w:tcPr>
            <w:tcW w:w="942" w:type="dxa"/>
            <w:shd w:val="clear" w:color="auto" w:fill="auto"/>
            <w:vAlign w:val="center"/>
          </w:tcPr>
          <w:p w14:paraId="78D7FAF5">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38</w:t>
            </w:r>
          </w:p>
        </w:tc>
        <w:tc>
          <w:tcPr>
            <w:tcW w:w="942" w:type="dxa"/>
            <w:shd w:val="clear" w:color="auto" w:fill="auto"/>
            <w:vAlign w:val="center"/>
          </w:tcPr>
          <w:p w14:paraId="3675611F">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42" w:type="dxa"/>
            <w:shd w:val="clear" w:color="auto" w:fill="auto"/>
            <w:vAlign w:val="center"/>
          </w:tcPr>
          <w:p w14:paraId="4301EF25">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50" w:type="dxa"/>
            <w:shd w:val="clear" w:color="auto" w:fill="auto"/>
            <w:vAlign w:val="center"/>
          </w:tcPr>
          <w:p w14:paraId="17D151BF">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29" w:type="dxa"/>
            <w:shd w:val="clear" w:color="auto" w:fill="auto"/>
            <w:vAlign w:val="center"/>
          </w:tcPr>
          <w:p w14:paraId="208EE1F5">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230" w:type="dxa"/>
            <w:shd w:val="clear" w:color="auto" w:fill="auto"/>
            <w:vAlign w:val="center"/>
          </w:tcPr>
          <w:p w14:paraId="1E57F441">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3592C3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33032CB6">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喀热开其克乡</w:t>
            </w:r>
          </w:p>
        </w:tc>
        <w:tc>
          <w:tcPr>
            <w:tcW w:w="942" w:type="dxa"/>
            <w:shd w:val="clear" w:color="auto" w:fill="auto"/>
            <w:vAlign w:val="center"/>
          </w:tcPr>
          <w:p w14:paraId="3AB6E428">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83</w:t>
            </w:r>
          </w:p>
        </w:tc>
        <w:tc>
          <w:tcPr>
            <w:tcW w:w="942" w:type="dxa"/>
            <w:shd w:val="clear" w:color="auto" w:fill="auto"/>
            <w:vAlign w:val="center"/>
          </w:tcPr>
          <w:p w14:paraId="20B772E3">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42" w:type="dxa"/>
            <w:shd w:val="clear" w:color="auto" w:fill="auto"/>
            <w:vAlign w:val="center"/>
          </w:tcPr>
          <w:p w14:paraId="73425047">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50" w:type="dxa"/>
            <w:shd w:val="clear" w:color="auto" w:fill="auto"/>
            <w:vAlign w:val="center"/>
          </w:tcPr>
          <w:p w14:paraId="15BD288D">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29" w:type="dxa"/>
            <w:shd w:val="clear" w:color="auto" w:fill="auto"/>
            <w:vAlign w:val="center"/>
          </w:tcPr>
          <w:p w14:paraId="396432A8">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230" w:type="dxa"/>
            <w:shd w:val="clear" w:color="auto" w:fill="auto"/>
            <w:vAlign w:val="center"/>
          </w:tcPr>
          <w:p w14:paraId="1B671BDA">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6D688C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4D6386FC">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托尔塔依农场</w:t>
            </w:r>
          </w:p>
        </w:tc>
        <w:tc>
          <w:tcPr>
            <w:tcW w:w="942" w:type="dxa"/>
            <w:shd w:val="clear" w:color="auto" w:fill="auto"/>
            <w:vAlign w:val="center"/>
          </w:tcPr>
          <w:p w14:paraId="389E592E">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36</w:t>
            </w:r>
          </w:p>
        </w:tc>
        <w:tc>
          <w:tcPr>
            <w:tcW w:w="942" w:type="dxa"/>
            <w:shd w:val="clear" w:color="auto" w:fill="auto"/>
            <w:vAlign w:val="center"/>
          </w:tcPr>
          <w:p w14:paraId="697F0048">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42" w:type="dxa"/>
            <w:shd w:val="clear" w:color="auto" w:fill="auto"/>
            <w:vAlign w:val="center"/>
          </w:tcPr>
          <w:p w14:paraId="75975115">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50" w:type="dxa"/>
            <w:shd w:val="clear" w:color="auto" w:fill="auto"/>
            <w:vAlign w:val="center"/>
          </w:tcPr>
          <w:p w14:paraId="68CBC6D4">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29" w:type="dxa"/>
            <w:shd w:val="clear" w:color="auto" w:fill="auto"/>
            <w:vAlign w:val="center"/>
          </w:tcPr>
          <w:p w14:paraId="0B9A4F34">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230" w:type="dxa"/>
            <w:shd w:val="clear" w:color="auto" w:fill="auto"/>
            <w:vAlign w:val="center"/>
          </w:tcPr>
          <w:p w14:paraId="07F25B9A">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553D55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5DD07018">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克州种羊场</w:t>
            </w:r>
          </w:p>
        </w:tc>
        <w:tc>
          <w:tcPr>
            <w:tcW w:w="942" w:type="dxa"/>
            <w:shd w:val="clear" w:color="auto" w:fill="auto"/>
            <w:vAlign w:val="center"/>
          </w:tcPr>
          <w:p w14:paraId="0BD8F16E">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636</w:t>
            </w:r>
          </w:p>
        </w:tc>
        <w:tc>
          <w:tcPr>
            <w:tcW w:w="942" w:type="dxa"/>
            <w:shd w:val="clear" w:color="auto" w:fill="auto"/>
            <w:vAlign w:val="center"/>
          </w:tcPr>
          <w:p w14:paraId="2DFB99B9">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42" w:type="dxa"/>
            <w:shd w:val="clear" w:color="auto" w:fill="auto"/>
            <w:vAlign w:val="center"/>
          </w:tcPr>
          <w:p w14:paraId="151A2314">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50" w:type="dxa"/>
            <w:shd w:val="clear" w:color="auto" w:fill="auto"/>
            <w:vAlign w:val="center"/>
          </w:tcPr>
          <w:p w14:paraId="17FCDF53">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29" w:type="dxa"/>
            <w:shd w:val="clear" w:color="auto" w:fill="auto"/>
            <w:vAlign w:val="center"/>
          </w:tcPr>
          <w:p w14:paraId="3204A1E6">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230" w:type="dxa"/>
            <w:shd w:val="clear" w:color="auto" w:fill="auto"/>
            <w:vAlign w:val="center"/>
          </w:tcPr>
          <w:p w14:paraId="4CFC89F0">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6FBF01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6931FFD7">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原种场</w:t>
            </w:r>
          </w:p>
        </w:tc>
        <w:tc>
          <w:tcPr>
            <w:tcW w:w="942" w:type="dxa"/>
            <w:shd w:val="clear" w:color="auto" w:fill="auto"/>
            <w:vAlign w:val="center"/>
          </w:tcPr>
          <w:p w14:paraId="481D30D2">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0.7</w:t>
            </w:r>
          </w:p>
        </w:tc>
        <w:tc>
          <w:tcPr>
            <w:tcW w:w="942" w:type="dxa"/>
            <w:shd w:val="clear" w:color="auto" w:fill="auto"/>
            <w:vAlign w:val="center"/>
          </w:tcPr>
          <w:p w14:paraId="2CD79646">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42" w:type="dxa"/>
            <w:shd w:val="clear" w:color="auto" w:fill="auto"/>
            <w:vAlign w:val="center"/>
          </w:tcPr>
          <w:p w14:paraId="510515DB">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950" w:type="dxa"/>
            <w:shd w:val="clear" w:color="auto" w:fill="auto"/>
            <w:vAlign w:val="center"/>
          </w:tcPr>
          <w:p w14:paraId="3BF2CA81">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129" w:type="dxa"/>
            <w:shd w:val="clear" w:color="auto" w:fill="auto"/>
            <w:vAlign w:val="center"/>
          </w:tcPr>
          <w:p w14:paraId="71DDEC5B">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c>
          <w:tcPr>
            <w:tcW w:w="1230" w:type="dxa"/>
            <w:shd w:val="clear" w:color="auto" w:fill="auto"/>
            <w:vAlign w:val="center"/>
          </w:tcPr>
          <w:p w14:paraId="42E350CA">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0</w:t>
            </w:r>
          </w:p>
        </w:tc>
      </w:tr>
      <w:tr w14:paraId="4A7485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41" w:type="pct"/>
            <w:shd w:val="clear" w:color="auto" w:fill="auto"/>
            <w:vAlign w:val="center"/>
          </w:tcPr>
          <w:p w14:paraId="1C4EF048">
            <w:pPr>
              <w:pStyle w:val="82"/>
              <w:bidi w:val="0"/>
              <w:rPr>
                <w:rFonts w:hint="eastAsia" w:ascii="Times New Roman" w:hAnsi="Times New Roman" w:eastAsia="仿宋" w:cs="Times New Roman"/>
                <w:sz w:val="24"/>
                <w:szCs w:val="24"/>
                <w:highlight w:val="none"/>
              </w:rPr>
            </w:pPr>
            <w:r>
              <w:rPr>
                <w:rFonts w:hint="eastAsia" w:ascii="Times New Roman" w:hAnsi="Times New Roman" w:eastAsia="仿宋" w:cs="Times New Roman"/>
                <w:sz w:val="24"/>
                <w:szCs w:val="24"/>
                <w:highlight w:val="none"/>
              </w:rPr>
              <w:t>合计</w:t>
            </w:r>
          </w:p>
        </w:tc>
        <w:tc>
          <w:tcPr>
            <w:tcW w:w="942" w:type="dxa"/>
            <w:shd w:val="clear" w:color="auto" w:fill="auto"/>
            <w:vAlign w:val="center"/>
          </w:tcPr>
          <w:p w14:paraId="70906EE4">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25062</w:t>
            </w:r>
          </w:p>
        </w:tc>
        <w:tc>
          <w:tcPr>
            <w:tcW w:w="942" w:type="dxa"/>
            <w:shd w:val="clear" w:color="auto" w:fill="auto"/>
            <w:vAlign w:val="center"/>
          </w:tcPr>
          <w:p w14:paraId="27AF2530">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200</w:t>
            </w:r>
          </w:p>
        </w:tc>
        <w:tc>
          <w:tcPr>
            <w:tcW w:w="942" w:type="dxa"/>
            <w:shd w:val="clear" w:color="auto" w:fill="auto"/>
            <w:vAlign w:val="center"/>
          </w:tcPr>
          <w:p w14:paraId="378A9A6D">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8</w:t>
            </w:r>
          </w:p>
        </w:tc>
        <w:tc>
          <w:tcPr>
            <w:tcW w:w="950" w:type="dxa"/>
            <w:shd w:val="clear" w:color="auto" w:fill="auto"/>
            <w:vAlign w:val="center"/>
          </w:tcPr>
          <w:p w14:paraId="2D23698B">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302</w:t>
            </w:r>
          </w:p>
        </w:tc>
        <w:tc>
          <w:tcPr>
            <w:tcW w:w="1129" w:type="dxa"/>
            <w:shd w:val="clear" w:color="auto" w:fill="auto"/>
            <w:vAlign w:val="center"/>
          </w:tcPr>
          <w:p w14:paraId="2A9D246C">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lang w:val="en-US" w:eastAsia="zh-CN"/>
              </w:rPr>
            </w:pPr>
            <w:r>
              <w:rPr>
                <w:rFonts w:hint="default" w:ascii="Times New Roman" w:hAnsi="Times New Roman" w:eastAsia="宋体" w:cs="Times New Roman"/>
                <w:i w:val="0"/>
                <w:iCs w:val="0"/>
                <w:color w:val="000000"/>
                <w:kern w:val="0"/>
                <w:sz w:val="21"/>
                <w:szCs w:val="21"/>
                <w:highlight w:val="none"/>
                <w:u w:val="none"/>
                <w:lang w:val="en-US" w:eastAsia="zh-CN" w:bidi="ar"/>
              </w:rPr>
              <w:t>510</w:t>
            </w:r>
          </w:p>
        </w:tc>
        <w:tc>
          <w:tcPr>
            <w:tcW w:w="1230" w:type="dxa"/>
            <w:shd w:val="clear" w:color="auto" w:fill="auto"/>
            <w:vAlign w:val="center"/>
          </w:tcPr>
          <w:p w14:paraId="22E9B300">
            <w:pPr>
              <w:keepNext w:val="0"/>
              <w:keepLines w:val="0"/>
              <w:widowControl/>
              <w:suppressLineNumbers w:val="0"/>
              <w:jc w:val="center"/>
              <w:textAlignment w:val="center"/>
              <w:rPr>
                <w:rFonts w:hint="default" w:ascii="Times New Roman" w:hAnsi="Times New Roman" w:eastAsia="仿宋" w:cs="Times New Roman"/>
                <w:color w:val="0000FF"/>
                <w:sz w:val="24"/>
                <w:szCs w:val="24"/>
                <w:highlight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r>
    </w:tbl>
    <w:p w14:paraId="6FCD298B">
      <w:pPr>
        <w:rPr>
          <w:rFonts w:eastAsia="仿宋_GB2312"/>
          <w:b/>
          <w:sz w:val="24"/>
          <w:highlight w:val="none"/>
        </w:rPr>
      </w:pPr>
      <w:r>
        <w:rPr>
          <w:rFonts w:eastAsia="仿宋_GB2312"/>
          <w:b/>
          <w:sz w:val="24"/>
          <w:highlight w:val="none"/>
        </w:rPr>
        <w:br w:type="page"/>
      </w:r>
    </w:p>
    <w:p w14:paraId="3AA248E3">
      <w:pPr>
        <w:spacing w:before="120" w:beforeLines="50" w:line="320" w:lineRule="atLeast"/>
        <w:jc w:val="center"/>
        <w:rPr>
          <w:rFonts w:eastAsia="仿宋_GB2312"/>
          <w:b/>
          <w:sz w:val="24"/>
          <w:highlight w:val="none"/>
        </w:rPr>
      </w:pPr>
      <w:r>
        <w:rPr>
          <w:rFonts w:eastAsia="仿宋_GB2312"/>
          <w:b/>
          <w:sz w:val="24"/>
          <w:highlight w:val="none"/>
        </w:rPr>
        <w:t>表1-</w:t>
      </w:r>
      <w:r>
        <w:rPr>
          <w:rFonts w:hint="eastAsia" w:eastAsia="仿宋_GB2312"/>
          <w:b/>
          <w:sz w:val="24"/>
          <w:highlight w:val="none"/>
        </w:rPr>
        <w:t>2</w:t>
      </w:r>
      <w:r>
        <w:rPr>
          <w:rFonts w:eastAsia="仿宋_GB2312"/>
          <w:b/>
          <w:sz w:val="24"/>
          <w:highlight w:val="none"/>
        </w:rPr>
        <w:t xml:space="preserve"> 重要地质灾害隐患点统计表</w:t>
      </w:r>
    </w:p>
    <w:tbl>
      <w:tblPr>
        <w:tblStyle w:val="32"/>
        <w:tblW w:w="507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85"/>
        <w:gridCol w:w="1185"/>
        <w:gridCol w:w="2667"/>
        <w:gridCol w:w="1131"/>
        <w:gridCol w:w="1267"/>
        <w:gridCol w:w="2077"/>
      </w:tblGrid>
      <w:tr w14:paraId="57231067">
        <w:tblPrEx>
          <w:shd w:val="clear" w:color="auto" w:fill="auto"/>
          <w:tblCellMar>
            <w:top w:w="0" w:type="dxa"/>
            <w:left w:w="0" w:type="dxa"/>
            <w:bottom w:w="0" w:type="dxa"/>
            <w:right w:w="0" w:type="dxa"/>
          </w:tblCellMar>
        </w:tblPrEx>
        <w:trPr>
          <w:cantSplit/>
          <w:trHeight w:val="1224" w:hRule="atLeast"/>
          <w:tblHeader/>
        </w:trPr>
        <w:tc>
          <w:tcPr>
            <w:tcW w:w="480" w:type="pct"/>
            <w:shd w:val="clear" w:color="auto" w:fill="auto"/>
            <w:vAlign w:val="center"/>
          </w:tcPr>
          <w:p w14:paraId="564FB758">
            <w:pPr>
              <w:jc w:val="center"/>
              <w:rPr>
                <w:rFonts w:hint="default" w:ascii="Times New Roman" w:hAnsi="Times New Roman" w:eastAsia="仿宋_GB2312" w:cs="Times New Roman"/>
                <w:sz w:val="24"/>
                <w:highlight w:val="none"/>
              </w:rPr>
            </w:pPr>
            <w:bookmarkStart w:id="12" w:name="_Toc345874452"/>
            <w:bookmarkStart w:id="13" w:name="_Toc349826187"/>
            <w:r>
              <w:rPr>
                <w:rFonts w:hint="default" w:ascii="Times New Roman" w:hAnsi="Times New Roman" w:eastAsia="仿宋_GB2312" w:cs="Times New Roman"/>
                <w:sz w:val="24"/>
                <w:highlight w:val="none"/>
                <w:lang w:val="en-US" w:eastAsia="zh-CN"/>
              </w:rPr>
              <w:t>序号</w:t>
            </w:r>
          </w:p>
        </w:tc>
        <w:tc>
          <w:tcPr>
            <w:tcW w:w="643" w:type="pct"/>
            <w:shd w:val="clear" w:color="auto" w:fill="auto"/>
            <w:vAlign w:val="center"/>
          </w:tcPr>
          <w:p w14:paraId="5744721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野外编号</w:t>
            </w:r>
          </w:p>
        </w:tc>
        <w:tc>
          <w:tcPr>
            <w:tcW w:w="1447" w:type="pct"/>
            <w:shd w:val="clear" w:color="auto" w:fill="auto"/>
            <w:vAlign w:val="center"/>
          </w:tcPr>
          <w:p w14:paraId="17D5201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名称</w:t>
            </w:r>
          </w:p>
        </w:tc>
        <w:tc>
          <w:tcPr>
            <w:tcW w:w="613" w:type="pct"/>
            <w:shd w:val="clear" w:color="auto" w:fill="auto"/>
            <w:vAlign w:val="center"/>
          </w:tcPr>
          <w:p w14:paraId="4889432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灾害类型</w:t>
            </w:r>
          </w:p>
        </w:tc>
        <w:tc>
          <w:tcPr>
            <w:tcW w:w="687" w:type="pct"/>
            <w:shd w:val="clear" w:color="auto" w:fill="auto"/>
            <w:vAlign w:val="center"/>
          </w:tcPr>
          <w:p w14:paraId="53EC0AA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险情等级</w:t>
            </w:r>
          </w:p>
        </w:tc>
        <w:tc>
          <w:tcPr>
            <w:tcW w:w="1127" w:type="pct"/>
            <w:shd w:val="clear" w:color="auto" w:fill="auto"/>
            <w:vAlign w:val="center"/>
          </w:tcPr>
          <w:p w14:paraId="3F19657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威胁财产（万元）</w:t>
            </w:r>
          </w:p>
        </w:tc>
      </w:tr>
      <w:tr w14:paraId="63E2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atLeast"/>
        </w:trPr>
        <w:tc>
          <w:tcPr>
            <w:tcW w:w="480" w:type="pct"/>
            <w:shd w:val="clear" w:color="auto" w:fill="auto"/>
            <w:vAlign w:val="center"/>
          </w:tcPr>
          <w:p w14:paraId="0388838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w:t>
            </w:r>
          </w:p>
        </w:tc>
        <w:tc>
          <w:tcPr>
            <w:tcW w:w="643" w:type="pct"/>
            <w:shd w:val="clear" w:color="auto" w:fill="auto"/>
            <w:vAlign w:val="center"/>
          </w:tcPr>
          <w:p w14:paraId="3B28886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ABC002X</w:t>
            </w:r>
          </w:p>
        </w:tc>
        <w:tc>
          <w:tcPr>
            <w:tcW w:w="1447" w:type="pct"/>
            <w:shd w:val="clear" w:color="auto" w:fill="auto"/>
            <w:vAlign w:val="center"/>
          </w:tcPr>
          <w:p w14:paraId="6B853DC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小锰矿矿区崩塌</w:t>
            </w:r>
          </w:p>
        </w:tc>
        <w:tc>
          <w:tcPr>
            <w:tcW w:w="613" w:type="pct"/>
            <w:shd w:val="clear" w:color="auto" w:fill="auto"/>
            <w:vAlign w:val="center"/>
          </w:tcPr>
          <w:p w14:paraId="72F3578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2690B8F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中型</w:t>
            </w:r>
          </w:p>
        </w:tc>
        <w:tc>
          <w:tcPr>
            <w:tcW w:w="1127" w:type="pct"/>
            <w:shd w:val="clear" w:color="auto" w:fill="auto"/>
            <w:vAlign w:val="center"/>
          </w:tcPr>
          <w:p w14:paraId="3AA5A76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505</w:t>
            </w:r>
          </w:p>
        </w:tc>
      </w:tr>
      <w:tr w14:paraId="14D3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5" w:hRule="atLeast"/>
        </w:trPr>
        <w:tc>
          <w:tcPr>
            <w:tcW w:w="480" w:type="pct"/>
            <w:shd w:val="clear" w:color="auto" w:fill="auto"/>
            <w:vAlign w:val="center"/>
          </w:tcPr>
          <w:p w14:paraId="01F23F8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w:t>
            </w:r>
          </w:p>
        </w:tc>
        <w:tc>
          <w:tcPr>
            <w:tcW w:w="643" w:type="pct"/>
            <w:shd w:val="clear" w:color="auto" w:fill="auto"/>
            <w:vAlign w:val="center"/>
          </w:tcPr>
          <w:p w14:paraId="6D09D03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ABC017H</w:t>
            </w:r>
          </w:p>
        </w:tc>
        <w:tc>
          <w:tcPr>
            <w:tcW w:w="1447" w:type="pct"/>
            <w:shd w:val="clear" w:color="auto" w:fill="auto"/>
            <w:vAlign w:val="center"/>
          </w:tcPr>
          <w:p w14:paraId="165EE2A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波合提村南约500m基岩崩塌</w:t>
            </w:r>
          </w:p>
        </w:tc>
        <w:tc>
          <w:tcPr>
            <w:tcW w:w="613" w:type="pct"/>
            <w:shd w:val="clear" w:color="auto" w:fill="auto"/>
            <w:vAlign w:val="center"/>
          </w:tcPr>
          <w:p w14:paraId="584991F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165386A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185CBA1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50</w:t>
            </w:r>
          </w:p>
        </w:tc>
      </w:tr>
      <w:tr w14:paraId="56D7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5" w:hRule="atLeast"/>
        </w:trPr>
        <w:tc>
          <w:tcPr>
            <w:tcW w:w="480" w:type="pct"/>
            <w:shd w:val="clear" w:color="auto" w:fill="auto"/>
            <w:vAlign w:val="center"/>
          </w:tcPr>
          <w:p w14:paraId="0535B5F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w:t>
            </w:r>
          </w:p>
        </w:tc>
        <w:tc>
          <w:tcPr>
            <w:tcW w:w="643" w:type="pct"/>
            <w:shd w:val="clear" w:color="auto" w:fill="auto"/>
            <w:vAlign w:val="center"/>
          </w:tcPr>
          <w:p w14:paraId="6F92CA6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ABD001X</w:t>
            </w:r>
          </w:p>
        </w:tc>
        <w:tc>
          <w:tcPr>
            <w:tcW w:w="1447" w:type="pct"/>
            <w:shd w:val="clear" w:color="auto" w:fill="auto"/>
            <w:vAlign w:val="center"/>
          </w:tcPr>
          <w:p w14:paraId="3D7E51F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克孜勒陶乡政府办公楼后崩塌</w:t>
            </w:r>
          </w:p>
        </w:tc>
        <w:tc>
          <w:tcPr>
            <w:tcW w:w="613" w:type="pct"/>
            <w:shd w:val="clear" w:color="auto" w:fill="auto"/>
            <w:vAlign w:val="center"/>
          </w:tcPr>
          <w:p w14:paraId="2F7586F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267A98E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51A06BF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60</w:t>
            </w:r>
          </w:p>
        </w:tc>
      </w:tr>
      <w:tr w14:paraId="5AD2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35" w:hRule="atLeast"/>
        </w:trPr>
        <w:tc>
          <w:tcPr>
            <w:tcW w:w="480" w:type="pct"/>
            <w:shd w:val="clear" w:color="auto" w:fill="auto"/>
            <w:vAlign w:val="center"/>
          </w:tcPr>
          <w:p w14:paraId="08DB766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w:t>
            </w:r>
          </w:p>
        </w:tc>
        <w:tc>
          <w:tcPr>
            <w:tcW w:w="643" w:type="pct"/>
            <w:shd w:val="clear" w:color="auto" w:fill="auto"/>
            <w:vAlign w:val="center"/>
          </w:tcPr>
          <w:p w14:paraId="2033B64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ABD002H</w:t>
            </w:r>
          </w:p>
        </w:tc>
        <w:tc>
          <w:tcPr>
            <w:tcW w:w="1447" w:type="pct"/>
            <w:shd w:val="clear" w:color="auto" w:fill="auto"/>
            <w:vAlign w:val="center"/>
          </w:tcPr>
          <w:p w14:paraId="0BA2F8EF">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莫母太来克沟西南约1km处的基岩崩塌</w:t>
            </w:r>
          </w:p>
        </w:tc>
        <w:tc>
          <w:tcPr>
            <w:tcW w:w="613" w:type="pct"/>
            <w:shd w:val="clear" w:color="auto" w:fill="auto"/>
            <w:vAlign w:val="center"/>
          </w:tcPr>
          <w:p w14:paraId="2A1E7DF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240BBAD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15F6BF3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42</w:t>
            </w:r>
          </w:p>
        </w:tc>
      </w:tr>
      <w:tr w14:paraId="21FE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atLeast"/>
        </w:trPr>
        <w:tc>
          <w:tcPr>
            <w:tcW w:w="480" w:type="pct"/>
            <w:shd w:val="clear" w:color="auto" w:fill="auto"/>
            <w:vAlign w:val="center"/>
          </w:tcPr>
          <w:p w14:paraId="042772C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5</w:t>
            </w:r>
          </w:p>
        </w:tc>
        <w:tc>
          <w:tcPr>
            <w:tcW w:w="643" w:type="pct"/>
            <w:shd w:val="clear" w:color="auto" w:fill="auto"/>
            <w:vAlign w:val="center"/>
          </w:tcPr>
          <w:p w14:paraId="26177B7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ABD004H</w:t>
            </w:r>
          </w:p>
        </w:tc>
        <w:tc>
          <w:tcPr>
            <w:tcW w:w="1447" w:type="pct"/>
            <w:shd w:val="clear" w:color="auto" w:fill="auto"/>
            <w:vAlign w:val="center"/>
          </w:tcPr>
          <w:p w14:paraId="4549B09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乌尔都隆窝孜村委会以东约1.4Km处基岩崩塌</w:t>
            </w:r>
          </w:p>
        </w:tc>
        <w:tc>
          <w:tcPr>
            <w:tcW w:w="613" w:type="pct"/>
            <w:shd w:val="clear" w:color="auto" w:fill="auto"/>
            <w:vAlign w:val="center"/>
          </w:tcPr>
          <w:p w14:paraId="35127B3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3C2F033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01476BE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10.5</w:t>
            </w:r>
          </w:p>
        </w:tc>
      </w:tr>
      <w:tr w14:paraId="66BC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5" w:hRule="atLeast"/>
        </w:trPr>
        <w:tc>
          <w:tcPr>
            <w:tcW w:w="480" w:type="pct"/>
            <w:shd w:val="clear" w:color="auto" w:fill="auto"/>
            <w:vAlign w:val="center"/>
          </w:tcPr>
          <w:p w14:paraId="359E6F4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6</w:t>
            </w:r>
          </w:p>
        </w:tc>
        <w:tc>
          <w:tcPr>
            <w:tcW w:w="643" w:type="pct"/>
            <w:shd w:val="clear" w:color="auto" w:fill="auto"/>
            <w:vAlign w:val="center"/>
          </w:tcPr>
          <w:p w14:paraId="6B74396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ABD016H</w:t>
            </w:r>
          </w:p>
        </w:tc>
        <w:tc>
          <w:tcPr>
            <w:tcW w:w="1447" w:type="pct"/>
            <w:shd w:val="clear" w:color="auto" w:fill="auto"/>
            <w:vAlign w:val="center"/>
          </w:tcPr>
          <w:p w14:paraId="486CA1A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色日克布隆处基岩崩塌</w:t>
            </w:r>
          </w:p>
        </w:tc>
        <w:tc>
          <w:tcPr>
            <w:tcW w:w="613" w:type="pct"/>
            <w:shd w:val="clear" w:color="auto" w:fill="auto"/>
            <w:vAlign w:val="center"/>
          </w:tcPr>
          <w:p w14:paraId="48F6446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4124159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6FB5DE9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20</w:t>
            </w:r>
          </w:p>
        </w:tc>
      </w:tr>
      <w:tr w14:paraId="3D68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atLeast"/>
        </w:trPr>
        <w:tc>
          <w:tcPr>
            <w:tcW w:w="480" w:type="pct"/>
            <w:shd w:val="clear" w:color="auto" w:fill="auto"/>
            <w:vAlign w:val="center"/>
          </w:tcPr>
          <w:p w14:paraId="3B785E1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7</w:t>
            </w:r>
          </w:p>
        </w:tc>
        <w:tc>
          <w:tcPr>
            <w:tcW w:w="643" w:type="pct"/>
            <w:shd w:val="clear" w:color="auto" w:fill="auto"/>
            <w:vAlign w:val="center"/>
          </w:tcPr>
          <w:p w14:paraId="787E7B4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BA004H</w:t>
            </w:r>
          </w:p>
        </w:tc>
        <w:tc>
          <w:tcPr>
            <w:tcW w:w="1447" w:type="pct"/>
            <w:shd w:val="clear" w:color="auto" w:fill="auto"/>
            <w:vAlign w:val="center"/>
          </w:tcPr>
          <w:p w14:paraId="3843350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G314国道K1631+820米处崩塌</w:t>
            </w:r>
          </w:p>
        </w:tc>
        <w:tc>
          <w:tcPr>
            <w:tcW w:w="613" w:type="pct"/>
            <w:shd w:val="clear" w:color="auto" w:fill="auto"/>
            <w:vAlign w:val="center"/>
          </w:tcPr>
          <w:p w14:paraId="7D3B563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316179A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215A343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70</w:t>
            </w:r>
          </w:p>
        </w:tc>
      </w:tr>
      <w:tr w14:paraId="1F2E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5" w:hRule="atLeast"/>
        </w:trPr>
        <w:tc>
          <w:tcPr>
            <w:tcW w:w="480" w:type="pct"/>
            <w:shd w:val="clear" w:color="auto" w:fill="auto"/>
            <w:vAlign w:val="center"/>
          </w:tcPr>
          <w:p w14:paraId="73ADFC5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8</w:t>
            </w:r>
          </w:p>
        </w:tc>
        <w:tc>
          <w:tcPr>
            <w:tcW w:w="643" w:type="pct"/>
            <w:shd w:val="clear" w:color="auto" w:fill="auto"/>
            <w:vAlign w:val="center"/>
          </w:tcPr>
          <w:p w14:paraId="5B16AFB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BA005H</w:t>
            </w:r>
          </w:p>
        </w:tc>
        <w:tc>
          <w:tcPr>
            <w:tcW w:w="1447" w:type="pct"/>
            <w:shd w:val="clear" w:color="auto" w:fill="auto"/>
            <w:vAlign w:val="center"/>
          </w:tcPr>
          <w:p w14:paraId="6432163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G314国道K1630+360米处崩塌</w:t>
            </w:r>
          </w:p>
        </w:tc>
        <w:tc>
          <w:tcPr>
            <w:tcW w:w="613" w:type="pct"/>
            <w:shd w:val="clear" w:color="auto" w:fill="auto"/>
            <w:vAlign w:val="center"/>
          </w:tcPr>
          <w:p w14:paraId="7040FAF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3480A9E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6CC495D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105</w:t>
            </w:r>
          </w:p>
        </w:tc>
      </w:tr>
      <w:tr w14:paraId="4D94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5" w:hRule="atLeast"/>
        </w:trPr>
        <w:tc>
          <w:tcPr>
            <w:tcW w:w="480" w:type="pct"/>
            <w:shd w:val="clear" w:color="auto" w:fill="auto"/>
            <w:vAlign w:val="center"/>
          </w:tcPr>
          <w:p w14:paraId="144FB91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9</w:t>
            </w:r>
          </w:p>
        </w:tc>
        <w:tc>
          <w:tcPr>
            <w:tcW w:w="643" w:type="pct"/>
            <w:shd w:val="clear" w:color="auto" w:fill="auto"/>
            <w:vAlign w:val="center"/>
          </w:tcPr>
          <w:p w14:paraId="379C1E2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BA006X</w:t>
            </w:r>
          </w:p>
        </w:tc>
        <w:tc>
          <w:tcPr>
            <w:tcW w:w="1447" w:type="pct"/>
            <w:shd w:val="clear" w:color="auto" w:fill="auto"/>
            <w:vAlign w:val="center"/>
          </w:tcPr>
          <w:p w14:paraId="0CA242A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G314国道K1630公里处崩塌</w:t>
            </w:r>
          </w:p>
        </w:tc>
        <w:tc>
          <w:tcPr>
            <w:tcW w:w="613" w:type="pct"/>
            <w:shd w:val="clear" w:color="auto" w:fill="auto"/>
            <w:vAlign w:val="center"/>
          </w:tcPr>
          <w:p w14:paraId="614B144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2C2526D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6CB7C6F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130</w:t>
            </w:r>
          </w:p>
        </w:tc>
      </w:tr>
      <w:tr w14:paraId="6182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atLeast"/>
        </w:trPr>
        <w:tc>
          <w:tcPr>
            <w:tcW w:w="480" w:type="pct"/>
            <w:shd w:val="clear" w:color="auto" w:fill="auto"/>
            <w:vAlign w:val="center"/>
          </w:tcPr>
          <w:p w14:paraId="1B9A5C7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10</w:t>
            </w:r>
          </w:p>
        </w:tc>
        <w:tc>
          <w:tcPr>
            <w:tcW w:w="643" w:type="pct"/>
            <w:shd w:val="clear" w:color="auto" w:fill="auto"/>
            <w:vAlign w:val="center"/>
          </w:tcPr>
          <w:p w14:paraId="74ADA24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BA007H</w:t>
            </w:r>
          </w:p>
        </w:tc>
        <w:tc>
          <w:tcPr>
            <w:tcW w:w="1447" w:type="pct"/>
            <w:shd w:val="clear" w:color="auto" w:fill="auto"/>
            <w:vAlign w:val="center"/>
          </w:tcPr>
          <w:p w14:paraId="24CD84F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G314国道K1629+780米处崩塌</w:t>
            </w:r>
          </w:p>
        </w:tc>
        <w:tc>
          <w:tcPr>
            <w:tcW w:w="613" w:type="pct"/>
            <w:shd w:val="clear" w:color="auto" w:fill="auto"/>
            <w:vAlign w:val="center"/>
          </w:tcPr>
          <w:p w14:paraId="3EAC890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2F824FA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763B4B0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161.28</w:t>
            </w:r>
          </w:p>
        </w:tc>
      </w:tr>
      <w:tr w14:paraId="3365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5" w:hRule="atLeast"/>
        </w:trPr>
        <w:tc>
          <w:tcPr>
            <w:tcW w:w="480" w:type="pct"/>
            <w:shd w:val="clear" w:color="auto" w:fill="auto"/>
            <w:vAlign w:val="center"/>
          </w:tcPr>
          <w:p w14:paraId="35CA9BB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11</w:t>
            </w:r>
          </w:p>
        </w:tc>
        <w:tc>
          <w:tcPr>
            <w:tcW w:w="643" w:type="pct"/>
            <w:shd w:val="clear" w:color="auto" w:fill="auto"/>
            <w:vAlign w:val="center"/>
          </w:tcPr>
          <w:p w14:paraId="7336225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BA010H</w:t>
            </w:r>
          </w:p>
        </w:tc>
        <w:tc>
          <w:tcPr>
            <w:tcW w:w="1447" w:type="pct"/>
            <w:shd w:val="clear" w:color="auto" w:fill="auto"/>
            <w:vAlign w:val="center"/>
          </w:tcPr>
          <w:p w14:paraId="0D2242C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阿克陶县盖孜检查站西20米崩塌</w:t>
            </w:r>
          </w:p>
        </w:tc>
        <w:tc>
          <w:tcPr>
            <w:tcW w:w="613" w:type="pct"/>
            <w:shd w:val="clear" w:color="auto" w:fill="auto"/>
            <w:vAlign w:val="center"/>
          </w:tcPr>
          <w:p w14:paraId="7BDCBDD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5D8545F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4B4AB17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0.96</w:t>
            </w:r>
          </w:p>
        </w:tc>
      </w:tr>
      <w:tr w14:paraId="5C11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5" w:hRule="atLeast"/>
        </w:trPr>
        <w:tc>
          <w:tcPr>
            <w:tcW w:w="480" w:type="pct"/>
            <w:shd w:val="clear" w:color="auto" w:fill="auto"/>
            <w:vAlign w:val="center"/>
          </w:tcPr>
          <w:p w14:paraId="4460837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12</w:t>
            </w:r>
          </w:p>
        </w:tc>
        <w:tc>
          <w:tcPr>
            <w:tcW w:w="643" w:type="pct"/>
            <w:shd w:val="clear" w:color="auto" w:fill="auto"/>
            <w:vAlign w:val="center"/>
          </w:tcPr>
          <w:p w14:paraId="1DAE5CF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BA011H</w:t>
            </w:r>
          </w:p>
        </w:tc>
        <w:tc>
          <w:tcPr>
            <w:tcW w:w="1447" w:type="pct"/>
            <w:shd w:val="clear" w:color="auto" w:fill="auto"/>
            <w:vAlign w:val="center"/>
          </w:tcPr>
          <w:p w14:paraId="2537C6A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G314国道K1615+820米处崩塌</w:t>
            </w:r>
          </w:p>
        </w:tc>
        <w:tc>
          <w:tcPr>
            <w:tcW w:w="613" w:type="pct"/>
            <w:shd w:val="clear" w:color="auto" w:fill="auto"/>
            <w:vAlign w:val="center"/>
          </w:tcPr>
          <w:p w14:paraId="4943E8A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2C3BD4DF">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26C1A31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63.78</w:t>
            </w:r>
          </w:p>
        </w:tc>
      </w:tr>
      <w:tr w14:paraId="679A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5" w:hRule="atLeast"/>
        </w:trPr>
        <w:tc>
          <w:tcPr>
            <w:tcW w:w="480" w:type="pct"/>
            <w:shd w:val="clear" w:color="auto" w:fill="auto"/>
            <w:vAlign w:val="center"/>
          </w:tcPr>
          <w:p w14:paraId="3120F91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13</w:t>
            </w:r>
          </w:p>
        </w:tc>
        <w:tc>
          <w:tcPr>
            <w:tcW w:w="643" w:type="pct"/>
            <w:shd w:val="clear" w:color="auto" w:fill="auto"/>
            <w:vAlign w:val="center"/>
          </w:tcPr>
          <w:p w14:paraId="4FC78A4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BA023X</w:t>
            </w:r>
          </w:p>
        </w:tc>
        <w:tc>
          <w:tcPr>
            <w:tcW w:w="1447" w:type="pct"/>
            <w:shd w:val="clear" w:color="auto" w:fill="auto"/>
            <w:vAlign w:val="center"/>
          </w:tcPr>
          <w:p w14:paraId="3B1E22D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公格尔水电站9号硐上方崩塌</w:t>
            </w:r>
          </w:p>
        </w:tc>
        <w:tc>
          <w:tcPr>
            <w:tcW w:w="613" w:type="pct"/>
            <w:shd w:val="clear" w:color="auto" w:fill="auto"/>
            <w:vAlign w:val="center"/>
          </w:tcPr>
          <w:p w14:paraId="7238D9F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2A08484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中型</w:t>
            </w:r>
          </w:p>
        </w:tc>
        <w:tc>
          <w:tcPr>
            <w:tcW w:w="1127" w:type="pct"/>
            <w:shd w:val="clear" w:color="auto" w:fill="auto"/>
            <w:vAlign w:val="center"/>
          </w:tcPr>
          <w:p w14:paraId="6B835A0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81.44</w:t>
            </w:r>
          </w:p>
        </w:tc>
      </w:tr>
      <w:tr w14:paraId="7F1D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atLeast"/>
        </w:trPr>
        <w:tc>
          <w:tcPr>
            <w:tcW w:w="480" w:type="pct"/>
            <w:shd w:val="clear" w:color="auto" w:fill="auto"/>
            <w:vAlign w:val="center"/>
          </w:tcPr>
          <w:p w14:paraId="293229A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14</w:t>
            </w:r>
          </w:p>
        </w:tc>
        <w:tc>
          <w:tcPr>
            <w:tcW w:w="643" w:type="pct"/>
            <w:shd w:val="clear" w:color="auto" w:fill="auto"/>
            <w:vAlign w:val="center"/>
          </w:tcPr>
          <w:p w14:paraId="248C677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BB025H</w:t>
            </w:r>
          </w:p>
        </w:tc>
        <w:tc>
          <w:tcPr>
            <w:tcW w:w="1447" w:type="pct"/>
            <w:shd w:val="clear" w:color="auto" w:fill="auto"/>
            <w:vAlign w:val="center"/>
          </w:tcPr>
          <w:p w14:paraId="7C94706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国道G314线K1600+950米处崩塌灾害点</w:t>
            </w:r>
          </w:p>
        </w:tc>
        <w:tc>
          <w:tcPr>
            <w:tcW w:w="613" w:type="pct"/>
            <w:shd w:val="clear" w:color="auto" w:fill="auto"/>
            <w:vAlign w:val="center"/>
          </w:tcPr>
          <w:p w14:paraId="0068A48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0746B5D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3CE52E6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150</w:t>
            </w:r>
          </w:p>
        </w:tc>
      </w:tr>
      <w:tr w14:paraId="3C7E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5" w:hRule="atLeast"/>
        </w:trPr>
        <w:tc>
          <w:tcPr>
            <w:tcW w:w="480" w:type="pct"/>
            <w:shd w:val="clear" w:color="auto" w:fill="auto"/>
            <w:vAlign w:val="center"/>
          </w:tcPr>
          <w:p w14:paraId="1E0CF3E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15</w:t>
            </w:r>
          </w:p>
        </w:tc>
        <w:tc>
          <w:tcPr>
            <w:tcW w:w="643" w:type="pct"/>
            <w:shd w:val="clear" w:color="auto" w:fill="auto"/>
            <w:vAlign w:val="center"/>
          </w:tcPr>
          <w:p w14:paraId="4E68657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BB026H</w:t>
            </w:r>
          </w:p>
        </w:tc>
        <w:tc>
          <w:tcPr>
            <w:tcW w:w="1447" w:type="pct"/>
            <w:shd w:val="clear" w:color="auto" w:fill="auto"/>
            <w:vAlign w:val="center"/>
          </w:tcPr>
          <w:p w14:paraId="20BC3F0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G315国道K1603+900米处崩塌灾害点</w:t>
            </w:r>
          </w:p>
        </w:tc>
        <w:tc>
          <w:tcPr>
            <w:tcW w:w="613" w:type="pct"/>
            <w:shd w:val="clear" w:color="auto" w:fill="auto"/>
            <w:vAlign w:val="center"/>
          </w:tcPr>
          <w:p w14:paraId="7467521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6237FE7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20A4A81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150</w:t>
            </w:r>
          </w:p>
        </w:tc>
      </w:tr>
      <w:tr w14:paraId="0999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35" w:hRule="atLeast"/>
        </w:trPr>
        <w:tc>
          <w:tcPr>
            <w:tcW w:w="480" w:type="pct"/>
            <w:shd w:val="clear" w:color="auto" w:fill="auto"/>
            <w:vAlign w:val="center"/>
          </w:tcPr>
          <w:p w14:paraId="47089FA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16</w:t>
            </w:r>
          </w:p>
        </w:tc>
        <w:tc>
          <w:tcPr>
            <w:tcW w:w="643" w:type="pct"/>
            <w:shd w:val="clear" w:color="auto" w:fill="auto"/>
            <w:vAlign w:val="center"/>
          </w:tcPr>
          <w:p w14:paraId="02DF405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BB033X</w:t>
            </w:r>
          </w:p>
        </w:tc>
        <w:tc>
          <w:tcPr>
            <w:tcW w:w="1447" w:type="pct"/>
            <w:shd w:val="clear" w:color="auto" w:fill="auto"/>
            <w:vAlign w:val="center"/>
          </w:tcPr>
          <w:p w14:paraId="3B64595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G314国道盖孜检查站南侧盖孜村崩塌隐患点</w:t>
            </w:r>
          </w:p>
        </w:tc>
        <w:tc>
          <w:tcPr>
            <w:tcW w:w="613" w:type="pct"/>
            <w:shd w:val="clear" w:color="auto" w:fill="auto"/>
            <w:vAlign w:val="center"/>
          </w:tcPr>
          <w:p w14:paraId="16B3F1D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422E8EC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4308501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1.2</w:t>
            </w:r>
          </w:p>
        </w:tc>
      </w:tr>
      <w:tr w14:paraId="782F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5" w:hRule="atLeast"/>
        </w:trPr>
        <w:tc>
          <w:tcPr>
            <w:tcW w:w="480" w:type="pct"/>
            <w:shd w:val="clear" w:color="auto" w:fill="auto"/>
            <w:vAlign w:val="center"/>
          </w:tcPr>
          <w:p w14:paraId="64FF919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17</w:t>
            </w:r>
          </w:p>
        </w:tc>
        <w:tc>
          <w:tcPr>
            <w:tcW w:w="643" w:type="pct"/>
            <w:shd w:val="clear" w:color="auto" w:fill="auto"/>
            <w:vAlign w:val="center"/>
          </w:tcPr>
          <w:p w14:paraId="2956DE5F">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BC002H</w:t>
            </w:r>
          </w:p>
        </w:tc>
        <w:tc>
          <w:tcPr>
            <w:tcW w:w="1447" w:type="pct"/>
            <w:shd w:val="clear" w:color="auto" w:fill="auto"/>
            <w:vAlign w:val="center"/>
          </w:tcPr>
          <w:p w14:paraId="5CF838D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G314K1581+310处崩塌核查点</w:t>
            </w:r>
          </w:p>
        </w:tc>
        <w:tc>
          <w:tcPr>
            <w:tcW w:w="613" w:type="pct"/>
            <w:shd w:val="clear" w:color="auto" w:fill="auto"/>
            <w:vAlign w:val="center"/>
          </w:tcPr>
          <w:p w14:paraId="2F419D6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18B97F7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6DE3362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10</w:t>
            </w:r>
          </w:p>
        </w:tc>
      </w:tr>
      <w:tr w14:paraId="72F9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35" w:hRule="atLeast"/>
        </w:trPr>
        <w:tc>
          <w:tcPr>
            <w:tcW w:w="480" w:type="pct"/>
            <w:shd w:val="clear" w:color="auto" w:fill="auto"/>
            <w:vAlign w:val="center"/>
          </w:tcPr>
          <w:p w14:paraId="658F837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18</w:t>
            </w:r>
          </w:p>
        </w:tc>
        <w:tc>
          <w:tcPr>
            <w:tcW w:w="643" w:type="pct"/>
            <w:shd w:val="clear" w:color="auto" w:fill="auto"/>
            <w:vAlign w:val="center"/>
          </w:tcPr>
          <w:p w14:paraId="7624B48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BC003H</w:t>
            </w:r>
          </w:p>
        </w:tc>
        <w:tc>
          <w:tcPr>
            <w:tcW w:w="1447" w:type="pct"/>
            <w:shd w:val="clear" w:color="auto" w:fill="auto"/>
            <w:vAlign w:val="center"/>
          </w:tcPr>
          <w:p w14:paraId="1B133BC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G314国道K1583+450处崩塌</w:t>
            </w:r>
          </w:p>
        </w:tc>
        <w:tc>
          <w:tcPr>
            <w:tcW w:w="613" w:type="pct"/>
            <w:shd w:val="clear" w:color="auto" w:fill="auto"/>
            <w:vAlign w:val="center"/>
          </w:tcPr>
          <w:p w14:paraId="0CF18E7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崩塌</w:t>
            </w:r>
          </w:p>
        </w:tc>
        <w:tc>
          <w:tcPr>
            <w:tcW w:w="687" w:type="pct"/>
            <w:shd w:val="clear" w:color="auto" w:fill="auto"/>
            <w:vAlign w:val="center"/>
          </w:tcPr>
          <w:p w14:paraId="273DAFF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484A833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5</w:t>
            </w:r>
          </w:p>
        </w:tc>
      </w:tr>
      <w:tr w14:paraId="37B6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5" w:hRule="atLeast"/>
        </w:trPr>
        <w:tc>
          <w:tcPr>
            <w:tcW w:w="480" w:type="pct"/>
            <w:shd w:val="clear" w:color="auto" w:fill="auto"/>
            <w:vAlign w:val="center"/>
          </w:tcPr>
          <w:p w14:paraId="1AF3731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19</w:t>
            </w:r>
          </w:p>
        </w:tc>
        <w:tc>
          <w:tcPr>
            <w:tcW w:w="643" w:type="pct"/>
            <w:shd w:val="clear" w:color="auto" w:fill="auto"/>
            <w:vAlign w:val="center"/>
          </w:tcPr>
          <w:p w14:paraId="6EDB8D4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ANA032H</w:t>
            </w:r>
          </w:p>
        </w:tc>
        <w:tc>
          <w:tcPr>
            <w:tcW w:w="1447" w:type="pct"/>
            <w:shd w:val="clear" w:color="auto" w:fill="auto"/>
            <w:vAlign w:val="center"/>
          </w:tcPr>
          <w:p w14:paraId="5A24B4C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斯得克沟以南约1km处的泥石流沟</w:t>
            </w:r>
          </w:p>
        </w:tc>
        <w:tc>
          <w:tcPr>
            <w:tcW w:w="613" w:type="pct"/>
            <w:shd w:val="clear" w:color="auto" w:fill="auto"/>
            <w:vAlign w:val="center"/>
          </w:tcPr>
          <w:p w14:paraId="765A821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1C88012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53163C3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4.2</w:t>
            </w:r>
          </w:p>
        </w:tc>
      </w:tr>
      <w:tr w14:paraId="7080A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795" w:hRule="atLeast"/>
        </w:trPr>
        <w:tc>
          <w:tcPr>
            <w:tcW w:w="480" w:type="pct"/>
            <w:shd w:val="clear" w:color="auto" w:fill="auto"/>
            <w:vAlign w:val="center"/>
          </w:tcPr>
          <w:p w14:paraId="0072E0C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20</w:t>
            </w:r>
          </w:p>
        </w:tc>
        <w:tc>
          <w:tcPr>
            <w:tcW w:w="643" w:type="pct"/>
            <w:shd w:val="clear" w:color="auto" w:fill="auto"/>
            <w:vAlign w:val="center"/>
          </w:tcPr>
          <w:p w14:paraId="6585D56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ANA035X</w:t>
            </w:r>
          </w:p>
        </w:tc>
        <w:tc>
          <w:tcPr>
            <w:tcW w:w="1447" w:type="pct"/>
            <w:shd w:val="clear" w:color="auto" w:fill="auto"/>
            <w:vAlign w:val="center"/>
          </w:tcPr>
          <w:p w14:paraId="2A718CC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康阔勒河北侧泥石流点</w:t>
            </w:r>
          </w:p>
        </w:tc>
        <w:tc>
          <w:tcPr>
            <w:tcW w:w="613" w:type="pct"/>
            <w:shd w:val="clear" w:color="auto" w:fill="auto"/>
            <w:vAlign w:val="center"/>
          </w:tcPr>
          <w:p w14:paraId="6475B00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6DCBD2D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46916FA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80</w:t>
            </w:r>
          </w:p>
        </w:tc>
      </w:tr>
      <w:tr w14:paraId="0CA6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35" w:hRule="atLeast"/>
        </w:trPr>
        <w:tc>
          <w:tcPr>
            <w:tcW w:w="480" w:type="pct"/>
            <w:shd w:val="clear" w:color="auto" w:fill="auto"/>
            <w:vAlign w:val="center"/>
          </w:tcPr>
          <w:p w14:paraId="765FD08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21</w:t>
            </w:r>
          </w:p>
        </w:tc>
        <w:tc>
          <w:tcPr>
            <w:tcW w:w="643" w:type="pct"/>
            <w:shd w:val="clear" w:color="auto" w:fill="auto"/>
            <w:vAlign w:val="center"/>
          </w:tcPr>
          <w:p w14:paraId="5B2EDBE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ANB031H</w:t>
            </w:r>
          </w:p>
        </w:tc>
        <w:tc>
          <w:tcPr>
            <w:tcW w:w="1447" w:type="pct"/>
            <w:shd w:val="clear" w:color="auto" w:fill="auto"/>
            <w:vAlign w:val="center"/>
          </w:tcPr>
          <w:p w14:paraId="6C1C0D4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乌如木阔若木沟</w:t>
            </w:r>
          </w:p>
        </w:tc>
        <w:tc>
          <w:tcPr>
            <w:tcW w:w="613" w:type="pct"/>
            <w:shd w:val="clear" w:color="auto" w:fill="auto"/>
            <w:vAlign w:val="center"/>
          </w:tcPr>
          <w:p w14:paraId="351C1BC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38A8217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1EFA5DB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65</w:t>
            </w:r>
          </w:p>
        </w:tc>
      </w:tr>
      <w:tr w14:paraId="4314E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5" w:hRule="atLeast"/>
        </w:trPr>
        <w:tc>
          <w:tcPr>
            <w:tcW w:w="480" w:type="pct"/>
            <w:shd w:val="clear" w:color="auto" w:fill="auto"/>
            <w:vAlign w:val="center"/>
          </w:tcPr>
          <w:p w14:paraId="64BFFD1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22</w:t>
            </w:r>
          </w:p>
        </w:tc>
        <w:tc>
          <w:tcPr>
            <w:tcW w:w="643" w:type="pct"/>
            <w:shd w:val="clear" w:color="auto" w:fill="auto"/>
            <w:vAlign w:val="center"/>
          </w:tcPr>
          <w:p w14:paraId="73779AD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ANC008H</w:t>
            </w:r>
          </w:p>
        </w:tc>
        <w:tc>
          <w:tcPr>
            <w:tcW w:w="1447" w:type="pct"/>
            <w:shd w:val="clear" w:color="auto" w:fill="auto"/>
            <w:vAlign w:val="center"/>
          </w:tcPr>
          <w:p w14:paraId="1BA8F29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也系尔萨依南11km泥石流沟</w:t>
            </w:r>
          </w:p>
        </w:tc>
        <w:tc>
          <w:tcPr>
            <w:tcW w:w="613" w:type="pct"/>
            <w:shd w:val="clear" w:color="auto" w:fill="auto"/>
            <w:vAlign w:val="center"/>
          </w:tcPr>
          <w:p w14:paraId="77FE73F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725B94A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259FDDC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31.5</w:t>
            </w:r>
          </w:p>
        </w:tc>
      </w:tr>
      <w:tr w14:paraId="5FC7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55" w:hRule="atLeast"/>
        </w:trPr>
        <w:tc>
          <w:tcPr>
            <w:tcW w:w="480" w:type="pct"/>
            <w:shd w:val="clear" w:color="auto" w:fill="auto"/>
            <w:vAlign w:val="center"/>
          </w:tcPr>
          <w:p w14:paraId="58A496A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23</w:t>
            </w:r>
          </w:p>
        </w:tc>
        <w:tc>
          <w:tcPr>
            <w:tcW w:w="643" w:type="pct"/>
            <w:shd w:val="clear" w:color="auto" w:fill="auto"/>
            <w:vAlign w:val="center"/>
          </w:tcPr>
          <w:p w14:paraId="175F281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AND002H</w:t>
            </w:r>
          </w:p>
        </w:tc>
        <w:tc>
          <w:tcPr>
            <w:tcW w:w="1447" w:type="pct"/>
            <w:shd w:val="clear" w:color="auto" w:fill="auto"/>
            <w:vAlign w:val="center"/>
          </w:tcPr>
          <w:p w14:paraId="603AE92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克孜勒塔克西约940m泥石流沟</w:t>
            </w:r>
          </w:p>
        </w:tc>
        <w:tc>
          <w:tcPr>
            <w:tcW w:w="613" w:type="pct"/>
            <w:shd w:val="clear" w:color="auto" w:fill="auto"/>
            <w:vAlign w:val="center"/>
          </w:tcPr>
          <w:p w14:paraId="3B797DE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458BE87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454890A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21.54</w:t>
            </w:r>
          </w:p>
        </w:tc>
      </w:tr>
      <w:tr w14:paraId="3404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1055" w:hRule="atLeast"/>
        </w:trPr>
        <w:tc>
          <w:tcPr>
            <w:tcW w:w="480" w:type="pct"/>
            <w:shd w:val="clear" w:color="auto" w:fill="auto"/>
            <w:vAlign w:val="center"/>
          </w:tcPr>
          <w:p w14:paraId="4FC5C18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24</w:t>
            </w:r>
          </w:p>
        </w:tc>
        <w:tc>
          <w:tcPr>
            <w:tcW w:w="643" w:type="pct"/>
            <w:shd w:val="clear" w:color="auto" w:fill="auto"/>
            <w:vAlign w:val="center"/>
          </w:tcPr>
          <w:p w14:paraId="4E0F787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AND006X</w:t>
            </w:r>
          </w:p>
        </w:tc>
        <w:tc>
          <w:tcPr>
            <w:tcW w:w="1447" w:type="pct"/>
            <w:shd w:val="clear" w:color="auto" w:fill="auto"/>
            <w:vAlign w:val="center"/>
          </w:tcPr>
          <w:p w14:paraId="2E1EC2B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克孜勒陶乡至阿克达拉牧场公路1.7km</w:t>
            </w:r>
          </w:p>
        </w:tc>
        <w:tc>
          <w:tcPr>
            <w:tcW w:w="613" w:type="pct"/>
            <w:shd w:val="clear" w:color="auto" w:fill="auto"/>
            <w:vAlign w:val="center"/>
          </w:tcPr>
          <w:p w14:paraId="6EE9970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53A32A8F">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1F1DC61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23.1</w:t>
            </w:r>
          </w:p>
        </w:tc>
      </w:tr>
      <w:tr w14:paraId="4F46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5" w:hRule="atLeast"/>
        </w:trPr>
        <w:tc>
          <w:tcPr>
            <w:tcW w:w="480" w:type="pct"/>
            <w:shd w:val="clear" w:color="auto" w:fill="auto"/>
            <w:vAlign w:val="center"/>
          </w:tcPr>
          <w:p w14:paraId="5AAF58B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25</w:t>
            </w:r>
          </w:p>
        </w:tc>
        <w:tc>
          <w:tcPr>
            <w:tcW w:w="643" w:type="pct"/>
            <w:shd w:val="clear" w:color="auto" w:fill="auto"/>
            <w:vAlign w:val="center"/>
          </w:tcPr>
          <w:p w14:paraId="369913B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AND008X</w:t>
            </w:r>
          </w:p>
        </w:tc>
        <w:tc>
          <w:tcPr>
            <w:tcW w:w="1447" w:type="pct"/>
            <w:shd w:val="clear" w:color="auto" w:fill="auto"/>
            <w:vAlign w:val="center"/>
          </w:tcPr>
          <w:p w14:paraId="7D89A5F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阿黑买特西沟西侧泥石流</w:t>
            </w:r>
          </w:p>
        </w:tc>
        <w:tc>
          <w:tcPr>
            <w:tcW w:w="613" w:type="pct"/>
            <w:shd w:val="clear" w:color="auto" w:fill="auto"/>
            <w:vAlign w:val="center"/>
          </w:tcPr>
          <w:p w14:paraId="57E495E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4BE554BF">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37E2AD5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6</w:t>
            </w:r>
          </w:p>
        </w:tc>
      </w:tr>
      <w:tr w14:paraId="20EB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35" w:hRule="atLeast"/>
        </w:trPr>
        <w:tc>
          <w:tcPr>
            <w:tcW w:w="480" w:type="pct"/>
            <w:shd w:val="clear" w:color="auto" w:fill="auto"/>
            <w:vAlign w:val="center"/>
          </w:tcPr>
          <w:p w14:paraId="01C95E9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26</w:t>
            </w:r>
          </w:p>
        </w:tc>
        <w:tc>
          <w:tcPr>
            <w:tcW w:w="643" w:type="pct"/>
            <w:shd w:val="clear" w:color="auto" w:fill="auto"/>
            <w:vAlign w:val="center"/>
          </w:tcPr>
          <w:p w14:paraId="28B8C27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AND009X</w:t>
            </w:r>
          </w:p>
        </w:tc>
        <w:tc>
          <w:tcPr>
            <w:tcW w:w="1447" w:type="pct"/>
            <w:shd w:val="clear" w:color="auto" w:fill="auto"/>
            <w:vAlign w:val="center"/>
          </w:tcPr>
          <w:p w14:paraId="677E23C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阿黑买特西沟东侧泥石流1</w:t>
            </w:r>
          </w:p>
        </w:tc>
        <w:tc>
          <w:tcPr>
            <w:tcW w:w="613" w:type="pct"/>
            <w:shd w:val="clear" w:color="auto" w:fill="auto"/>
            <w:vAlign w:val="center"/>
          </w:tcPr>
          <w:p w14:paraId="7581325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79E7A10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60E83A9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41.2</w:t>
            </w:r>
          </w:p>
        </w:tc>
      </w:tr>
      <w:tr w14:paraId="2B23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795" w:hRule="atLeast"/>
        </w:trPr>
        <w:tc>
          <w:tcPr>
            <w:tcW w:w="480" w:type="pct"/>
            <w:shd w:val="clear" w:color="auto" w:fill="auto"/>
            <w:vAlign w:val="center"/>
          </w:tcPr>
          <w:p w14:paraId="0F22170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27</w:t>
            </w:r>
          </w:p>
        </w:tc>
        <w:tc>
          <w:tcPr>
            <w:tcW w:w="643" w:type="pct"/>
            <w:shd w:val="clear" w:color="auto" w:fill="auto"/>
            <w:vAlign w:val="center"/>
          </w:tcPr>
          <w:p w14:paraId="6245CABF">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AND010X</w:t>
            </w:r>
          </w:p>
        </w:tc>
        <w:tc>
          <w:tcPr>
            <w:tcW w:w="1447" w:type="pct"/>
            <w:shd w:val="clear" w:color="auto" w:fill="auto"/>
            <w:vAlign w:val="center"/>
          </w:tcPr>
          <w:p w14:paraId="273E913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阿黑买特西沟东侧泥石流2</w:t>
            </w:r>
          </w:p>
        </w:tc>
        <w:tc>
          <w:tcPr>
            <w:tcW w:w="613" w:type="pct"/>
            <w:shd w:val="clear" w:color="auto" w:fill="auto"/>
            <w:vAlign w:val="center"/>
          </w:tcPr>
          <w:p w14:paraId="75FA327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0222C0F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727EC8F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w:t>
            </w:r>
          </w:p>
        </w:tc>
      </w:tr>
      <w:tr w14:paraId="5441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795" w:hRule="atLeast"/>
        </w:trPr>
        <w:tc>
          <w:tcPr>
            <w:tcW w:w="480" w:type="pct"/>
            <w:shd w:val="clear" w:color="auto" w:fill="auto"/>
            <w:vAlign w:val="center"/>
          </w:tcPr>
          <w:p w14:paraId="3A5D42B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28</w:t>
            </w:r>
          </w:p>
        </w:tc>
        <w:tc>
          <w:tcPr>
            <w:tcW w:w="643" w:type="pct"/>
            <w:shd w:val="clear" w:color="auto" w:fill="auto"/>
            <w:vAlign w:val="center"/>
          </w:tcPr>
          <w:p w14:paraId="0737853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AND011X</w:t>
            </w:r>
          </w:p>
        </w:tc>
        <w:tc>
          <w:tcPr>
            <w:tcW w:w="1447" w:type="pct"/>
            <w:shd w:val="clear" w:color="auto" w:fill="auto"/>
            <w:vAlign w:val="center"/>
          </w:tcPr>
          <w:p w14:paraId="3ECF175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阿黑买特西沟东侧泥石流3</w:t>
            </w:r>
          </w:p>
        </w:tc>
        <w:tc>
          <w:tcPr>
            <w:tcW w:w="613" w:type="pct"/>
            <w:shd w:val="clear" w:color="auto" w:fill="auto"/>
            <w:vAlign w:val="center"/>
          </w:tcPr>
          <w:p w14:paraId="204965D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12B9469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2C90DFE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26.8</w:t>
            </w:r>
          </w:p>
        </w:tc>
      </w:tr>
      <w:tr w14:paraId="090F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5" w:hRule="atLeast"/>
        </w:trPr>
        <w:tc>
          <w:tcPr>
            <w:tcW w:w="480" w:type="pct"/>
            <w:shd w:val="clear" w:color="auto" w:fill="auto"/>
            <w:vAlign w:val="center"/>
          </w:tcPr>
          <w:p w14:paraId="39168B0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29</w:t>
            </w:r>
          </w:p>
        </w:tc>
        <w:tc>
          <w:tcPr>
            <w:tcW w:w="643" w:type="pct"/>
            <w:shd w:val="clear" w:color="auto" w:fill="auto"/>
            <w:vAlign w:val="center"/>
          </w:tcPr>
          <w:p w14:paraId="6D311CB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AND015X</w:t>
            </w:r>
          </w:p>
        </w:tc>
        <w:tc>
          <w:tcPr>
            <w:tcW w:w="1447" w:type="pct"/>
            <w:shd w:val="clear" w:color="auto" w:fill="auto"/>
            <w:vAlign w:val="center"/>
          </w:tcPr>
          <w:p w14:paraId="470821B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喀尔乌勒村村委会东北500m处泥石流</w:t>
            </w:r>
          </w:p>
        </w:tc>
        <w:tc>
          <w:tcPr>
            <w:tcW w:w="613" w:type="pct"/>
            <w:shd w:val="clear" w:color="auto" w:fill="auto"/>
            <w:vAlign w:val="center"/>
          </w:tcPr>
          <w:p w14:paraId="7470569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5277235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7EE195A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29.5</w:t>
            </w:r>
          </w:p>
        </w:tc>
      </w:tr>
      <w:tr w14:paraId="4915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55" w:hRule="atLeast"/>
        </w:trPr>
        <w:tc>
          <w:tcPr>
            <w:tcW w:w="480" w:type="pct"/>
            <w:shd w:val="clear" w:color="auto" w:fill="auto"/>
            <w:vAlign w:val="center"/>
          </w:tcPr>
          <w:p w14:paraId="1711A57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30</w:t>
            </w:r>
          </w:p>
        </w:tc>
        <w:tc>
          <w:tcPr>
            <w:tcW w:w="643" w:type="pct"/>
            <w:shd w:val="clear" w:color="auto" w:fill="auto"/>
            <w:vAlign w:val="center"/>
          </w:tcPr>
          <w:p w14:paraId="17381AB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NA001H</w:t>
            </w:r>
          </w:p>
        </w:tc>
        <w:tc>
          <w:tcPr>
            <w:tcW w:w="1447" w:type="pct"/>
            <w:shd w:val="clear" w:color="auto" w:fill="auto"/>
            <w:vAlign w:val="center"/>
          </w:tcPr>
          <w:p w14:paraId="0288F7B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G314国道K1593+130米处泥石流</w:t>
            </w:r>
          </w:p>
        </w:tc>
        <w:tc>
          <w:tcPr>
            <w:tcW w:w="613" w:type="pct"/>
            <w:shd w:val="clear" w:color="auto" w:fill="auto"/>
            <w:vAlign w:val="center"/>
          </w:tcPr>
          <w:p w14:paraId="76E58AC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16D0061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3E9CD06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755.6</w:t>
            </w:r>
          </w:p>
        </w:tc>
      </w:tr>
      <w:tr w14:paraId="12B4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atLeast"/>
        </w:trPr>
        <w:tc>
          <w:tcPr>
            <w:tcW w:w="480" w:type="pct"/>
            <w:shd w:val="clear" w:color="auto" w:fill="auto"/>
            <w:vAlign w:val="center"/>
          </w:tcPr>
          <w:p w14:paraId="55C44AD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31</w:t>
            </w:r>
          </w:p>
        </w:tc>
        <w:tc>
          <w:tcPr>
            <w:tcW w:w="643" w:type="pct"/>
            <w:shd w:val="clear" w:color="auto" w:fill="auto"/>
            <w:vAlign w:val="center"/>
          </w:tcPr>
          <w:p w14:paraId="710DEC4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NA002H</w:t>
            </w:r>
          </w:p>
        </w:tc>
        <w:tc>
          <w:tcPr>
            <w:tcW w:w="1447" w:type="pct"/>
            <w:shd w:val="clear" w:color="auto" w:fill="auto"/>
            <w:vAlign w:val="center"/>
          </w:tcPr>
          <w:p w14:paraId="0B17940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G314线K1591+780米处泥石流</w:t>
            </w:r>
          </w:p>
        </w:tc>
        <w:tc>
          <w:tcPr>
            <w:tcW w:w="613" w:type="pct"/>
            <w:shd w:val="clear" w:color="auto" w:fill="auto"/>
            <w:vAlign w:val="center"/>
          </w:tcPr>
          <w:p w14:paraId="417A18D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3061246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2B2A216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65.52</w:t>
            </w:r>
          </w:p>
        </w:tc>
      </w:tr>
      <w:tr w14:paraId="2BA5D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55" w:hRule="atLeast"/>
        </w:trPr>
        <w:tc>
          <w:tcPr>
            <w:tcW w:w="480" w:type="pct"/>
            <w:shd w:val="clear" w:color="auto" w:fill="auto"/>
            <w:vAlign w:val="center"/>
          </w:tcPr>
          <w:p w14:paraId="5DB250D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32</w:t>
            </w:r>
          </w:p>
        </w:tc>
        <w:tc>
          <w:tcPr>
            <w:tcW w:w="643" w:type="pct"/>
            <w:shd w:val="clear" w:color="auto" w:fill="auto"/>
            <w:vAlign w:val="center"/>
          </w:tcPr>
          <w:p w14:paraId="221B383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NA007H</w:t>
            </w:r>
          </w:p>
        </w:tc>
        <w:tc>
          <w:tcPr>
            <w:tcW w:w="1447" w:type="pct"/>
            <w:shd w:val="clear" w:color="auto" w:fill="auto"/>
            <w:vAlign w:val="center"/>
          </w:tcPr>
          <w:p w14:paraId="2FDDFA6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G314线K1627+930米处泥石流</w:t>
            </w:r>
          </w:p>
        </w:tc>
        <w:tc>
          <w:tcPr>
            <w:tcW w:w="613" w:type="pct"/>
            <w:shd w:val="clear" w:color="auto" w:fill="auto"/>
            <w:vAlign w:val="center"/>
          </w:tcPr>
          <w:p w14:paraId="34C8E4B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698ADAC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54C7C7B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180.1</w:t>
            </w:r>
          </w:p>
        </w:tc>
      </w:tr>
      <w:tr w14:paraId="5058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35" w:hRule="atLeast"/>
        </w:trPr>
        <w:tc>
          <w:tcPr>
            <w:tcW w:w="480" w:type="pct"/>
            <w:shd w:val="clear" w:color="auto" w:fill="auto"/>
            <w:vAlign w:val="center"/>
          </w:tcPr>
          <w:p w14:paraId="5A04113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33</w:t>
            </w:r>
          </w:p>
        </w:tc>
        <w:tc>
          <w:tcPr>
            <w:tcW w:w="643" w:type="pct"/>
            <w:shd w:val="clear" w:color="auto" w:fill="auto"/>
            <w:vAlign w:val="center"/>
          </w:tcPr>
          <w:p w14:paraId="48ABD66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NB001H</w:t>
            </w:r>
          </w:p>
        </w:tc>
        <w:tc>
          <w:tcPr>
            <w:tcW w:w="1447" w:type="pct"/>
            <w:shd w:val="clear" w:color="auto" w:fill="auto"/>
            <w:vAlign w:val="center"/>
          </w:tcPr>
          <w:p w14:paraId="319A25B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G314国道K1587+30米处泥石流灾害隐患点</w:t>
            </w:r>
          </w:p>
        </w:tc>
        <w:tc>
          <w:tcPr>
            <w:tcW w:w="613" w:type="pct"/>
            <w:shd w:val="clear" w:color="auto" w:fill="auto"/>
            <w:vAlign w:val="center"/>
          </w:tcPr>
          <w:p w14:paraId="0D67C01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33F83C5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4300D0C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151.2</w:t>
            </w:r>
          </w:p>
        </w:tc>
      </w:tr>
      <w:tr w14:paraId="612E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atLeast"/>
        </w:trPr>
        <w:tc>
          <w:tcPr>
            <w:tcW w:w="480" w:type="pct"/>
            <w:shd w:val="clear" w:color="auto" w:fill="auto"/>
            <w:vAlign w:val="center"/>
          </w:tcPr>
          <w:p w14:paraId="090BDCE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34</w:t>
            </w:r>
          </w:p>
        </w:tc>
        <w:tc>
          <w:tcPr>
            <w:tcW w:w="643" w:type="pct"/>
            <w:shd w:val="clear" w:color="auto" w:fill="auto"/>
            <w:vAlign w:val="center"/>
          </w:tcPr>
          <w:p w14:paraId="3F4595F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NB004H</w:t>
            </w:r>
          </w:p>
        </w:tc>
        <w:tc>
          <w:tcPr>
            <w:tcW w:w="1447" w:type="pct"/>
            <w:shd w:val="clear" w:color="auto" w:fill="auto"/>
            <w:vAlign w:val="center"/>
          </w:tcPr>
          <w:p w14:paraId="26B1329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G314国道K1585+900米处泥石流灾害点</w:t>
            </w:r>
          </w:p>
        </w:tc>
        <w:tc>
          <w:tcPr>
            <w:tcW w:w="613" w:type="pct"/>
            <w:shd w:val="clear" w:color="auto" w:fill="auto"/>
            <w:vAlign w:val="center"/>
          </w:tcPr>
          <w:p w14:paraId="0EE9DE7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63BC83D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231AC0D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150</w:t>
            </w:r>
          </w:p>
        </w:tc>
      </w:tr>
      <w:tr w14:paraId="6247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795" w:hRule="atLeast"/>
        </w:trPr>
        <w:tc>
          <w:tcPr>
            <w:tcW w:w="480" w:type="pct"/>
            <w:shd w:val="clear" w:color="auto" w:fill="auto"/>
            <w:vAlign w:val="center"/>
          </w:tcPr>
          <w:p w14:paraId="685F06D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35</w:t>
            </w:r>
          </w:p>
        </w:tc>
        <w:tc>
          <w:tcPr>
            <w:tcW w:w="643" w:type="pct"/>
            <w:shd w:val="clear" w:color="auto" w:fill="auto"/>
            <w:vAlign w:val="center"/>
          </w:tcPr>
          <w:p w14:paraId="6696988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NB006H</w:t>
            </w:r>
          </w:p>
        </w:tc>
        <w:tc>
          <w:tcPr>
            <w:tcW w:w="1447" w:type="pct"/>
            <w:shd w:val="clear" w:color="auto" w:fill="auto"/>
            <w:vAlign w:val="center"/>
          </w:tcPr>
          <w:p w14:paraId="4DEF38C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G314国道K1598+700泥石流灾害点</w:t>
            </w:r>
          </w:p>
        </w:tc>
        <w:tc>
          <w:tcPr>
            <w:tcW w:w="613" w:type="pct"/>
            <w:shd w:val="clear" w:color="auto" w:fill="auto"/>
            <w:vAlign w:val="center"/>
          </w:tcPr>
          <w:p w14:paraId="7394E43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4FBA782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2DBF413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407.2</w:t>
            </w:r>
          </w:p>
        </w:tc>
      </w:tr>
      <w:tr w14:paraId="592F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795" w:hRule="atLeast"/>
        </w:trPr>
        <w:tc>
          <w:tcPr>
            <w:tcW w:w="480" w:type="pct"/>
            <w:shd w:val="clear" w:color="auto" w:fill="auto"/>
            <w:vAlign w:val="center"/>
          </w:tcPr>
          <w:p w14:paraId="55D3459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36</w:t>
            </w:r>
          </w:p>
        </w:tc>
        <w:tc>
          <w:tcPr>
            <w:tcW w:w="643" w:type="pct"/>
            <w:shd w:val="clear" w:color="auto" w:fill="auto"/>
            <w:vAlign w:val="center"/>
          </w:tcPr>
          <w:p w14:paraId="2896C46F">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NB009H</w:t>
            </w:r>
          </w:p>
        </w:tc>
        <w:tc>
          <w:tcPr>
            <w:tcW w:w="1447" w:type="pct"/>
            <w:shd w:val="clear" w:color="auto" w:fill="auto"/>
            <w:vAlign w:val="center"/>
          </w:tcPr>
          <w:p w14:paraId="61308FE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G314国道K1596+750米处泥石流灾害点</w:t>
            </w:r>
          </w:p>
        </w:tc>
        <w:tc>
          <w:tcPr>
            <w:tcW w:w="613" w:type="pct"/>
            <w:shd w:val="clear" w:color="auto" w:fill="auto"/>
            <w:vAlign w:val="center"/>
          </w:tcPr>
          <w:p w14:paraId="60014CD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28AD903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68D3C7C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203.6</w:t>
            </w:r>
          </w:p>
        </w:tc>
      </w:tr>
      <w:tr w14:paraId="4931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295" w:hRule="atLeast"/>
        </w:trPr>
        <w:tc>
          <w:tcPr>
            <w:tcW w:w="480" w:type="pct"/>
            <w:shd w:val="clear" w:color="auto" w:fill="auto"/>
            <w:vAlign w:val="center"/>
          </w:tcPr>
          <w:p w14:paraId="4E55AF8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37</w:t>
            </w:r>
          </w:p>
        </w:tc>
        <w:tc>
          <w:tcPr>
            <w:tcW w:w="643" w:type="pct"/>
            <w:shd w:val="clear" w:color="auto" w:fill="auto"/>
            <w:vAlign w:val="center"/>
          </w:tcPr>
          <w:p w14:paraId="23CFC8D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NB010X</w:t>
            </w:r>
          </w:p>
        </w:tc>
        <w:tc>
          <w:tcPr>
            <w:tcW w:w="1447" w:type="pct"/>
            <w:shd w:val="clear" w:color="auto" w:fill="auto"/>
            <w:vAlign w:val="center"/>
          </w:tcPr>
          <w:p w14:paraId="76CB05F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G314国道1596+400米处泥石流灾害点</w:t>
            </w:r>
          </w:p>
        </w:tc>
        <w:tc>
          <w:tcPr>
            <w:tcW w:w="613" w:type="pct"/>
            <w:shd w:val="clear" w:color="auto" w:fill="auto"/>
            <w:vAlign w:val="center"/>
          </w:tcPr>
          <w:p w14:paraId="2B9A693F">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76E1D48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4F4FEDA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250</w:t>
            </w:r>
          </w:p>
        </w:tc>
      </w:tr>
      <w:tr w14:paraId="15CE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atLeast"/>
        </w:trPr>
        <w:tc>
          <w:tcPr>
            <w:tcW w:w="480" w:type="pct"/>
            <w:shd w:val="clear" w:color="auto" w:fill="auto"/>
            <w:vAlign w:val="center"/>
          </w:tcPr>
          <w:p w14:paraId="6E5FBE3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38</w:t>
            </w:r>
          </w:p>
        </w:tc>
        <w:tc>
          <w:tcPr>
            <w:tcW w:w="643" w:type="pct"/>
            <w:shd w:val="clear" w:color="auto" w:fill="auto"/>
            <w:vAlign w:val="center"/>
          </w:tcPr>
          <w:p w14:paraId="78BB2A2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NB012H</w:t>
            </w:r>
          </w:p>
        </w:tc>
        <w:tc>
          <w:tcPr>
            <w:tcW w:w="1447" w:type="pct"/>
            <w:shd w:val="clear" w:color="auto" w:fill="auto"/>
            <w:vAlign w:val="center"/>
          </w:tcPr>
          <w:p w14:paraId="7DFFCF5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G314国道K1594+400米处泥石流灾害点</w:t>
            </w:r>
          </w:p>
        </w:tc>
        <w:tc>
          <w:tcPr>
            <w:tcW w:w="613" w:type="pct"/>
            <w:shd w:val="clear" w:color="auto" w:fill="auto"/>
            <w:vAlign w:val="center"/>
          </w:tcPr>
          <w:p w14:paraId="28DE254F">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1CB4159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3C57AA7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300</w:t>
            </w:r>
          </w:p>
        </w:tc>
      </w:tr>
      <w:tr w14:paraId="04C1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atLeast"/>
        </w:trPr>
        <w:tc>
          <w:tcPr>
            <w:tcW w:w="480" w:type="pct"/>
            <w:shd w:val="clear" w:color="auto" w:fill="auto"/>
            <w:vAlign w:val="center"/>
          </w:tcPr>
          <w:p w14:paraId="3822945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39</w:t>
            </w:r>
          </w:p>
        </w:tc>
        <w:tc>
          <w:tcPr>
            <w:tcW w:w="643" w:type="pct"/>
            <w:shd w:val="clear" w:color="auto" w:fill="auto"/>
            <w:vAlign w:val="center"/>
          </w:tcPr>
          <w:p w14:paraId="4EBD984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NB018H</w:t>
            </w:r>
          </w:p>
        </w:tc>
        <w:tc>
          <w:tcPr>
            <w:tcW w:w="1447" w:type="pct"/>
            <w:shd w:val="clear" w:color="auto" w:fill="auto"/>
            <w:vAlign w:val="center"/>
          </w:tcPr>
          <w:p w14:paraId="37347F4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国道G314线K1602+600米处泥石流灾害点</w:t>
            </w:r>
          </w:p>
        </w:tc>
        <w:tc>
          <w:tcPr>
            <w:tcW w:w="613" w:type="pct"/>
            <w:shd w:val="clear" w:color="auto" w:fill="auto"/>
            <w:vAlign w:val="center"/>
          </w:tcPr>
          <w:p w14:paraId="3B89842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1692A13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55AB9E2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353.5</w:t>
            </w:r>
          </w:p>
        </w:tc>
      </w:tr>
      <w:tr w14:paraId="7D9B9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5" w:hRule="atLeast"/>
        </w:trPr>
        <w:tc>
          <w:tcPr>
            <w:tcW w:w="480" w:type="pct"/>
            <w:shd w:val="clear" w:color="auto" w:fill="auto"/>
            <w:vAlign w:val="center"/>
          </w:tcPr>
          <w:p w14:paraId="33C83E9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40</w:t>
            </w:r>
          </w:p>
        </w:tc>
        <w:tc>
          <w:tcPr>
            <w:tcW w:w="643" w:type="pct"/>
            <w:shd w:val="clear" w:color="auto" w:fill="auto"/>
            <w:vAlign w:val="center"/>
          </w:tcPr>
          <w:p w14:paraId="4A2ECF4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NB026X</w:t>
            </w:r>
          </w:p>
        </w:tc>
        <w:tc>
          <w:tcPr>
            <w:tcW w:w="1447" w:type="pct"/>
            <w:shd w:val="clear" w:color="auto" w:fill="auto"/>
            <w:vAlign w:val="center"/>
          </w:tcPr>
          <w:p w14:paraId="6AF27F6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G315国道K1634+800泥石流灾害</w:t>
            </w:r>
          </w:p>
        </w:tc>
        <w:tc>
          <w:tcPr>
            <w:tcW w:w="613" w:type="pct"/>
            <w:shd w:val="clear" w:color="auto" w:fill="auto"/>
            <w:vAlign w:val="center"/>
          </w:tcPr>
          <w:p w14:paraId="13A6EDD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72702FF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046ED0F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407.2</w:t>
            </w:r>
          </w:p>
        </w:tc>
      </w:tr>
      <w:tr w14:paraId="1A05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5" w:hRule="atLeast"/>
        </w:trPr>
        <w:tc>
          <w:tcPr>
            <w:tcW w:w="480" w:type="pct"/>
            <w:shd w:val="clear" w:color="auto" w:fill="auto"/>
            <w:vAlign w:val="center"/>
          </w:tcPr>
          <w:p w14:paraId="5A719D6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41</w:t>
            </w:r>
          </w:p>
        </w:tc>
        <w:tc>
          <w:tcPr>
            <w:tcW w:w="643" w:type="pct"/>
            <w:shd w:val="clear" w:color="auto" w:fill="auto"/>
            <w:vAlign w:val="center"/>
          </w:tcPr>
          <w:p w14:paraId="2044318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NB027X</w:t>
            </w:r>
          </w:p>
        </w:tc>
        <w:tc>
          <w:tcPr>
            <w:tcW w:w="1447" w:type="pct"/>
            <w:shd w:val="clear" w:color="auto" w:fill="auto"/>
            <w:vAlign w:val="center"/>
          </w:tcPr>
          <w:p w14:paraId="65A9C52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G314国道K1634+400泥石流灾害</w:t>
            </w:r>
          </w:p>
        </w:tc>
        <w:tc>
          <w:tcPr>
            <w:tcW w:w="613" w:type="pct"/>
            <w:shd w:val="clear" w:color="auto" w:fill="auto"/>
            <w:vAlign w:val="center"/>
          </w:tcPr>
          <w:p w14:paraId="39C12D9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4BE691D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515BEE9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305.4</w:t>
            </w:r>
          </w:p>
        </w:tc>
      </w:tr>
      <w:tr w14:paraId="3DF2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5" w:hRule="atLeast"/>
        </w:trPr>
        <w:tc>
          <w:tcPr>
            <w:tcW w:w="480" w:type="pct"/>
            <w:shd w:val="clear" w:color="auto" w:fill="auto"/>
            <w:vAlign w:val="center"/>
          </w:tcPr>
          <w:p w14:paraId="459D6D9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42</w:t>
            </w:r>
          </w:p>
        </w:tc>
        <w:tc>
          <w:tcPr>
            <w:tcW w:w="643" w:type="pct"/>
            <w:shd w:val="clear" w:color="auto" w:fill="auto"/>
            <w:vAlign w:val="center"/>
          </w:tcPr>
          <w:p w14:paraId="7AB9EB5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NB031X</w:t>
            </w:r>
          </w:p>
        </w:tc>
        <w:tc>
          <w:tcPr>
            <w:tcW w:w="1447" w:type="pct"/>
            <w:shd w:val="clear" w:color="auto" w:fill="auto"/>
            <w:vAlign w:val="center"/>
          </w:tcPr>
          <w:p w14:paraId="0430232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G315国道K1606+900米处泥石流灾害点</w:t>
            </w:r>
          </w:p>
        </w:tc>
        <w:tc>
          <w:tcPr>
            <w:tcW w:w="613" w:type="pct"/>
            <w:shd w:val="clear" w:color="auto" w:fill="auto"/>
            <w:vAlign w:val="center"/>
          </w:tcPr>
          <w:p w14:paraId="056E258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32E0683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555B5B3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407.2</w:t>
            </w:r>
          </w:p>
        </w:tc>
      </w:tr>
      <w:tr w14:paraId="6180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795" w:hRule="atLeast"/>
        </w:trPr>
        <w:tc>
          <w:tcPr>
            <w:tcW w:w="480" w:type="pct"/>
            <w:shd w:val="clear" w:color="auto" w:fill="auto"/>
            <w:vAlign w:val="center"/>
          </w:tcPr>
          <w:p w14:paraId="3C60269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43</w:t>
            </w:r>
          </w:p>
        </w:tc>
        <w:tc>
          <w:tcPr>
            <w:tcW w:w="643" w:type="pct"/>
            <w:shd w:val="clear" w:color="auto" w:fill="auto"/>
            <w:vAlign w:val="center"/>
          </w:tcPr>
          <w:p w14:paraId="5FFDD11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NB032X</w:t>
            </w:r>
          </w:p>
        </w:tc>
        <w:tc>
          <w:tcPr>
            <w:tcW w:w="1447" w:type="pct"/>
            <w:shd w:val="clear" w:color="auto" w:fill="auto"/>
            <w:vAlign w:val="center"/>
          </w:tcPr>
          <w:p w14:paraId="3EBB985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G314国道K1605+950米处泥石流灾害点</w:t>
            </w:r>
          </w:p>
        </w:tc>
        <w:tc>
          <w:tcPr>
            <w:tcW w:w="613" w:type="pct"/>
            <w:shd w:val="clear" w:color="auto" w:fill="auto"/>
            <w:vAlign w:val="center"/>
          </w:tcPr>
          <w:p w14:paraId="4B0432B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3C5C066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2468D36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152.7</w:t>
            </w:r>
          </w:p>
        </w:tc>
      </w:tr>
      <w:tr w14:paraId="5B1A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795" w:hRule="atLeast"/>
        </w:trPr>
        <w:tc>
          <w:tcPr>
            <w:tcW w:w="480" w:type="pct"/>
            <w:shd w:val="clear" w:color="auto" w:fill="auto"/>
            <w:vAlign w:val="center"/>
          </w:tcPr>
          <w:p w14:paraId="67781BC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44</w:t>
            </w:r>
          </w:p>
        </w:tc>
        <w:tc>
          <w:tcPr>
            <w:tcW w:w="643" w:type="pct"/>
            <w:shd w:val="clear" w:color="auto" w:fill="auto"/>
            <w:vAlign w:val="center"/>
          </w:tcPr>
          <w:p w14:paraId="52E42D8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NB034X</w:t>
            </w:r>
          </w:p>
        </w:tc>
        <w:tc>
          <w:tcPr>
            <w:tcW w:w="1447" w:type="pct"/>
            <w:shd w:val="clear" w:color="auto" w:fill="auto"/>
            <w:vAlign w:val="center"/>
          </w:tcPr>
          <w:p w14:paraId="0628EE0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G315国道K1603+50米处泥石流灾害点</w:t>
            </w:r>
          </w:p>
        </w:tc>
        <w:tc>
          <w:tcPr>
            <w:tcW w:w="613" w:type="pct"/>
            <w:shd w:val="clear" w:color="auto" w:fill="auto"/>
            <w:vAlign w:val="center"/>
          </w:tcPr>
          <w:p w14:paraId="6A17942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0AF885F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中型</w:t>
            </w:r>
          </w:p>
        </w:tc>
        <w:tc>
          <w:tcPr>
            <w:tcW w:w="1127" w:type="pct"/>
            <w:shd w:val="clear" w:color="auto" w:fill="auto"/>
            <w:vAlign w:val="center"/>
          </w:tcPr>
          <w:p w14:paraId="65AEB59F">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509</w:t>
            </w:r>
          </w:p>
        </w:tc>
      </w:tr>
      <w:tr w14:paraId="3DCD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5" w:hRule="atLeast"/>
        </w:trPr>
        <w:tc>
          <w:tcPr>
            <w:tcW w:w="480" w:type="pct"/>
            <w:shd w:val="clear" w:color="auto" w:fill="auto"/>
            <w:vAlign w:val="center"/>
          </w:tcPr>
          <w:p w14:paraId="53C6D46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45</w:t>
            </w:r>
          </w:p>
        </w:tc>
        <w:tc>
          <w:tcPr>
            <w:tcW w:w="643" w:type="pct"/>
            <w:shd w:val="clear" w:color="auto" w:fill="auto"/>
            <w:vAlign w:val="center"/>
          </w:tcPr>
          <w:p w14:paraId="7507B54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NC002X</w:t>
            </w:r>
          </w:p>
        </w:tc>
        <w:tc>
          <w:tcPr>
            <w:tcW w:w="1447" w:type="pct"/>
            <w:shd w:val="clear" w:color="auto" w:fill="auto"/>
            <w:vAlign w:val="center"/>
          </w:tcPr>
          <w:p w14:paraId="6808D4B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G314国道K1580+200处泥石流</w:t>
            </w:r>
          </w:p>
        </w:tc>
        <w:tc>
          <w:tcPr>
            <w:tcW w:w="613" w:type="pct"/>
            <w:shd w:val="clear" w:color="auto" w:fill="auto"/>
            <w:vAlign w:val="center"/>
          </w:tcPr>
          <w:p w14:paraId="250C7CD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048175E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1241FE2F">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40.16</w:t>
            </w:r>
          </w:p>
        </w:tc>
      </w:tr>
      <w:tr w14:paraId="6D81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5" w:hRule="atLeast"/>
        </w:trPr>
        <w:tc>
          <w:tcPr>
            <w:tcW w:w="480" w:type="pct"/>
            <w:shd w:val="clear" w:color="auto" w:fill="auto"/>
            <w:vAlign w:val="center"/>
          </w:tcPr>
          <w:p w14:paraId="692F112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46</w:t>
            </w:r>
          </w:p>
        </w:tc>
        <w:tc>
          <w:tcPr>
            <w:tcW w:w="643" w:type="pct"/>
            <w:shd w:val="clear" w:color="auto" w:fill="auto"/>
            <w:vAlign w:val="center"/>
          </w:tcPr>
          <w:p w14:paraId="43CEC7D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NC005H</w:t>
            </w:r>
          </w:p>
        </w:tc>
        <w:tc>
          <w:tcPr>
            <w:tcW w:w="1447" w:type="pct"/>
            <w:shd w:val="clear" w:color="auto" w:fill="auto"/>
            <w:vAlign w:val="center"/>
          </w:tcPr>
          <w:p w14:paraId="53E11F1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G314国道K1583+650处泥石流</w:t>
            </w:r>
          </w:p>
        </w:tc>
        <w:tc>
          <w:tcPr>
            <w:tcW w:w="613" w:type="pct"/>
            <w:shd w:val="clear" w:color="auto" w:fill="auto"/>
            <w:vAlign w:val="center"/>
          </w:tcPr>
          <w:p w14:paraId="1F3744A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0DAF520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7C41E98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30</w:t>
            </w:r>
          </w:p>
        </w:tc>
      </w:tr>
      <w:tr w14:paraId="093B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5" w:hRule="atLeast"/>
        </w:trPr>
        <w:tc>
          <w:tcPr>
            <w:tcW w:w="480" w:type="pct"/>
            <w:shd w:val="clear" w:color="auto" w:fill="auto"/>
            <w:vAlign w:val="center"/>
          </w:tcPr>
          <w:p w14:paraId="220D9D3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47</w:t>
            </w:r>
          </w:p>
        </w:tc>
        <w:tc>
          <w:tcPr>
            <w:tcW w:w="643" w:type="pct"/>
            <w:shd w:val="clear" w:color="auto" w:fill="auto"/>
            <w:vAlign w:val="center"/>
          </w:tcPr>
          <w:p w14:paraId="6EC81B2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NC007H</w:t>
            </w:r>
          </w:p>
        </w:tc>
        <w:tc>
          <w:tcPr>
            <w:tcW w:w="1447" w:type="pct"/>
            <w:shd w:val="clear" w:color="auto" w:fill="auto"/>
            <w:vAlign w:val="center"/>
          </w:tcPr>
          <w:p w14:paraId="24C1357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阿日其麻泥石流</w:t>
            </w:r>
          </w:p>
        </w:tc>
        <w:tc>
          <w:tcPr>
            <w:tcW w:w="613" w:type="pct"/>
            <w:shd w:val="clear" w:color="auto" w:fill="auto"/>
            <w:vAlign w:val="center"/>
          </w:tcPr>
          <w:p w14:paraId="7ACA789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2EB713C6">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5F3A4FC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1425.2</w:t>
            </w:r>
          </w:p>
        </w:tc>
      </w:tr>
      <w:tr w14:paraId="12AA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5" w:hRule="atLeast"/>
        </w:trPr>
        <w:tc>
          <w:tcPr>
            <w:tcW w:w="480" w:type="pct"/>
            <w:shd w:val="clear" w:color="auto" w:fill="auto"/>
            <w:vAlign w:val="center"/>
          </w:tcPr>
          <w:p w14:paraId="4BF6DD8F">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48</w:t>
            </w:r>
          </w:p>
        </w:tc>
        <w:tc>
          <w:tcPr>
            <w:tcW w:w="643" w:type="pct"/>
            <w:shd w:val="clear" w:color="auto" w:fill="auto"/>
            <w:vAlign w:val="center"/>
          </w:tcPr>
          <w:p w14:paraId="259DC2CF">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NC010H</w:t>
            </w:r>
          </w:p>
        </w:tc>
        <w:tc>
          <w:tcPr>
            <w:tcW w:w="1447" w:type="pct"/>
            <w:shd w:val="clear" w:color="auto" w:fill="auto"/>
            <w:vAlign w:val="center"/>
          </w:tcPr>
          <w:p w14:paraId="5EEB228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卡拉库勒姆泥石流</w:t>
            </w:r>
          </w:p>
        </w:tc>
        <w:tc>
          <w:tcPr>
            <w:tcW w:w="613" w:type="pct"/>
            <w:shd w:val="clear" w:color="auto" w:fill="auto"/>
            <w:vAlign w:val="center"/>
          </w:tcPr>
          <w:p w14:paraId="6D871BD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219DDB1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中型</w:t>
            </w:r>
          </w:p>
        </w:tc>
        <w:tc>
          <w:tcPr>
            <w:tcW w:w="1127" w:type="pct"/>
            <w:shd w:val="clear" w:color="auto" w:fill="auto"/>
            <w:vAlign w:val="center"/>
          </w:tcPr>
          <w:p w14:paraId="0552FA9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814.4</w:t>
            </w:r>
          </w:p>
        </w:tc>
      </w:tr>
      <w:tr w14:paraId="485E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35" w:hRule="atLeast"/>
        </w:trPr>
        <w:tc>
          <w:tcPr>
            <w:tcW w:w="480" w:type="pct"/>
            <w:shd w:val="clear" w:color="auto" w:fill="auto"/>
            <w:vAlign w:val="center"/>
          </w:tcPr>
          <w:p w14:paraId="038D3AB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49</w:t>
            </w:r>
          </w:p>
        </w:tc>
        <w:tc>
          <w:tcPr>
            <w:tcW w:w="643" w:type="pct"/>
            <w:shd w:val="clear" w:color="auto" w:fill="auto"/>
            <w:vAlign w:val="center"/>
          </w:tcPr>
          <w:p w14:paraId="24B205C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NC011H</w:t>
            </w:r>
          </w:p>
        </w:tc>
        <w:tc>
          <w:tcPr>
            <w:tcW w:w="1447" w:type="pct"/>
            <w:shd w:val="clear" w:color="auto" w:fill="auto"/>
            <w:vAlign w:val="center"/>
          </w:tcPr>
          <w:p w14:paraId="7D0A2EC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G314国道K1642+450米处泥石流灾害点</w:t>
            </w:r>
          </w:p>
        </w:tc>
        <w:tc>
          <w:tcPr>
            <w:tcW w:w="613" w:type="pct"/>
            <w:shd w:val="clear" w:color="auto" w:fill="auto"/>
            <w:vAlign w:val="center"/>
          </w:tcPr>
          <w:p w14:paraId="295B0D6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0C704CB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6D5D833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828.2</w:t>
            </w:r>
          </w:p>
        </w:tc>
      </w:tr>
      <w:tr w14:paraId="0262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795" w:hRule="atLeast"/>
        </w:trPr>
        <w:tc>
          <w:tcPr>
            <w:tcW w:w="480" w:type="pct"/>
            <w:shd w:val="clear" w:color="auto" w:fill="auto"/>
            <w:vAlign w:val="center"/>
          </w:tcPr>
          <w:p w14:paraId="2B9DFB8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50</w:t>
            </w:r>
          </w:p>
        </w:tc>
        <w:tc>
          <w:tcPr>
            <w:tcW w:w="643" w:type="pct"/>
            <w:shd w:val="clear" w:color="auto" w:fill="auto"/>
            <w:vAlign w:val="center"/>
          </w:tcPr>
          <w:p w14:paraId="1A2BB12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NC012X</w:t>
            </w:r>
          </w:p>
        </w:tc>
        <w:tc>
          <w:tcPr>
            <w:tcW w:w="1447" w:type="pct"/>
            <w:shd w:val="clear" w:color="auto" w:fill="auto"/>
            <w:vAlign w:val="center"/>
          </w:tcPr>
          <w:p w14:paraId="74985C6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G314国道K1641+280米处泥石流灾害点</w:t>
            </w:r>
          </w:p>
        </w:tc>
        <w:tc>
          <w:tcPr>
            <w:tcW w:w="613" w:type="pct"/>
            <w:shd w:val="clear" w:color="auto" w:fill="auto"/>
            <w:vAlign w:val="center"/>
          </w:tcPr>
          <w:p w14:paraId="52DA00E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26D1FB90">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19BD369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305.4</w:t>
            </w:r>
          </w:p>
        </w:tc>
      </w:tr>
      <w:tr w14:paraId="0389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atLeast"/>
        </w:trPr>
        <w:tc>
          <w:tcPr>
            <w:tcW w:w="480" w:type="pct"/>
            <w:shd w:val="clear" w:color="auto" w:fill="auto"/>
            <w:vAlign w:val="center"/>
          </w:tcPr>
          <w:p w14:paraId="091FAFE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51</w:t>
            </w:r>
          </w:p>
        </w:tc>
        <w:tc>
          <w:tcPr>
            <w:tcW w:w="643" w:type="pct"/>
            <w:shd w:val="clear" w:color="auto" w:fill="auto"/>
            <w:vAlign w:val="center"/>
          </w:tcPr>
          <w:p w14:paraId="6014E30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NC013H</w:t>
            </w:r>
          </w:p>
        </w:tc>
        <w:tc>
          <w:tcPr>
            <w:tcW w:w="1447" w:type="pct"/>
            <w:shd w:val="clear" w:color="auto" w:fill="auto"/>
            <w:vAlign w:val="center"/>
          </w:tcPr>
          <w:p w14:paraId="40E9378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G314国道K1639+900米处泥石流灾害点</w:t>
            </w:r>
          </w:p>
        </w:tc>
        <w:tc>
          <w:tcPr>
            <w:tcW w:w="613" w:type="pct"/>
            <w:shd w:val="clear" w:color="auto" w:fill="auto"/>
            <w:vAlign w:val="center"/>
          </w:tcPr>
          <w:p w14:paraId="64A35DA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686C619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44C46291">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1010</w:t>
            </w:r>
          </w:p>
        </w:tc>
      </w:tr>
      <w:tr w14:paraId="3962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35" w:hRule="atLeast"/>
        </w:trPr>
        <w:tc>
          <w:tcPr>
            <w:tcW w:w="480" w:type="pct"/>
            <w:shd w:val="clear" w:color="auto" w:fill="auto"/>
            <w:vAlign w:val="center"/>
          </w:tcPr>
          <w:p w14:paraId="6447496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52</w:t>
            </w:r>
          </w:p>
        </w:tc>
        <w:tc>
          <w:tcPr>
            <w:tcW w:w="643" w:type="pct"/>
            <w:shd w:val="clear" w:color="auto" w:fill="auto"/>
            <w:vAlign w:val="center"/>
          </w:tcPr>
          <w:p w14:paraId="3731553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NC014H</w:t>
            </w:r>
          </w:p>
        </w:tc>
        <w:tc>
          <w:tcPr>
            <w:tcW w:w="1447" w:type="pct"/>
            <w:shd w:val="clear" w:color="auto" w:fill="auto"/>
            <w:vAlign w:val="center"/>
          </w:tcPr>
          <w:p w14:paraId="1C9E124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G314国道K1638+300米处卡拉肯桥泥石流灾害点</w:t>
            </w:r>
          </w:p>
        </w:tc>
        <w:tc>
          <w:tcPr>
            <w:tcW w:w="613" w:type="pct"/>
            <w:shd w:val="clear" w:color="auto" w:fill="auto"/>
            <w:vAlign w:val="center"/>
          </w:tcPr>
          <w:p w14:paraId="30939B8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6135F75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194CD8B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454.5</w:t>
            </w:r>
          </w:p>
        </w:tc>
      </w:tr>
      <w:tr w14:paraId="0EF6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atLeast"/>
        </w:trPr>
        <w:tc>
          <w:tcPr>
            <w:tcW w:w="480" w:type="pct"/>
            <w:shd w:val="clear" w:color="auto" w:fill="auto"/>
            <w:vAlign w:val="center"/>
          </w:tcPr>
          <w:p w14:paraId="07C367D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53</w:t>
            </w:r>
          </w:p>
        </w:tc>
        <w:tc>
          <w:tcPr>
            <w:tcW w:w="643" w:type="pct"/>
            <w:shd w:val="clear" w:color="auto" w:fill="auto"/>
            <w:vAlign w:val="center"/>
          </w:tcPr>
          <w:p w14:paraId="47D950E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NC015H</w:t>
            </w:r>
          </w:p>
        </w:tc>
        <w:tc>
          <w:tcPr>
            <w:tcW w:w="1447" w:type="pct"/>
            <w:shd w:val="clear" w:color="auto" w:fill="auto"/>
            <w:vAlign w:val="center"/>
          </w:tcPr>
          <w:p w14:paraId="0FA8F535">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G314国道K1637米处泥石流灾害点</w:t>
            </w:r>
          </w:p>
        </w:tc>
        <w:tc>
          <w:tcPr>
            <w:tcW w:w="613" w:type="pct"/>
            <w:shd w:val="clear" w:color="auto" w:fill="auto"/>
            <w:vAlign w:val="center"/>
          </w:tcPr>
          <w:p w14:paraId="25526CC9">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47026AD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7E469CB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303</w:t>
            </w:r>
          </w:p>
        </w:tc>
      </w:tr>
      <w:tr w14:paraId="634F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atLeast"/>
        </w:trPr>
        <w:tc>
          <w:tcPr>
            <w:tcW w:w="480" w:type="pct"/>
            <w:shd w:val="clear" w:color="auto" w:fill="auto"/>
            <w:vAlign w:val="center"/>
          </w:tcPr>
          <w:p w14:paraId="4B9614C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54</w:t>
            </w:r>
          </w:p>
        </w:tc>
        <w:tc>
          <w:tcPr>
            <w:tcW w:w="643" w:type="pct"/>
            <w:shd w:val="clear" w:color="auto" w:fill="auto"/>
            <w:vAlign w:val="center"/>
          </w:tcPr>
          <w:p w14:paraId="2668966E">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NC016H</w:t>
            </w:r>
          </w:p>
        </w:tc>
        <w:tc>
          <w:tcPr>
            <w:tcW w:w="1447" w:type="pct"/>
            <w:shd w:val="clear" w:color="auto" w:fill="auto"/>
            <w:vAlign w:val="center"/>
          </w:tcPr>
          <w:p w14:paraId="0DDDB6FB">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G314国道K1635+645米处温泉二桥泥石流灾害点</w:t>
            </w:r>
          </w:p>
        </w:tc>
        <w:tc>
          <w:tcPr>
            <w:tcW w:w="613" w:type="pct"/>
            <w:shd w:val="clear" w:color="auto" w:fill="auto"/>
            <w:vAlign w:val="center"/>
          </w:tcPr>
          <w:p w14:paraId="7B0E8BD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3184F8D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4B0EDEE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353.5</w:t>
            </w:r>
          </w:p>
        </w:tc>
      </w:tr>
      <w:tr w14:paraId="6FC1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cantSplit/>
          <w:trHeight w:val="535" w:hRule="atLeast"/>
        </w:trPr>
        <w:tc>
          <w:tcPr>
            <w:tcW w:w="480" w:type="pct"/>
            <w:shd w:val="clear" w:color="auto" w:fill="auto"/>
            <w:vAlign w:val="center"/>
          </w:tcPr>
          <w:p w14:paraId="70F8B29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55</w:t>
            </w:r>
          </w:p>
        </w:tc>
        <w:tc>
          <w:tcPr>
            <w:tcW w:w="643" w:type="pct"/>
            <w:shd w:val="clear" w:color="auto" w:fill="auto"/>
            <w:vAlign w:val="center"/>
          </w:tcPr>
          <w:p w14:paraId="2B501DDD">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NC017H</w:t>
            </w:r>
          </w:p>
        </w:tc>
        <w:tc>
          <w:tcPr>
            <w:tcW w:w="1447" w:type="pct"/>
            <w:shd w:val="clear" w:color="auto" w:fill="auto"/>
            <w:vAlign w:val="center"/>
          </w:tcPr>
          <w:p w14:paraId="408DAC52">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G314国道K1633+774米处三院一桥泥石流灾害点</w:t>
            </w:r>
          </w:p>
        </w:tc>
        <w:tc>
          <w:tcPr>
            <w:tcW w:w="613" w:type="pct"/>
            <w:shd w:val="clear" w:color="auto" w:fill="auto"/>
            <w:vAlign w:val="center"/>
          </w:tcPr>
          <w:p w14:paraId="3749FA08">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430AFF2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2FAE026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50.5</w:t>
            </w:r>
          </w:p>
        </w:tc>
      </w:tr>
      <w:tr w14:paraId="077C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5" w:hRule="atLeast"/>
        </w:trPr>
        <w:tc>
          <w:tcPr>
            <w:tcW w:w="480" w:type="pct"/>
            <w:shd w:val="clear" w:color="auto" w:fill="auto"/>
            <w:vAlign w:val="center"/>
          </w:tcPr>
          <w:p w14:paraId="01177B2A">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56</w:t>
            </w:r>
          </w:p>
        </w:tc>
        <w:tc>
          <w:tcPr>
            <w:tcW w:w="643" w:type="pct"/>
            <w:shd w:val="clear" w:color="auto" w:fill="auto"/>
            <w:vAlign w:val="center"/>
          </w:tcPr>
          <w:p w14:paraId="5E884C47">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NC018X</w:t>
            </w:r>
          </w:p>
        </w:tc>
        <w:tc>
          <w:tcPr>
            <w:tcW w:w="1447" w:type="pct"/>
            <w:shd w:val="clear" w:color="auto" w:fill="auto"/>
            <w:vAlign w:val="center"/>
          </w:tcPr>
          <w:p w14:paraId="6B57DF8C">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G314国道K1633+400米处泥石流灾害点</w:t>
            </w:r>
          </w:p>
        </w:tc>
        <w:tc>
          <w:tcPr>
            <w:tcW w:w="613" w:type="pct"/>
            <w:shd w:val="clear" w:color="auto" w:fill="auto"/>
            <w:vAlign w:val="center"/>
          </w:tcPr>
          <w:p w14:paraId="079DDA44">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泥石流</w:t>
            </w:r>
          </w:p>
        </w:tc>
        <w:tc>
          <w:tcPr>
            <w:tcW w:w="687" w:type="pct"/>
            <w:shd w:val="clear" w:color="auto" w:fill="auto"/>
            <w:vAlign w:val="center"/>
          </w:tcPr>
          <w:p w14:paraId="2C53412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小型</w:t>
            </w:r>
          </w:p>
        </w:tc>
        <w:tc>
          <w:tcPr>
            <w:tcW w:w="1127" w:type="pct"/>
            <w:shd w:val="clear" w:color="auto" w:fill="auto"/>
            <w:vAlign w:val="center"/>
          </w:tcPr>
          <w:p w14:paraId="61B0DDB3">
            <w:pPr>
              <w:jc w:val="center"/>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202</w:t>
            </w:r>
          </w:p>
        </w:tc>
      </w:tr>
    </w:tbl>
    <w:p w14:paraId="15BE0233">
      <w:pPr>
        <w:pStyle w:val="3"/>
        <w:spacing w:after="0" w:afterLines="0" w:line="560" w:lineRule="exact"/>
        <w:ind w:firstLine="643"/>
        <w:rPr>
          <w:rFonts w:ascii="楷体" w:hAnsi="楷体" w:eastAsia="楷体" w:cs="黑体"/>
          <w:sz w:val="32"/>
          <w:highlight w:val="none"/>
        </w:rPr>
      </w:pPr>
      <w:bookmarkStart w:id="14" w:name="_Toc17322"/>
      <w:r>
        <w:rPr>
          <w:rFonts w:hint="eastAsia" w:ascii="楷体" w:hAnsi="楷体" w:eastAsia="楷体" w:cs="黑体"/>
          <w:sz w:val="32"/>
          <w:highlight w:val="none"/>
        </w:rPr>
        <w:t>（</w:t>
      </w:r>
      <w:r>
        <w:rPr>
          <w:rFonts w:hint="eastAsia" w:ascii="楷体" w:hAnsi="楷体" w:eastAsia="楷体" w:cs="黑体"/>
          <w:sz w:val="32"/>
          <w:highlight w:val="none"/>
          <w:lang w:val="en-US" w:eastAsia="zh-CN"/>
        </w:rPr>
        <w:t>六</w:t>
      </w:r>
      <w:r>
        <w:rPr>
          <w:rFonts w:hint="eastAsia" w:ascii="楷体" w:hAnsi="楷体" w:eastAsia="楷体" w:cs="黑体"/>
          <w:sz w:val="32"/>
          <w:highlight w:val="none"/>
        </w:rPr>
        <w:t>）“十</w:t>
      </w:r>
      <w:r>
        <w:rPr>
          <w:rFonts w:hint="eastAsia" w:ascii="楷体" w:hAnsi="楷体" w:eastAsia="楷体" w:cs="黑体"/>
          <w:sz w:val="32"/>
          <w:highlight w:val="none"/>
          <w:lang w:val="en-US" w:eastAsia="zh-CN"/>
        </w:rPr>
        <w:t>四</w:t>
      </w:r>
      <w:r>
        <w:rPr>
          <w:rFonts w:hint="eastAsia" w:ascii="楷体" w:hAnsi="楷体" w:eastAsia="楷体" w:cs="黑体"/>
          <w:sz w:val="32"/>
          <w:highlight w:val="none"/>
        </w:rPr>
        <w:t>五”防治成效</w:t>
      </w:r>
      <w:bookmarkEnd w:id="14"/>
    </w:p>
    <w:bookmarkEnd w:id="12"/>
    <w:bookmarkEnd w:id="13"/>
    <w:p w14:paraId="089FCF74">
      <w:pPr>
        <w:spacing w:line="560" w:lineRule="exact"/>
        <w:ind w:firstLine="627" w:firstLineChars="196"/>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十</w:t>
      </w:r>
      <w:r>
        <w:rPr>
          <w:rFonts w:hint="eastAsia" w:eastAsia="仿宋_GB2312"/>
          <w:sz w:val="32"/>
          <w:szCs w:val="32"/>
          <w:highlight w:val="none"/>
          <w:lang w:val="en-US" w:eastAsia="zh-CN"/>
        </w:rPr>
        <w:t>四</w:t>
      </w:r>
      <w:r>
        <w:rPr>
          <w:rFonts w:eastAsia="仿宋_GB2312"/>
          <w:sz w:val="32"/>
          <w:szCs w:val="32"/>
          <w:highlight w:val="none"/>
        </w:rPr>
        <w:t>五</w:t>
      </w:r>
      <w:r>
        <w:rPr>
          <w:rFonts w:hint="eastAsia" w:eastAsia="仿宋_GB2312"/>
          <w:sz w:val="32"/>
          <w:szCs w:val="32"/>
          <w:highlight w:val="none"/>
        </w:rPr>
        <w:t>”</w:t>
      </w:r>
      <w:r>
        <w:rPr>
          <w:rFonts w:eastAsia="仿宋_GB2312"/>
          <w:sz w:val="32"/>
          <w:szCs w:val="32"/>
          <w:highlight w:val="none"/>
        </w:rPr>
        <w:t>期间，在县政府的正确领导下，在自然资源局的指导下，各乡（镇</w:t>
      </w:r>
      <w:r>
        <w:rPr>
          <w:rFonts w:hint="eastAsia" w:eastAsia="仿宋_GB2312"/>
          <w:sz w:val="32"/>
          <w:szCs w:val="32"/>
          <w:highlight w:val="none"/>
        </w:rPr>
        <w:t>、场</w:t>
      </w:r>
      <w:r>
        <w:rPr>
          <w:rFonts w:eastAsia="仿宋_GB2312"/>
          <w:sz w:val="32"/>
          <w:szCs w:val="32"/>
          <w:highlight w:val="none"/>
        </w:rPr>
        <w:t>）相关部门密切配合，广大基层干部群众共同努力，</w:t>
      </w:r>
      <w:r>
        <w:rPr>
          <w:rFonts w:hint="eastAsia" w:eastAsia="仿宋_GB2312"/>
          <w:sz w:val="32"/>
          <w:szCs w:val="32"/>
          <w:highlight w:val="none"/>
          <w:lang w:val="en-US" w:eastAsia="zh-CN"/>
        </w:rPr>
        <w:t>基本</w:t>
      </w:r>
      <w:r>
        <w:rPr>
          <w:rFonts w:eastAsia="仿宋_GB2312"/>
          <w:sz w:val="32"/>
          <w:szCs w:val="32"/>
          <w:highlight w:val="none"/>
        </w:rPr>
        <w:t>完成了《新疆阿克陶县地质灾害防治</w:t>
      </w:r>
      <w:r>
        <w:rPr>
          <w:rFonts w:hint="eastAsia" w:eastAsia="仿宋_GB2312"/>
          <w:sz w:val="32"/>
          <w:szCs w:val="32"/>
          <w:highlight w:val="none"/>
          <w:lang w:eastAsia="zh-CN"/>
        </w:rPr>
        <w:t>“</w:t>
      </w:r>
      <w:r>
        <w:rPr>
          <w:rFonts w:hint="eastAsia" w:eastAsia="仿宋_GB2312"/>
          <w:sz w:val="32"/>
          <w:szCs w:val="32"/>
          <w:highlight w:val="none"/>
          <w:lang w:val="en-US" w:eastAsia="zh-CN"/>
        </w:rPr>
        <w:t>十四五</w:t>
      </w:r>
      <w:r>
        <w:rPr>
          <w:rFonts w:hint="eastAsia" w:eastAsia="仿宋_GB2312"/>
          <w:sz w:val="32"/>
          <w:szCs w:val="32"/>
          <w:highlight w:val="none"/>
          <w:lang w:eastAsia="zh-CN"/>
        </w:rPr>
        <w:t>”</w:t>
      </w:r>
      <w:r>
        <w:rPr>
          <w:rFonts w:eastAsia="仿宋_GB2312"/>
          <w:sz w:val="32"/>
          <w:szCs w:val="32"/>
          <w:highlight w:val="none"/>
        </w:rPr>
        <w:t>规划（20</w:t>
      </w:r>
      <w:r>
        <w:rPr>
          <w:rFonts w:hint="eastAsia" w:eastAsia="仿宋_GB2312"/>
          <w:sz w:val="32"/>
          <w:szCs w:val="32"/>
          <w:highlight w:val="none"/>
          <w:lang w:val="en-US" w:eastAsia="zh-CN"/>
        </w:rPr>
        <w:t>21</w:t>
      </w:r>
      <w:r>
        <w:rPr>
          <w:rFonts w:eastAsia="仿宋_GB2312"/>
          <w:sz w:val="32"/>
          <w:szCs w:val="32"/>
          <w:highlight w:val="none"/>
        </w:rPr>
        <w:t>-20</w:t>
      </w:r>
      <w:r>
        <w:rPr>
          <w:rFonts w:hint="eastAsia" w:eastAsia="仿宋_GB2312"/>
          <w:sz w:val="32"/>
          <w:szCs w:val="32"/>
          <w:highlight w:val="none"/>
          <w:lang w:val="en-US" w:eastAsia="zh-CN"/>
        </w:rPr>
        <w:t>25</w:t>
      </w:r>
      <w:r>
        <w:rPr>
          <w:rFonts w:eastAsia="仿宋_GB2312"/>
          <w:sz w:val="32"/>
          <w:szCs w:val="32"/>
          <w:highlight w:val="none"/>
        </w:rPr>
        <w:t>年）》确定的主要目标任务，地质灾害防治工作取得显著成效。</w:t>
      </w:r>
    </w:p>
    <w:p w14:paraId="687C1B3C">
      <w:pPr>
        <w:numPr>
          <w:ilvl w:val="0"/>
          <w:numId w:val="0"/>
        </w:numPr>
        <w:spacing w:line="560" w:lineRule="exact"/>
        <w:ind w:firstLine="630" w:firstLineChars="196"/>
        <w:outlineLvl w:val="2"/>
        <w:rPr>
          <w:rFonts w:hint="eastAsia" w:eastAsia="仿宋"/>
          <w:b/>
          <w:bCs/>
          <w:sz w:val="32"/>
          <w:szCs w:val="32"/>
          <w:highlight w:val="none"/>
        </w:rPr>
      </w:pPr>
      <w:r>
        <w:rPr>
          <w:rFonts w:hint="eastAsia" w:eastAsia="仿宋" w:cs="Times New Roman"/>
          <w:b/>
          <w:bCs/>
          <w:kern w:val="2"/>
          <w:sz w:val="32"/>
          <w:szCs w:val="32"/>
          <w:highlight w:val="none"/>
          <w:lang w:val="en-US" w:eastAsia="zh-CN" w:bidi="ar-SA"/>
        </w:rPr>
        <w:t>1、</w:t>
      </w:r>
      <w:r>
        <w:rPr>
          <w:rFonts w:hint="eastAsia" w:ascii="Times New Roman" w:hAnsi="Times New Roman" w:eastAsia="仿宋" w:cs="Times New Roman"/>
          <w:b/>
          <w:bCs/>
          <w:kern w:val="2"/>
          <w:sz w:val="32"/>
          <w:szCs w:val="32"/>
          <w:highlight w:val="none"/>
          <w:lang w:val="en-US" w:eastAsia="zh-CN" w:bidi="ar-SA"/>
        </w:rPr>
        <w:t>构建了群专结合的常态化排查机制</w:t>
      </w:r>
      <w:r>
        <w:rPr>
          <w:rFonts w:hint="eastAsia" w:eastAsia="仿宋" w:cs="Times New Roman"/>
          <w:b/>
          <w:bCs/>
          <w:kern w:val="2"/>
          <w:sz w:val="32"/>
          <w:szCs w:val="32"/>
          <w:highlight w:val="none"/>
          <w:lang w:val="en-US" w:eastAsia="zh-CN" w:bidi="ar-SA"/>
        </w:rPr>
        <w:t>，</w:t>
      </w:r>
      <w:r>
        <w:rPr>
          <w:rFonts w:eastAsia="仿宋"/>
          <w:b/>
          <w:bCs/>
          <w:sz w:val="32"/>
          <w:szCs w:val="32"/>
          <w:highlight w:val="none"/>
        </w:rPr>
        <w:t>地质灾害防治管理体系和工作制度进一步健全</w:t>
      </w:r>
      <w:r>
        <w:rPr>
          <w:rFonts w:hint="eastAsia" w:eastAsia="仿宋"/>
          <w:b/>
          <w:bCs/>
          <w:sz w:val="32"/>
          <w:szCs w:val="32"/>
          <w:highlight w:val="none"/>
        </w:rPr>
        <w:t>。</w:t>
      </w:r>
    </w:p>
    <w:p w14:paraId="30BF79A0">
      <w:pPr>
        <w:spacing w:line="560" w:lineRule="exact"/>
        <w:ind w:firstLine="627" w:firstLineChars="196"/>
        <w:rPr>
          <w:rFonts w:hint="eastAsia" w:eastAsia="仿宋_GB2312"/>
          <w:sz w:val="32"/>
          <w:szCs w:val="32"/>
          <w:highlight w:val="none"/>
        </w:rPr>
      </w:pPr>
      <w:r>
        <w:rPr>
          <w:rFonts w:hint="eastAsia" w:eastAsia="仿宋_GB2312"/>
          <w:sz w:val="32"/>
          <w:szCs w:val="32"/>
          <w:highlight w:val="none"/>
        </w:rPr>
        <w:t>认真贯彻执行国家及自治区颁布的《地质灾害防治条例》、《新疆维吾尔自治区地质灾害防治条例》</w:t>
      </w:r>
      <w:r>
        <w:rPr>
          <w:rFonts w:hint="eastAsia" w:eastAsia="仿宋_GB2312"/>
          <w:sz w:val="32"/>
          <w:szCs w:val="32"/>
          <w:highlight w:val="none"/>
          <w:lang w:eastAsia="zh-CN"/>
        </w:rPr>
        <w:t>、</w:t>
      </w:r>
      <w:r>
        <w:rPr>
          <w:rFonts w:hint="eastAsia" w:eastAsia="仿宋_GB2312"/>
          <w:sz w:val="32"/>
          <w:szCs w:val="32"/>
          <w:highlight w:val="none"/>
        </w:rPr>
        <w:t>《新疆维吾尔自治区地质环境保护条例》，为规范地质灾害防治工作提供了依据和保障，并制定了相应县级管理制度。编制年度地质灾害防治方案和地质灾害应急预案，确定地质灾害防治重点区段和重要隐患点，明确防治责任和措施。加强了地质灾害防治工程勘查、设计、施工单位的资格审查，提高了地质灾害勘查和治理的质量与水平，使地质灾害防治管理体系和工作制度进一步健全。</w:t>
      </w:r>
    </w:p>
    <w:p w14:paraId="7B3D6C99">
      <w:pPr>
        <w:spacing w:line="560" w:lineRule="exact"/>
        <w:ind w:firstLine="627" w:firstLineChars="196"/>
        <w:rPr>
          <w:rFonts w:hint="eastAsia" w:eastAsia="仿宋_GB2312"/>
          <w:sz w:val="32"/>
          <w:szCs w:val="32"/>
          <w:highlight w:val="none"/>
        </w:rPr>
      </w:pPr>
      <w:r>
        <w:rPr>
          <w:rFonts w:hint="eastAsia" w:eastAsia="仿宋_GB2312"/>
          <w:sz w:val="32"/>
          <w:szCs w:val="32"/>
          <w:highlight w:val="none"/>
        </w:rPr>
        <w:t>常态化坚持地质灾害隐患排查巡查、灾情险情速报、汛期值班值守、地质灾害气象预报预警等制度。严格执行雨前排查，雨中巡查，雨后复查制度，每年汛前、汛中、汛后，</w:t>
      </w:r>
      <w:r>
        <w:rPr>
          <w:rFonts w:hint="eastAsia" w:eastAsia="仿宋_GB2312"/>
          <w:sz w:val="32"/>
          <w:szCs w:val="32"/>
          <w:highlight w:val="none"/>
          <w:lang w:val="en-US" w:eastAsia="zh-CN"/>
        </w:rPr>
        <w:t>阿克陶县自然资源局</w:t>
      </w:r>
      <w:r>
        <w:rPr>
          <w:rFonts w:hint="eastAsia" w:eastAsia="仿宋_GB2312"/>
          <w:sz w:val="32"/>
          <w:szCs w:val="32"/>
          <w:highlight w:val="none"/>
        </w:rPr>
        <w:t>安排地质灾害技术员，在各乡镇、村、社干部和监测人员的密切配合下，对</w:t>
      </w:r>
      <w:r>
        <w:rPr>
          <w:rFonts w:hint="eastAsia" w:eastAsia="仿宋_GB2312"/>
          <w:sz w:val="32"/>
          <w:szCs w:val="32"/>
          <w:highlight w:val="none"/>
          <w:lang w:val="en-US" w:eastAsia="zh-CN"/>
        </w:rPr>
        <w:t>阿克陶县地质灾害</w:t>
      </w:r>
      <w:r>
        <w:rPr>
          <w:rFonts w:hint="eastAsia" w:eastAsia="仿宋_GB2312"/>
          <w:sz w:val="32"/>
          <w:szCs w:val="32"/>
          <w:highlight w:val="none"/>
        </w:rPr>
        <w:t>隐患点多次开展拉网式排查核查，每年完成率100%。</w:t>
      </w:r>
      <w:r>
        <w:rPr>
          <w:rFonts w:hint="eastAsia" w:eastAsia="仿宋_GB2312"/>
          <w:sz w:val="32"/>
          <w:szCs w:val="32"/>
          <w:highlight w:val="none"/>
          <w:lang w:val="en-US" w:eastAsia="zh-CN"/>
        </w:rPr>
        <w:t>近年来，由阿克陶县应急管理局、</w:t>
      </w:r>
      <w:r>
        <w:rPr>
          <w:rFonts w:hint="eastAsia" w:eastAsia="仿宋_GB2312"/>
          <w:sz w:val="32"/>
          <w:szCs w:val="32"/>
          <w:highlight w:val="none"/>
        </w:rPr>
        <w:t>自然资源局牵头，各乡（镇）配合，组织</w:t>
      </w:r>
      <w:r>
        <w:rPr>
          <w:rFonts w:hint="eastAsia" w:eastAsia="仿宋_GB2312"/>
          <w:sz w:val="32"/>
          <w:szCs w:val="32"/>
          <w:highlight w:val="none"/>
          <w:lang w:val="en-US" w:eastAsia="zh-CN"/>
        </w:rPr>
        <w:t>相关单位在</w:t>
      </w:r>
      <w:r>
        <w:rPr>
          <w:rFonts w:hint="eastAsia" w:eastAsia="仿宋_GB2312"/>
          <w:sz w:val="32"/>
          <w:szCs w:val="32"/>
          <w:highlight w:val="none"/>
        </w:rPr>
        <w:t>全</w:t>
      </w:r>
      <w:r>
        <w:rPr>
          <w:rFonts w:hint="eastAsia" w:eastAsia="仿宋_GB2312"/>
          <w:sz w:val="32"/>
          <w:szCs w:val="32"/>
          <w:highlight w:val="none"/>
          <w:lang w:val="en-US" w:eastAsia="zh-CN"/>
        </w:rPr>
        <w:t>市</w:t>
      </w:r>
      <w:r>
        <w:rPr>
          <w:rFonts w:hint="eastAsia" w:eastAsia="仿宋_GB2312"/>
          <w:sz w:val="32"/>
          <w:szCs w:val="32"/>
          <w:highlight w:val="none"/>
        </w:rPr>
        <w:t>范围内</w:t>
      </w:r>
      <w:r>
        <w:rPr>
          <w:rFonts w:hint="eastAsia" w:eastAsia="仿宋_GB2312"/>
          <w:sz w:val="32"/>
          <w:szCs w:val="32"/>
          <w:highlight w:val="none"/>
          <w:lang w:val="en-US" w:eastAsia="zh-CN"/>
        </w:rPr>
        <w:t>开展了多次地质灾害排除</w:t>
      </w:r>
      <w:r>
        <w:rPr>
          <w:rFonts w:hint="eastAsia" w:eastAsia="仿宋_GB2312"/>
          <w:sz w:val="32"/>
          <w:szCs w:val="32"/>
          <w:highlight w:val="none"/>
        </w:rPr>
        <w:t>，做到</w:t>
      </w:r>
      <w:r>
        <w:rPr>
          <w:rFonts w:hint="eastAsia" w:eastAsia="仿宋_GB2312"/>
          <w:sz w:val="32"/>
          <w:szCs w:val="32"/>
          <w:highlight w:val="none"/>
          <w:lang w:eastAsia="zh-CN"/>
        </w:rPr>
        <w:t>“</w:t>
      </w:r>
      <w:r>
        <w:rPr>
          <w:rFonts w:hint="eastAsia" w:eastAsia="仿宋_GB2312"/>
          <w:sz w:val="32"/>
          <w:szCs w:val="32"/>
          <w:highlight w:val="none"/>
        </w:rPr>
        <w:t>横向到边、纵向到点</w:t>
      </w:r>
      <w:r>
        <w:rPr>
          <w:rFonts w:hint="eastAsia" w:eastAsia="仿宋_GB2312"/>
          <w:sz w:val="32"/>
          <w:szCs w:val="32"/>
          <w:highlight w:val="none"/>
          <w:lang w:eastAsia="zh-CN"/>
        </w:rPr>
        <w:t>”</w:t>
      </w:r>
      <w:r>
        <w:rPr>
          <w:rFonts w:hint="eastAsia" w:eastAsia="仿宋_GB2312"/>
          <w:sz w:val="32"/>
          <w:szCs w:val="32"/>
          <w:highlight w:val="none"/>
        </w:rPr>
        <w:t>，不留死角，全面摸清</w:t>
      </w:r>
      <w:r>
        <w:rPr>
          <w:rFonts w:hint="eastAsia" w:eastAsia="仿宋_GB2312"/>
          <w:sz w:val="32"/>
          <w:szCs w:val="32"/>
          <w:highlight w:val="none"/>
          <w:lang w:val="en-US" w:eastAsia="zh-CN"/>
        </w:rPr>
        <w:t>阿克陶县</w:t>
      </w:r>
      <w:r>
        <w:rPr>
          <w:rFonts w:hint="eastAsia" w:eastAsia="仿宋_GB2312"/>
          <w:sz w:val="32"/>
          <w:szCs w:val="32"/>
          <w:highlight w:val="none"/>
        </w:rPr>
        <w:t>地质灾害</w:t>
      </w:r>
      <w:r>
        <w:rPr>
          <w:rFonts w:hint="eastAsia" w:eastAsia="仿宋_GB2312"/>
          <w:sz w:val="32"/>
          <w:szCs w:val="32"/>
          <w:highlight w:val="none"/>
          <w:lang w:eastAsia="zh-CN"/>
        </w:rPr>
        <w:t>“</w:t>
      </w:r>
      <w:r>
        <w:rPr>
          <w:rFonts w:hint="eastAsia" w:eastAsia="仿宋_GB2312"/>
          <w:sz w:val="32"/>
          <w:szCs w:val="32"/>
          <w:highlight w:val="none"/>
        </w:rPr>
        <w:t>家底</w:t>
      </w:r>
      <w:r>
        <w:rPr>
          <w:rFonts w:hint="eastAsia" w:eastAsia="仿宋_GB2312"/>
          <w:sz w:val="32"/>
          <w:szCs w:val="32"/>
          <w:highlight w:val="none"/>
          <w:lang w:eastAsia="zh-CN"/>
        </w:rPr>
        <w:t>”</w:t>
      </w:r>
      <w:r>
        <w:rPr>
          <w:rFonts w:hint="eastAsia" w:eastAsia="仿宋_GB2312"/>
          <w:sz w:val="32"/>
          <w:szCs w:val="32"/>
          <w:highlight w:val="none"/>
        </w:rPr>
        <w:t>。</w:t>
      </w:r>
    </w:p>
    <w:p w14:paraId="0270DA5B">
      <w:pPr>
        <w:spacing w:line="560" w:lineRule="exact"/>
        <w:ind w:firstLine="630" w:firstLineChars="196"/>
        <w:outlineLvl w:val="2"/>
        <w:rPr>
          <w:rFonts w:hint="eastAsia" w:eastAsia="仿宋"/>
          <w:b w:val="0"/>
          <w:bCs w:val="0"/>
          <w:sz w:val="32"/>
          <w:szCs w:val="32"/>
          <w:highlight w:val="none"/>
        </w:rPr>
      </w:pPr>
      <w:r>
        <w:rPr>
          <w:rFonts w:hint="eastAsia" w:eastAsia="仿宋"/>
          <w:b/>
          <w:bCs/>
          <w:sz w:val="32"/>
          <w:szCs w:val="32"/>
          <w:highlight w:val="none"/>
          <w:lang w:val="en-US" w:eastAsia="zh-CN"/>
        </w:rPr>
        <w:t>2、</w:t>
      </w:r>
      <w:r>
        <w:rPr>
          <w:rFonts w:eastAsia="仿宋"/>
          <w:b/>
          <w:bCs/>
          <w:sz w:val="32"/>
          <w:szCs w:val="32"/>
          <w:highlight w:val="none"/>
        </w:rPr>
        <w:t>地质灾害调查</w:t>
      </w:r>
      <w:r>
        <w:rPr>
          <w:rFonts w:hint="eastAsia" w:eastAsia="仿宋"/>
          <w:b/>
          <w:bCs/>
          <w:sz w:val="32"/>
          <w:szCs w:val="32"/>
          <w:highlight w:val="none"/>
          <w:lang w:val="en-US" w:eastAsia="zh-CN"/>
        </w:rPr>
        <w:t>全面</w:t>
      </w:r>
      <w:r>
        <w:rPr>
          <w:rFonts w:eastAsia="仿宋"/>
          <w:b/>
          <w:bCs/>
          <w:sz w:val="32"/>
          <w:szCs w:val="32"/>
          <w:highlight w:val="none"/>
        </w:rPr>
        <w:t>深化</w:t>
      </w:r>
      <w:r>
        <w:rPr>
          <w:rFonts w:hint="eastAsia" w:eastAsia="仿宋"/>
          <w:b/>
          <w:bCs/>
          <w:sz w:val="32"/>
          <w:szCs w:val="32"/>
          <w:highlight w:val="none"/>
          <w:lang w:eastAsia="zh-CN"/>
        </w:rPr>
        <w:t>，</w:t>
      </w:r>
      <w:r>
        <w:rPr>
          <w:rFonts w:hint="eastAsia" w:eastAsia="仿宋"/>
          <w:b/>
          <w:bCs/>
          <w:sz w:val="32"/>
          <w:szCs w:val="32"/>
          <w:highlight w:val="none"/>
        </w:rPr>
        <w:t>地质灾害监测预警</w:t>
      </w:r>
      <w:r>
        <w:rPr>
          <w:rFonts w:hint="eastAsia" w:eastAsia="仿宋"/>
          <w:b/>
          <w:bCs/>
          <w:sz w:val="32"/>
          <w:szCs w:val="32"/>
          <w:highlight w:val="none"/>
          <w:lang w:val="en-US" w:eastAsia="zh-CN"/>
        </w:rPr>
        <w:t>机制完善，</w:t>
      </w:r>
      <w:r>
        <w:rPr>
          <w:rFonts w:hint="eastAsia" w:eastAsia="仿宋"/>
          <w:b/>
          <w:bCs/>
          <w:sz w:val="32"/>
          <w:szCs w:val="32"/>
          <w:highlight w:val="none"/>
        </w:rPr>
        <w:t>预警能力显著提升</w:t>
      </w:r>
      <w:r>
        <w:rPr>
          <w:rFonts w:hint="eastAsia" w:eastAsia="仿宋"/>
          <w:b w:val="0"/>
          <w:bCs w:val="0"/>
          <w:sz w:val="32"/>
          <w:szCs w:val="32"/>
          <w:highlight w:val="none"/>
        </w:rPr>
        <w:t>。</w:t>
      </w:r>
    </w:p>
    <w:p w14:paraId="7077A896">
      <w:pPr>
        <w:spacing w:line="560" w:lineRule="exact"/>
        <w:ind w:firstLine="627" w:firstLineChars="196"/>
        <w:rPr>
          <w:rFonts w:hint="eastAsia" w:eastAsia="仿宋_GB2312"/>
          <w:sz w:val="32"/>
          <w:szCs w:val="32"/>
          <w:highlight w:val="none"/>
        </w:rPr>
      </w:pPr>
      <w:r>
        <w:rPr>
          <w:rFonts w:hint="eastAsia" w:eastAsia="仿宋_GB2312"/>
          <w:sz w:val="32"/>
          <w:szCs w:val="32"/>
          <w:highlight w:val="none"/>
        </w:rPr>
        <w:t>在已完成的地质灾害详细调查基础上，</w:t>
      </w:r>
      <w:r>
        <w:rPr>
          <w:rFonts w:hint="eastAsia" w:eastAsia="仿宋_GB2312"/>
          <w:sz w:val="32"/>
          <w:szCs w:val="32"/>
          <w:highlight w:val="none"/>
          <w:lang w:val="en-US" w:eastAsia="zh-CN"/>
        </w:rPr>
        <w:t>2021年</w:t>
      </w:r>
      <w:r>
        <w:rPr>
          <w:rFonts w:hint="eastAsia" w:eastAsia="仿宋_GB2312"/>
          <w:sz w:val="32"/>
          <w:szCs w:val="32"/>
          <w:highlight w:val="none"/>
        </w:rPr>
        <w:t>开展了县域1:5万地质灾害更新调查</w:t>
      </w:r>
      <w:r>
        <w:rPr>
          <w:rFonts w:hint="eastAsia" w:eastAsia="仿宋_GB2312"/>
          <w:sz w:val="32"/>
          <w:szCs w:val="32"/>
          <w:highlight w:val="none"/>
          <w:lang w:eastAsia="zh-CN"/>
        </w:rPr>
        <w:t>，</w:t>
      </w:r>
      <w:r>
        <w:rPr>
          <w:rFonts w:hint="eastAsia" w:eastAsia="仿宋_GB2312"/>
          <w:sz w:val="32"/>
          <w:szCs w:val="32"/>
          <w:highlight w:val="none"/>
          <w:lang w:val="en-US" w:eastAsia="zh-CN"/>
        </w:rPr>
        <w:t>2024年开展了</w:t>
      </w:r>
      <w:r>
        <w:rPr>
          <w:rFonts w:hint="eastAsia" w:eastAsia="仿宋_GB2312"/>
          <w:sz w:val="32"/>
          <w:szCs w:val="32"/>
          <w:highlight w:val="none"/>
        </w:rPr>
        <w:t>1:5万地质灾害风险普查工作，更好的掌握了地质灾害风险底数，查明了地质灾害分布规律、孕灾机理，进行了易发性、危险性评价，为地质灾害防治提供基础依据。</w:t>
      </w:r>
    </w:p>
    <w:p w14:paraId="038B162D">
      <w:pPr>
        <w:spacing w:line="560" w:lineRule="exact"/>
        <w:ind w:firstLine="627" w:firstLineChars="196"/>
        <w:rPr>
          <w:rFonts w:hint="eastAsia" w:eastAsia="仿宋_GB2312"/>
          <w:sz w:val="32"/>
          <w:szCs w:val="32"/>
          <w:highlight w:val="none"/>
          <w:lang w:eastAsia="zh-CN"/>
        </w:rPr>
      </w:pPr>
      <w:r>
        <w:rPr>
          <w:rFonts w:hint="eastAsia" w:eastAsia="仿宋_GB2312"/>
          <w:sz w:val="32"/>
          <w:szCs w:val="32"/>
          <w:highlight w:val="none"/>
        </w:rPr>
        <w:t>严格执行“提前避让、预防避让、主动避让”原则，针对全</w:t>
      </w:r>
      <w:r>
        <w:rPr>
          <w:rFonts w:hint="eastAsia" w:eastAsia="仿宋_GB2312"/>
          <w:sz w:val="32"/>
          <w:szCs w:val="32"/>
          <w:highlight w:val="none"/>
          <w:lang w:val="en-US" w:eastAsia="zh-CN"/>
        </w:rPr>
        <w:t>县</w:t>
      </w:r>
      <w:r>
        <w:rPr>
          <w:rFonts w:hint="eastAsia" w:eastAsia="仿宋_GB2312"/>
          <w:sz w:val="32"/>
          <w:szCs w:val="32"/>
          <w:highlight w:val="none"/>
        </w:rPr>
        <w:t>所有</w:t>
      </w:r>
      <w:r>
        <w:rPr>
          <w:rFonts w:hint="eastAsia" w:eastAsia="仿宋_GB2312"/>
          <w:sz w:val="32"/>
          <w:szCs w:val="32"/>
          <w:highlight w:val="none"/>
          <w:lang w:val="en-US" w:eastAsia="zh-CN"/>
        </w:rPr>
        <w:t>重要</w:t>
      </w:r>
      <w:r>
        <w:rPr>
          <w:rFonts w:hint="eastAsia" w:eastAsia="仿宋_GB2312"/>
          <w:sz w:val="32"/>
          <w:szCs w:val="32"/>
          <w:highlight w:val="none"/>
        </w:rPr>
        <w:t>地质灾害隐患点，落实监测人员，加强监测、加密巡查，发现险情、及时预警，果断组织受威胁人员撤离避让。</w:t>
      </w:r>
      <w:r>
        <w:rPr>
          <w:rFonts w:hint="eastAsia" w:eastAsia="仿宋_GB2312"/>
          <w:sz w:val="32"/>
          <w:szCs w:val="32"/>
          <w:highlight w:val="none"/>
          <w:lang w:val="en-US" w:eastAsia="zh-CN"/>
        </w:rPr>
        <w:t>根据阿克陶县地质灾害风险调查项目野外调查工作成果，结</w:t>
      </w:r>
      <w:r>
        <w:rPr>
          <w:rFonts w:hint="eastAsia" w:eastAsia="仿宋_GB2312"/>
          <w:sz w:val="32"/>
          <w:szCs w:val="32"/>
          <w:highlight w:val="none"/>
        </w:rPr>
        <w:t>合实际情况，划定了危险区域、设立警示标识、落实撤离路线和避险场所，使群众做到“撤离提前，转移迅速”；通过发放、张贴“两卡一表”和防灾避险资料，确保地质灾害隐患点周边群众告知率、知晓率达到100%.</w:t>
      </w:r>
      <w:r>
        <w:rPr>
          <w:rFonts w:hint="eastAsia" w:eastAsia="仿宋_GB2312"/>
          <w:sz w:val="32"/>
          <w:szCs w:val="32"/>
          <w:highlight w:val="none"/>
          <w:lang w:val="en-US" w:eastAsia="zh-CN"/>
        </w:rPr>
        <w:t>汛期期间落实24小时领导带班值班制度，与各乡（镇、场）、各矿山企业建立了“群测群防”体系。</w:t>
      </w:r>
      <w:r>
        <w:rPr>
          <w:rFonts w:hint="eastAsia" w:eastAsia="仿宋_GB2312"/>
          <w:sz w:val="32"/>
          <w:szCs w:val="32"/>
          <w:highlight w:val="none"/>
        </w:rPr>
        <w:t>全面开展地质灾害隐患汛前排查、汛中巡查、汛后核查，累计开展</w:t>
      </w:r>
      <w:r>
        <w:rPr>
          <w:rFonts w:hint="eastAsia" w:eastAsia="仿宋_GB2312"/>
          <w:sz w:val="32"/>
          <w:szCs w:val="32"/>
          <w:highlight w:val="none"/>
          <w:lang w:val="en-US" w:eastAsia="zh-CN"/>
        </w:rPr>
        <w:t>32</w:t>
      </w:r>
      <w:r>
        <w:rPr>
          <w:rFonts w:hint="eastAsia" w:eastAsia="仿宋_GB2312"/>
          <w:sz w:val="32"/>
          <w:szCs w:val="32"/>
          <w:highlight w:val="none"/>
        </w:rPr>
        <w:t>次，发放“防灾工作明白卡”一点一卡，每个灾害点的“避险明白卡”一户一卡</w:t>
      </w:r>
      <w:r>
        <w:rPr>
          <w:rFonts w:hint="eastAsia" w:eastAsia="仿宋_GB2312"/>
          <w:sz w:val="32"/>
          <w:szCs w:val="32"/>
          <w:highlight w:val="none"/>
          <w:lang w:eastAsia="zh-CN"/>
        </w:rPr>
        <w:t>。</w:t>
      </w:r>
    </w:p>
    <w:p w14:paraId="2F1654FC">
      <w:pPr>
        <w:spacing w:line="560" w:lineRule="exact"/>
        <w:ind w:firstLine="627" w:firstLineChars="196"/>
        <w:rPr>
          <w:rFonts w:hint="eastAsia" w:eastAsia="仿宋_GB2312"/>
          <w:sz w:val="32"/>
          <w:szCs w:val="32"/>
          <w:highlight w:val="none"/>
        </w:rPr>
      </w:pPr>
      <w:r>
        <w:rPr>
          <w:rFonts w:hint="eastAsia" w:eastAsia="仿宋_GB2312"/>
          <w:sz w:val="32"/>
          <w:szCs w:val="32"/>
          <w:highlight w:val="none"/>
        </w:rPr>
        <w:t>坚持“人防+技防”，县自然资源局向自然资源厅分别申请了2</w:t>
      </w:r>
      <w:r>
        <w:rPr>
          <w:rFonts w:hint="eastAsia" w:eastAsia="仿宋_GB2312"/>
          <w:sz w:val="32"/>
          <w:szCs w:val="32"/>
          <w:highlight w:val="none"/>
          <w:lang w:val="en-US" w:eastAsia="zh-CN"/>
        </w:rPr>
        <w:t>8</w:t>
      </w:r>
      <w:r>
        <w:rPr>
          <w:rFonts w:hint="eastAsia" w:eastAsia="仿宋_GB2312"/>
          <w:sz w:val="32"/>
          <w:szCs w:val="32"/>
          <w:highlight w:val="none"/>
        </w:rPr>
        <w:t>台地质灾害自动化监测预警仪器</w:t>
      </w:r>
      <w:r>
        <w:rPr>
          <w:rFonts w:hint="eastAsia" w:eastAsia="仿宋_GB2312"/>
          <w:sz w:val="32"/>
          <w:szCs w:val="32"/>
          <w:highlight w:val="none"/>
          <w:lang w:eastAsia="zh-CN"/>
        </w:rPr>
        <w:t>，</w:t>
      </w:r>
      <w:r>
        <w:rPr>
          <w:rFonts w:hint="eastAsia" w:eastAsia="仿宋_GB2312"/>
          <w:sz w:val="32"/>
          <w:szCs w:val="32"/>
          <w:highlight w:val="none"/>
        </w:rPr>
        <w:t>分别安装在地质灾害隐患点威胁人数较多的6个乡镇场，地质灾害自动化监测预警仪对大型及特大型地质灾害进行实时监控，极大的增强了科学防灾能力。</w:t>
      </w:r>
      <w:r>
        <w:rPr>
          <w:rFonts w:hint="eastAsia" w:eastAsia="仿宋_GB2312"/>
          <w:sz w:val="32"/>
          <w:szCs w:val="32"/>
          <w:highlight w:val="none"/>
          <w:lang w:val="en-US" w:eastAsia="zh-CN"/>
        </w:rPr>
        <w:t>阿克陶县部分灾害点安装了雨量计、泥石流报警设备、位移监测设备等，对阿克陶县地质灾害进行了实时监控，提高了防灾减灾能力。</w:t>
      </w:r>
      <w:r>
        <w:rPr>
          <w:rFonts w:hint="eastAsia" w:eastAsia="仿宋_GB2312"/>
          <w:sz w:val="32"/>
          <w:szCs w:val="32"/>
          <w:highlight w:val="none"/>
        </w:rPr>
        <w:t>自然资源局加强与县地震局沟通联系，防止地震引发次生灾害</w:t>
      </w:r>
      <w:r>
        <w:rPr>
          <w:rFonts w:hint="eastAsia" w:eastAsia="仿宋_GB2312"/>
          <w:sz w:val="32"/>
          <w:szCs w:val="32"/>
          <w:highlight w:val="none"/>
          <w:lang w:eastAsia="zh-CN"/>
        </w:rPr>
        <w:t>；</w:t>
      </w:r>
      <w:r>
        <w:rPr>
          <w:rFonts w:hint="eastAsia" w:eastAsia="仿宋_GB2312"/>
          <w:sz w:val="32"/>
          <w:szCs w:val="32"/>
          <w:highlight w:val="none"/>
        </w:rPr>
        <w:t>与气象局联合开展地质灾害气象风险预警，及时发送地质灾害气象风险预警信息，有力支撑汛期地质灾害防范工作。</w:t>
      </w:r>
    </w:p>
    <w:p w14:paraId="1F291C9C">
      <w:pPr>
        <w:numPr>
          <w:ilvl w:val="0"/>
          <w:numId w:val="0"/>
        </w:numPr>
        <w:spacing w:line="560" w:lineRule="exact"/>
        <w:ind w:firstLine="630" w:firstLineChars="196"/>
        <w:outlineLvl w:val="2"/>
        <w:rPr>
          <w:rFonts w:hint="eastAsia" w:eastAsia="仿宋_GB2312"/>
          <w:b/>
          <w:sz w:val="32"/>
          <w:szCs w:val="32"/>
          <w:highlight w:val="none"/>
        </w:rPr>
      </w:pPr>
      <w:r>
        <w:rPr>
          <w:rFonts w:hint="eastAsia" w:eastAsia="仿宋_GB2312" w:cs="Times New Roman"/>
          <w:b/>
          <w:kern w:val="2"/>
          <w:sz w:val="32"/>
          <w:szCs w:val="32"/>
          <w:highlight w:val="none"/>
          <w:lang w:val="en-US" w:eastAsia="zh-CN" w:bidi="ar-SA"/>
        </w:rPr>
        <w:t>3、</w:t>
      </w:r>
      <w:r>
        <w:rPr>
          <w:rFonts w:eastAsia="仿宋_GB2312"/>
          <w:b/>
          <w:sz w:val="32"/>
          <w:szCs w:val="32"/>
          <w:highlight w:val="none"/>
        </w:rPr>
        <w:t>地质灾害防治能力</w:t>
      </w:r>
      <w:r>
        <w:rPr>
          <w:rFonts w:hint="eastAsia" w:eastAsia="仿宋_GB2312"/>
          <w:b/>
          <w:sz w:val="32"/>
          <w:szCs w:val="32"/>
          <w:highlight w:val="none"/>
        </w:rPr>
        <w:t>不断提升。</w:t>
      </w:r>
    </w:p>
    <w:p w14:paraId="50348474">
      <w:pPr>
        <w:spacing w:line="560" w:lineRule="exact"/>
        <w:ind w:firstLine="627" w:firstLineChars="196"/>
        <w:rPr>
          <w:rFonts w:hint="eastAsia" w:eastAsia="仿宋_GB2312"/>
          <w:sz w:val="32"/>
          <w:szCs w:val="32"/>
          <w:highlight w:val="none"/>
        </w:rPr>
      </w:pPr>
      <w:r>
        <w:rPr>
          <w:rFonts w:hint="eastAsia" w:eastAsia="仿宋_GB2312"/>
          <w:sz w:val="32"/>
          <w:szCs w:val="32"/>
          <w:highlight w:val="none"/>
          <w:lang w:val="en-US" w:eastAsia="zh-CN"/>
        </w:rPr>
        <w:t>阿克陶县近年来</w:t>
      </w:r>
      <w:r>
        <w:rPr>
          <w:rFonts w:hint="eastAsia" w:eastAsia="仿宋_GB2312"/>
          <w:sz w:val="32"/>
          <w:szCs w:val="32"/>
          <w:highlight w:val="none"/>
        </w:rPr>
        <w:t>对排查出来的地质灾害隐患点逐一建立台账，明确防灾责任和防范措施，分类制定防治方案，对形势较为严竣的地灾隐患点当即采取了应急处置措施。对排查出的新增隐患点，</w:t>
      </w:r>
      <w:r>
        <w:rPr>
          <w:rFonts w:hint="eastAsia" w:eastAsia="仿宋_GB2312"/>
          <w:sz w:val="32"/>
          <w:szCs w:val="32"/>
          <w:highlight w:val="none"/>
          <w:lang w:val="en-US" w:eastAsia="zh-CN"/>
        </w:rPr>
        <w:t>能够及时</w:t>
      </w:r>
      <w:r>
        <w:rPr>
          <w:rFonts w:hint="eastAsia" w:eastAsia="仿宋_GB2312"/>
          <w:sz w:val="32"/>
          <w:szCs w:val="32"/>
          <w:highlight w:val="none"/>
        </w:rPr>
        <w:t>移交乡镇，并逐一督促落实监测人员及防灾措施。对排查出的</w:t>
      </w:r>
      <w:r>
        <w:rPr>
          <w:rFonts w:hint="eastAsia" w:eastAsia="仿宋_GB2312"/>
          <w:sz w:val="32"/>
          <w:szCs w:val="32"/>
          <w:highlight w:val="none"/>
          <w:lang w:val="en-US" w:eastAsia="zh-CN"/>
        </w:rPr>
        <w:t>重大</w:t>
      </w:r>
      <w:r>
        <w:rPr>
          <w:rFonts w:hint="eastAsia" w:eastAsia="仿宋_GB2312"/>
          <w:sz w:val="32"/>
          <w:szCs w:val="32"/>
          <w:highlight w:val="none"/>
        </w:rPr>
        <w:t>地质灾害隐患，及时投入资金，采取工程治理或排危除险措施消除隐患。“十</w:t>
      </w:r>
      <w:r>
        <w:rPr>
          <w:rFonts w:hint="eastAsia" w:eastAsia="仿宋_GB2312"/>
          <w:sz w:val="32"/>
          <w:szCs w:val="32"/>
          <w:highlight w:val="none"/>
          <w:lang w:val="en-US" w:eastAsia="zh-CN"/>
        </w:rPr>
        <w:t>四</w:t>
      </w:r>
      <w:r>
        <w:rPr>
          <w:rFonts w:hint="eastAsia" w:eastAsia="仿宋_GB2312"/>
          <w:sz w:val="32"/>
          <w:szCs w:val="32"/>
          <w:highlight w:val="none"/>
        </w:rPr>
        <w:t>五”期间共发生地质灾害灾情</w:t>
      </w:r>
      <w:r>
        <w:rPr>
          <w:rFonts w:hint="eastAsia" w:eastAsia="仿宋_GB2312"/>
          <w:sz w:val="32"/>
          <w:szCs w:val="32"/>
          <w:highlight w:val="none"/>
          <w:lang w:val="en-US" w:eastAsia="zh-CN"/>
        </w:rPr>
        <w:t>14</w:t>
      </w:r>
      <w:r>
        <w:rPr>
          <w:rFonts w:hint="eastAsia" w:eastAsia="仿宋_GB2312"/>
          <w:sz w:val="32"/>
          <w:szCs w:val="32"/>
          <w:highlight w:val="none"/>
        </w:rPr>
        <w:t>起，多为泥石流灾害，未造成人员伤亡</w:t>
      </w:r>
      <w:r>
        <w:rPr>
          <w:rFonts w:hint="eastAsia" w:eastAsia="仿宋_GB2312"/>
          <w:sz w:val="32"/>
          <w:szCs w:val="32"/>
          <w:highlight w:val="none"/>
          <w:lang w:val="en-US" w:eastAsia="zh-CN"/>
        </w:rPr>
        <w:t>，造成直接</w:t>
      </w:r>
      <w:r>
        <w:rPr>
          <w:rFonts w:hint="eastAsia" w:eastAsia="仿宋_GB2312"/>
          <w:sz w:val="32"/>
          <w:szCs w:val="32"/>
          <w:highlight w:val="none"/>
        </w:rPr>
        <w:t>经济损失</w:t>
      </w:r>
      <w:r>
        <w:rPr>
          <w:rFonts w:hint="eastAsia" w:eastAsia="仿宋_GB2312"/>
          <w:sz w:val="32"/>
          <w:szCs w:val="32"/>
          <w:highlight w:val="none"/>
          <w:lang w:val="en-US" w:eastAsia="zh-CN"/>
        </w:rPr>
        <w:t>218.25万元</w:t>
      </w:r>
      <w:r>
        <w:rPr>
          <w:rFonts w:hint="eastAsia" w:eastAsia="仿宋_GB2312"/>
          <w:sz w:val="32"/>
          <w:szCs w:val="32"/>
          <w:highlight w:val="none"/>
          <w:lang w:eastAsia="zh-CN"/>
        </w:rPr>
        <w:t>。在高易发区的地质灾害隐患点用民、汉两种文字设置永久性警示牌44块。</w:t>
      </w:r>
      <w:r>
        <w:rPr>
          <w:rFonts w:hint="eastAsia" w:eastAsia="仿宋_GB2312"/>
          <w:sz w:val="32"/>
          <w:szCs w:val="32"/>
          <w:highlight w:val="none"/>
        </w:rPr>
        <w:t>巡查时发现地质灾害突发情况及时联系当地乡（镇、场）、派出所、交警中队设置卡点进行交通管制，确保沿线过往车辆及人员的安全。</w:t>
      </w:r>
    </w:p>
    <w:p w14:paraId="356BF380">
      <w:pPr>
        <w:spacing w:line="560" w:lineRule="exact"/>
        <w:ind w:firstLine="627" w:firstLineChars="196"/>
        <w:rPr>
          <w:rFonts w:hint="eastAsia" w:eastAsia="仿宋_GB2312"/>
          <w:sz w:val="32"/>
          <w:szCs w:val="32"/>
          <w:highlight w:val="none"/>
          <w:lang w:val="en-US" w:eastAsia="zh-CN"/>
        </w:rPr>
      </w:pPr>
      <w:r>
        <w:rPr>
          <w:rFonts w:hint="eastAsia" w:eastAsia="仿宋_GB2312"/>
          <w:sz w:val="32"/>
          <w:szCs w:val="32"/>
          <w:highlight w:val="none"/>
        </w:rPr>
        <w:t>2021年以来</w:t>
      </w:r>
      <w:r>
        <w:rPr>
          <w:rFonts w:hint="eastAsia" w:eastAsia="仿宋_GB2312"/>
          <w:sz w:val="32"/>
          <w:szCs w:val="32"/>
          <w:highlight w:val="none"/>
          <w:lang w:val="en-US" w:eastAsia="zh-CN"/>
        </w:rPr>
        <w:t>确定</w:t>
      </w:r>
      <w:r>
        <w:rPr>
          <w:rFonts w:hint="eastAsia" w:eastAsia="仿宋_GB2312"/>
          <w:sz w:val="32"/>
          <w:szCs w:val="32"/>
          <w:highlight w:val="none"/>
        </w:rPr>
        <w:t>地质灾害防治项目4个（克孜勒陶乡喀尔乌勒北泥石流沟治理项目，阿克达拉牧场中心小学泥石流治理项目，阿克塔拉牧场2村泥石流防治工程，克州阿克陶县克孜勒陶镇，阿克达拉牧场崩塌、泥石流地质灾害防治工程项目），地质灾害专项勘查5个（阿克陶县塔尔乡1至5村崩塌、泥石流专项勘查，阿克达拉牧场中心小学泥石流专项勘查，阿克塔拉牧场2村泥石流专项勘查，克孜勒陶镇政府北泥石流专项勘查，布伦口乡盖孜村泥石流专项勘查）。</w:t>
      </w:r>
      <w:r>
        <w:rPr>
          <w:rFonts w:hint="eastAsia" w:eastAsia="仿宋_GB2312"/>
          <w:sz w:val="32"/>
          <w:szCs w:val="32"/>
          <w:highlight w:val="none"/>
          <w:lang w:val="en-US" w:eastAsia="zh-CN"/>
        </w:rPr>
        <w:t>2024年完成克孜勒陶镇和阿克达拉牧场区域地质灾害详细勘查工作。</w:t>
      </w:r>
    </w:p>
    <w:p w14:paraId="41134BA7">
      <w:pPr>
        <w:numPr>
          <w:ilvl w:val="0"/>
          <w:numId w:val="0"/>
        </w:numPr>
        <w:spacing w:line="560" w:lineRule="exact"/>
        <w:ind w:firstLine="630" w:firstLineChars="196"/>
        <w:outlineLvl w:val="2"/>
        <w:rPr>
          <w:rFonts w:hint="eastAsia" w:eastAsia="仿宋_GB2312"/>
          <w:b/>
          <w:sz w:val="32"/>
          <w:szCs w:val="32"/>
          <w:highlight w:val="none"/>
        </w:rPr>
      </w:pPr>
      <w:r>
        <w:rPr>
          <w:rFonts w:hint="eastAsia" w:eastAsia="仿宋_GB2312"/>
          <w:b/>
          <w:sz w:val="32"/>
          <w:szCs w:val="32"/>
          <w:highlight w:val="none"/>
          <w:lang w:val="en-US" w:eastAsia="zh-CN"/>
        </w:rPr>
        <w:t>4、</w:t>
      </w:r>
      <w:r>
        <w:rPr>
          <w:rFonts w:hint="eastAsia" w:eastAsia="仿宋_GB2312"/>
          <w:b/>
          <w:sz w:val="32"/>
          <w:szCs w:val="32"/>
          <w:highlight w:val="none"/>
        </w:rPr>
        <w:t>防灾行动</w:t>
      </w:r>
      <w:r>
        <w:rPr>
          <w:rFonts w:eastAsia="仿宋_GB2312"/>
          <w:b/>
          <w:sz w:val="32"/>
          <w:szCs w:val="32"/>
          <w:highlight w:val="none"/>
        </w:rPr>
        <w:t>社会参与效果明显</w:t>
      </w:r>
      <w:r>
        <w:rPr>
          <w:rFonts w:hint="eastAsia" w:eastAsia="仿宋_GB2312"/>
          <w:b/>
          <w:sz w:val="32"/>
          <w:szCs w:val="32"/>
          <w:highlight w:val="none"/>
        </w:rPr>
        <w:t>。</w:t>
      </w:r>
    </w:p>
    <w:p w14:paraId="0C0CF205">
      <w:pPr>
        <w:spacing w:line="560" w:lineRule="exact"/>
        <w:ind w:firstLine="627" w:firstLineChars="196"/>
        <w:rPr>
          <w:rFonts w:hint="eastAsia" w:eastAsia="仿宋_GB2312"/>
          <w:sz w:val="32"/>
          <w:szCs w:val="32"/>
          <w:highlight w:val="none"/>
          <w:lang w:val="en-US" w:eastAsia="zh-CN"/>
        </w:rPr>
      </w:pPr>
      <w:r>
        <w:rPr>
          <w:rFonts w:hint="eastAsia" w:eastAsia="仿宋_GB2312"/>
          <w:sz w:val="32"/>
          <w:szCs w:val="32"/>
          <w:highlight w:val="none"/>
          <w:lang w:val="en-US" w:eastAsia="zh-CN"/>
        </w:rPr>
        <w:t>充分利用“4.22”世界地球日、“5.12”地质灾害日、“6.25”全国土地日、等重大节日，以鲜明的主题、丰富的内容和群众喜闻乐见的形式，在城区人员密集场所集中开展宣传地质灾害防灾、减灾、避灾宣讲活动。设立宣传咨询解答台，悬挂宣传横幅，宣传展板，散发宣传单、宣传册，累计发放宣传单、宣传册4000余份。面向镇（乡）群众和政府主管部门的干部进行了地质灾害防治知识的宣传培训5次，参加人员1600余人次，开展100人以上的地质灾害应急演练5次。提高了受灾害威胁地区人民群众的防灾减灾意识，增强了全社会参与地质灾害防治工作的积极性。</w:t>
      </w:r>
    </w:p>
    <w:p w14:paraId="4DF07D6C">
      <w:pPr>
        <w:numPr>
          <w:ilvl w:val="0"/>
          <w:numId w:val="0"/>
        </w:numPr>
        <w:spacing w:line="560" w:lineRule="exact"/>
        <w:ind w:firstLine="630" w:firstLineChars="196"/>
        <w:outlineLvl w:val="2"/>
        <w:rPr>
          <w:rFonts w:hint="default" w:ascii="Times New Roman" w:hAnsi="Times New Roman" w:eastAsia="仿宋_GB2312" w:cs="Times New Roman"/>
          <w:b/>
          <w:kern w:val="2"/>
          <w:sz w:val="32"/>
          <w:szCs w:val="32"/>
          <w:highlight w:val="none"/>
          <w:lang w:val="en-US" w:eastAsia="zh-CN" w:bidi="ar-SA"/>
        </w:rPr>
      </w:pPr>
      <w:r>
        <w:rPr>
          <w:rFonts w:hint="eastAsia" w:eastAsia="仿宋_GB2312" w:cs="Times New Roman"/>
          <w:b/>
          <w:kern w:val="2"/>
          <w:sz w:val="32"/>
          <w:szCs w:val="32"/>
          <w:highlight w:val="none"/>
          <w:lang w:val="en-US" w:eastAsia="zh-CN" w:bidi="ar-SA"/>
        </w:rPr>
        <w:t>5</w:t>
      </w:r>
      <w:r>
        <w:rPr>
          <w:rFonts w:hint="eastAsia" w:ascii="Times New Roman" w:hAnsi="Times New Roman" w:eastAsia="仿宋_GB2312" w:cs="Times New Roman"/>
          <w:b/>
          <w:kern w:val="2"/>
          <w:sz w:val="32"/>
          <w:szCs w:val="32"/>
          <w:highlight w:val="none"/>
          <w:lang w:val="en-US" w:eastAsia="zh-CN" w:bidi="ar-SA"/>
        </w:rPr>
        <w:t>、健全地质灾害应急机制</w:t>
      </w:r>
      <w:r>
        <w:rPr>
          <w:rFonts w:hint="eastAsia" w:eastAsia="仿宋_GB2312" w:cs="Times New Roman"/>
          <w:b/>
          <w:kern w:val="2"/>
          <w:sz w:val="32"/>
          <w:szCs w:val="32"/>
          <w:highlight w:val="none"/>
          <w:lang w:val="en-US" w:eastAsia="zh-CN" w:bidi="ar-SA"/>
        </w:rPr>
        <w:t>。</w:t>
      </w:r>
    </w:p>
    <w:p w14:paraId="1701BC30">
      <w:pPr>
        <w:spacing w:line="560" w:lineRule="exact"/>
        <w:ind w:firstLine="627" w:firstLineChars="196"/>
        <w:rPr>
          <w:rFonts w:hint="eastAsia" w:eastAsia="仿宋_GB2312"/>
          <w:sz w:val="32"/>
          <w:szCs w:val="32"/>
          <w:highlight w:val="none"/>
          <w:lang w:val="en-US" w:eastAsia="zh-CN"/>
        </w:rPr>
      </w:pPr>
      <w:r>
        <w:rPr>
          <w:rFonts w:hint="eastAsia" w:eastAsia="仿宋_GB2312"/>
          <w:sz w:val="32"/>
          <w:szCs w:val="32"/>
          <w:highlight w:val="none"/>
          <w:lang w:val="en-US" w:eastAsia="zh-CN"/>
        </w:rPr>
        <w:t>与相关单位达成技术服务合作协议，建立了由地质灾害专业技术人员组成的技术服务队伍。加强专业指导，重在基层，全方位强化防灾减灾技术力量。</w:t>
      </w:r>
    </w:p>
    <w:p w14:paraId="5EF35335">
      <w:pPr>
        <w:spacing w:line="560" w:lineRule="exact"/>
        <w:ind w:firstLine="627" w:firstLineChars="196"/>
        <w:rPr>
          <w:rFonts w:hint="eastAsia" w:eastAsia="仿宋_GB2312"/>
          <w:sz w:val="32"/>
          <w:szCs w:val="32"/>
          <w:highlight w:val="none"/>
          <w:lang w:val="en-US" w:eastAsia="zh-CN"/>
        </w:rPr>
      </w:pPr>
      <w:r>
        <w:rPr>
          <w:rFonts w:hint="eastAsia" w:eastAsia="仿宋_GB2312"/>
          <w:sz w:val="32"/>
          <w:szCs w:val="32"/>
          <w:highlight w:val="none"/>
          <w:lang w:val="en-US" w:eastAsia="zh-CN"/>
        </w:rPr>
        <w:t>严格落实24小时值班和领导带班制度，进一步加强地质灾害防范责任和防范工作纪律。值班期间，县地质灾害指挥部办公室不定期对各乡（镇）、部门、监测点值班情况进行抽查，确保汛期24小时应急值守人员到位，保障气象、雨情、灾情等信息及时上传下达，为抢险救灾赢取宝贵时间。</w:t>
      </w:r>
    </w:p>
    <w:p w14:paraId="3E914E84">
      <w:pPr>
        <w:spacing w:line="560" w:lineRule="exact"/>
        <w:ind w:firstLine="627" w:firstLineChars="196"/>
        <w:rPr>
          <w:rFonts w:hint="eastAsia" w:eastAsia="仿宋_GB2312"/>
          <w:sz w:val="32"/>
          <w:szCs w:val="32"/>
          <w:highlight w:val="none"/>
          <w:lang w:val="en-US" w:eastAsia="zh-CN"/>
        </w:rPr>
      </w:pPr>
      <w:r>
        <w:rPr>
          <w:rFonts w:hint="eastAsia" w:eastAsia="仿宋_GB2312"/>
          <w:sz w:val="32"/>
          <w:szCs w:val="32"/>
          <w:highlight w:val="none"/>
          <w:lang w:val="en-US" w:eastAsia="zh-CN"/>
        </w:rPr>
        <w:t>制定了全县总预案，阿克陶县自然资源局对重大地质灾害隐患点编制了完善的防灾预案，在地质灾害较为发育的阿克达拉牧场开展了地质灾害应急演练，确保一旦险情发生，预案能及时启动，有效避灾。</w:t>
      </w:r>
    </w:p>
    <w:p w14:paraId="7E15F161">
      <w:pPr>
        <w:numPr>
          <w:ilvl w:val="0"/>
          <w:numId w:val="0"/>
        </w:numPr>
        <w:spacing w:line="560" w:lineRule="exact"/>
        <w:ind w:firstLine="630" w:firstLineChars="196"/>
        <w:outlineLvl w:val="2"/>
        <w:rPr>
          <w:rFonts w:hint="eastAsia" w:ascii="Times New Roman" w:hAnsi="Times New Roman" w:eastAsia="仿宋_GB2312" w:cs="Times New Roman"/>
          <w:b/>
          <w:kern w:val="2"/>
          <w:sz w:val="32"/>
          <w:szCs w:val="32"/>
          <w:highlight w:val="none"/>
          <w:lang w:val="en-US" w:eastAsia="zh-CN" w:bidi="ar-SA"/>
        </w:rPr>
      </w:pPr>
      <w:r>
        <w:rPr>
          <w:rFonts w:hint="eastAsia" w:eastAsia="仿宋_GB2312" w:cs="Times New Roman"/>
          <w:b/>
          <w:kern w:val="2"/>
          <w:sz w:val="32"/>
          <w:szCs w:val="32"/>
          <w:highlight w:val="none"/>
          <w:lang w:val="en-US" w:eastAsia="zh-CN" w:bidi="ar-SA"/>
        </w:rPr>
        <w:t>6、</w:t>
      </w:r>
      <w:r>
        <w:rPr>
          <w:rFonts w:hint="eastAsia" w:ascii="Times New Roman" w:hAnsi="Times New Roman" w:eastAsia="仿宋_GB2312" w:cs="Times New Roman"/>
          <w:b/>
          <w:kern w:val="2"/>
          <w:sz w:val="32"/>
          <w:szCs w:val="32"/>
          <w:highlight w:val="none"/>
          <w:lang w:val="en-US" w:eastAsia="zh-CN" w:bidi="ar-SA"/>
        </w:rPr>
        <w:t>成功避险案例</w:t>
      </w:r>
      <w:r>
        <w:rPr>
          <w:rFonts w:hint="eastAsia" w:eastAsia="仿宋_GB2312" w:cs="Times New Roman"/>
          <w:b/>
          <w:kern w:val="2"/>
          <w:sz w:val="32"/>
          <w:szCs w:val="32"/>
          <w:highlight w:val="none"/>
          <w:lang w:val="en-US" w:eastAsia="zh-CN" w:bidi="ar-SA"/>
        </w:rPr>
        <w:t>。</w:t>
      </w:r>
    </w:p>
    <w:p w14:paraId="70135E54">
      <w:pPr>
        <w:spacing w:line="560" w:lineRule="exact"/>
        <w:ind w:firstLine="627" w:firstLineChars="196"/>
        <w:rPr>
          <w:rFonts w:hint="eastAsia" w:eastAsia="仿宋_GB2312"/>
          <w:sz w:val="32"/>
          <w:szCs w:val="32"/>
          <w:highlight w:val="none"/>
          <w:lang w:val="en-US" w:eastAsia="zh-CN"/>
        </w:rPr>
      </w:pPr>
      <w:r>
        <w:rPr>
          <w:rFonts w:hint="eastAsia" w:eastAsia="仿宋_GB2312"/>
          <w:sz w:val="32"/>
          <w:szCs w:val="32"/>
          <w:highlight w:val="none"/>
          <w:lang w:val="en-US" w:eastAsia="zh-CN"/>
        </w:rPr>
        <w:t>2023年6月27日，阿克陶县气象局发布气象橙色预警，阿克达拉牧场及奥依塔克镇等周边有雷暴、大风、短时强降水天气。阿克陶县委、县人民政府立即对防汛工作进行安排部署，要求各部门要加强监测预警预报，及时通过信息化平台、微信工作群、短信等多梁道发布极端天气预报预警信息，加密对山洪灾害隐患点、地质灾害高发易发区巡查频次，完善群测群防措施，做到山洪与地质灾害早发现、早预警。</w:t>
      </w:r>
    </w:p>
    <w:p w14:paraId="6760FACB">
      <w:pPr>
        <w:spacing w:line="560" w:lineRule="exact"/>
        <w:ind w:firstLine="627" w:firstLineChars="196"/>
        <w:rPr>
          <w:rFonts w:hint="eastAsia" w:eastAsia="仿宋_GB2312"/>
          <w:sz w:val="32"/>
          <w:szCs w:val="32"/>
          <w:highlight w:val="none"/>
          <w:lang w:val="en-US" w:eastAsia="zh-CN"/>
        </w:rPr>
      </w:pPr>
      <w:r>
        <w:rPr>
          <w:rFonts w:hint="eastAsia" w:eastAsia="仿宋_GB2312"/>
          <w:sz w:val="32"/>
          <w:szCs w:val="32"/>
          <w:highlight w:val="none"/>
          <w:lang w:val="en-US" w:eastAsia="zh-CN"/>
        </w:rPr>
        <w:t>6月27日夜问阿克陶县境内出现雷雨大风天气，局部地区出现强降雨。6月28日上午10时，克州阿克陶县阿克达拉牧场管理服务中心三级主任科员吴银亮在日常巡查山洪泥石流灾害风险隐患时，发现部分村民房屋出现水体倒灌，有遭受泥石流灾害的可能，于是迅速上报阿克陶县委、县人民政府。</w:t>
      </w:r>
    </w:p>
    <w:p w14:paraId="74BF5D5F">
      <w:pPr>
        <w:spacing w:line="560" w:lineRule="exact"/>
        <w:ind w:firstLine="627" w:firstLineChars="196"/>
        <w:rPr>
          <w:rFonts w:hint="eastAsia" w:eastAsia="仿宋_GB2312"/>
          <w:sz w:val="32"/>
          <w:szCs w:val="32"/>
          <w:highlight w:val="none"/>
          <w:lang w:val="en-US" w:eastAsia="zh-CN"/>
        </w:rPr>
      </w:pPr>
      <w:r>
        <w:rPr>
          <w:rFonts w:hint="eastAsia" w:eastAsia="仿宋_GB2312"/>
          <w:sz w:val="32"/>
          <w:szCs w:val="32"/>
          <w:highlight w:val="none"/>
          <w:lang w:val="en-US" w:eastAsia="zh-CN"/>
        </w:rPr>
        <w:t>接报后，县委、县政府立即组织阿克达拉牧场、奥依塔克、布伦口、克孜勒陶、木吉等乡镇以及应急、自然资源、发改、民政、文旅、公安、交通、水利等部门提前做好自然灾害险情防范和应对工作，组织开展涉险地带群众转移工作，选用地势高、结构强、容量大的场部文化活动中心和“5+2”办公楼作为临时安置点。</w:t>
      </w:r>
    </w:p>
    <w:p w14:paraId="100FB940">
      <w:pPr>
        <w:spacing w:line="560" w:lineRule="exact"/>
        <w:ind w:firstLine="627" w:firstLineChars="196"/>
        <w:rPr>
          <w:rFonts w:hint="eastAsia" w:eastAsia="仿宋_GB2312"/>
          <w:sz w:val="32"/>
          <w:szCs w:val="32"/>
          <w:highlight w:val="none"/>
          <w:lang w:val="en-US" w:eastAsia="zh-CN"/>
        </w:rPr>
      </w:pPr>
      <w:r>
        <w:rPr>
          <w:rFonts w:hint="eastAsia" w:eastAsia="仿宋_GB2312"/>
          <w:sz w:val="32"/>
          <w:szCs w:val="32"/>
          <w:highlight w:val="none"/>
          <w:lang w:val="en-US" w:eastAsia="zh-CN"/>
        </w:rPr>
        <w:t>28日下午16时，共转移安置1村、2村牧民435人，调配水、面包、方便面、馈120余件以及帐篷、被褥100余套等应急救援物资，同时就近从克孜勒陶镇调配应急物资保障临时安置人员，确保受灾群众有饭、有水喝、有衣穿、有临时医疗救助和临时安全住处。</w:t>
      </w:r>
    </w:p>
    <w:p w14:paraId="557C71E7">
      <w:pPr>
        <w:spacing w:line="560" w:lineRule="exact"/>
        <w:ind w:firstLine="627" w:firstLineChars="196"/>
        <w:rPr>
          <w:rFonts w:hint="eastAsia" w:eastAsia="仿宋_GB2312"/>
          <w:sz w:val="32"/>
          <w:szCs w:val="32"/>
          <w:highlight w:val="none"/>
          <w:lang w:val="en-US" w:eastAsia="zh-CN"/>
        </w:rPr>
      </w:pPr>
      <w:r>
        <w:rPr>
          <w:rFonts w:hint="eastAsia" w:eastAsia="仿宋_GB2312"/>
          <w:sz w:val="32"/>
          <w:szCs w:val="32"/>
          <w:highlight w:val="none"/>
          <w:lang w:val="en-US" w:eastAsia="zh-CN"/>
        </w:rPr>
        <w:t>28日22时许，阿克陶县因局部强降雨引发阿克达拉牧场、奥依塔克镇发生山洪泥石流险情，由于提前预警、反应迅速、转移安置及时，各支力量相互配合、处置得当，未造成人员伤亡。</w:t>
      </w:r>
    </w:p>
    <w:p w14:paraId="6EC29E9F">
      <w:pPr>
        <w:spacing w:line="560" w:lineRule="exact"/>
        <w:ind w:firstLine="627" w:firstLineChars="196"/>
        <w:rPr>
          <w:rFonts w:hint="eastAsia" w:eastAsia="仿宋_GB2312"/>
          <w:sz w:val="32"/>
          <w:szCs w:val="32"/>
          <w:highlight w:val="none"/>
          <w:lang w:val="en-US" w:eastAsia="zh-CN"/>
        </w:rPr>
      </w:pPr>
      <w:r>
        <w:rPr>
          <w:rFonts w:hint="eastAsia" w:eastAsia="仿宋_GB2312"/>
          <w:sz w:val="32"/>
          <w:szCs w:val="32"/>
          <w:highlight w:val="none"/>
          <w:lang w:val="en-US" w:eastAsia="zh-CN"/>
        </w:rPr>
        <w:t>这是1起典型的山洪泥石流险情萌芽之初早预警、早发现、早报告、早处置的成功避险案例，近年来，在阿克陶县人民政府、克州自然资源局的指导下，阿克陶县自然资源局积极推进灾害风险网格化管理，在全县依托地质灾害信息员队伍，大力开展灾害风险隐患信息报送工作；聚焦灾害性天气防范应对，以气象预警为先导应急响应联动，对特定区域、重点人群进行转移避险，切实有效保障了人民群众生命财产安全。</w:t>
      </w:r>
    </w:p>
    <w:p w14:paraId="46B5027E">
      <w:pPr>
        <w:pStyle w:val="3"/>
        <w:spacing w:after="0" w:afterLines="0" w:line="560" w:lineRule="exact"/>
        <w:ind w:firstLine="643"/>
        <w:rPr>
          <w:rFonts w:ascii="楷体" w:hAnsi="楷体" w:eastAsia="楷体" w:cs="黑体"/>
          <w:sz w:val="32"/>
          <w:highlight w:val="none"/>
        </w:rPr>
      </w:pPr>
      <w:bookmarkStart w:id="15" w:name="_Toc14398"/>
      <w:bookmarkStart w:id="16" w:name="_Toc349826165"/>
      <w:r>
        <w:rPr>
          <w:rFonts w:hint="eastAsia" w:ascii="楷体" w:hAnsi="楷体" w:eastAsia="楷体" w:cs="黑体"/>
          <w:sz w:val="32"/>
          <w:highlight w:val="none"/>
        </w:rPr>
        <w:t>（</w:t>
      </w:r>
      <w:r>
        <w:rPr>
          <w:rFonts w:hint="eastAsia" w:ascii="楷体" w:hAnsi="楷体" w:eastAsia="楷体" w:cs="黑体"/>
          <w:sz w:val="32"/>
          <w:highlight w:val="none"/>
          <w:lang w:val="en-US" w:eastAsia="zh-CN"/>
        </w:rPr>
        <w:t>七</w:t>
      </w:r>
      <w:r>
        <w:rPr>
          <w:rFonts w:hint="eastAsia" w:ascii="楷体" w:hAnsi="楷体" w:eastAsia="楷体" w:cs="黑体"/>
          <w:sz w:val="32"/>
          <w:highlight w:val="none"/>
        </w:rPr>
        <w:t>）“十</w:t>
      </w:r>
      <w:r>
        <w:rPr>
          <w:rFonts w:hint="eastAsia" w:ascii="楷体" w:hAnsi="楷体" w:eastAsia="楷体" w:cs="黑体"/>
          <w:sz w:val="32"/>
          <w:highlight w:val="none"/>
          <w:lang w:val="en-US" w:eastAsia="zh-CN"/>
        </w:rPr>
        <w:t>五</w:t>
      </w:r>
      <w:r>
        <w:rPr>
          <w:rFonts w:hint="eastAsia" w:ascii="楷体" w:hAnsi="楷体" w:eastAsia="楷体" w:cs="黑体"/>
          <w:sz w:val="32"/>
          <w:highlight w:val="none"/>
        </w:rPr>
        <w:t>五”防治形势</w:t>
      </w:r>
      <w:bookmarkEnd w:id="15"/>
    </w:p>
    <w:bookmarkEnd w:id="16"/>
    <w:p w14:paraId="2E0FF57E">
      <w:pPr>
        <w:spacing w:line="560" w:lineRule="exact"/>
        <w:ind w:firstLine="627" w:firstLineChars="196"/>
        <w:rPr>
          <w:rFonts w:hint="eastAsia" w:eastAsia="仿宋_GB2312"/>
          <w:sz w:val="32"/>
          <w:szCs w:val="32"/>
          <w:highlight w:val="none"/>
        </w:rPr>
      </w:pPr>
      <w:r>
        <w:rPr>
          <w:rFonts w:hint="eastAsia" w:eastAsia="仿宋_GB2312"/>
          <w:sz w:val="32"/>
          <w:szCs w:val="32"/>
          <w:highlight w:val="none"/>
        </w:rPr>
        <w:t>“十五五”时期是由全面建成小康社会向开启全面建设社会主义现代化国家的关键时期，党和国家对防灾减灾工作提出了更高的要求。我</w:t>
      </w:r>
      <w:r>
        <w:rPr>
          <w:rFonts w:hint="eastAsia" w:eastAsia="仿宋_GB2312"/>
          <w:sz w:val="32"/>
          <w:szCs w:val="32"/>
          <w:highlight w:val="none"/>
          <w:lang w:val="en-US" w:eastAsia="zh-CN"/>
        </w:rPr>
        <w:t>县</w:t>
      </w:r>
      <w:r>
        <w:rPr>
          <w:rFonts w:hint="eastAsia" w:eastAsia="仿宋_GB2312"/>
          <w:sz w:val="32"/>
          <w:szCs w:val="32"/>
          <w:highlight w:val="none"/>
        </w:rPr>
        <w:t>在全面推进地质灾害防治工作系统化、科学化、社会化、精细化管理方面还存在一定的差距，地质灾害隐患风险底数精准掌握和隐患识别能力有待提升，对地质灾害风险管控能力</w:t>
      </w:r>
      <w:r>
        <w:rPr>
          <w:rFonts w:hint="eastAsia" w:eastAsia="仿宋_GB2312"/>
          <w:sz w:val="32"/>
          <w:szCs w:val="32"/>
          <w:highlight w:val="none"/>
          <w:lang w:val="en-US" w:eastAsia="zh-CN"/>
        </w:rPr>
        <w:t>稍显</w:t>
      </w:r>
      <w:r>
        <w:rPr>
          <w:rFonts w:hint="eastAsia" w:eastAsia="仿宋_GB2312"/>
          <w:sz w:val="32"/>
          <w:szCs w:val="32"/>
          <w:highlight w:val="none"/>
        </w:rPr>
        <w:t>不足，地质灾害防治资金投入</w:t>
      </w:r>
      <w:r>
        <w:rPr>
          <w:rFonts w:hint="eastAsia" w:eastAsia="仿宋_GB2312"/>
          <w:sz w:val="32"/>
          <w:szCs w:val="32"/>
          <w:highlight w:val="none"/>
          <w:lang w:val="en-US" w:eastAsia="zh-CN"/>
        </w:rPr>
        <w:t>仍需加强</w:t>
      </w:r>
      <w:r>
        <w:rPr>
          <w:rFonts w:hint="eastAsia" w:eastAsia="仿宋_GB2312"/>
          <w:sz w:val="32"/>
          <w:szCs w:val="32"/>
          <w:highlight w:val="none"/>
        </w:rPr>
        <w:t>，地质灾害防治工作机制</w:t>
      </w:r>
      <w:r>
        <w:rPr>
          <w:rFonts w:hint="eastAsia" w:eastAsia="仿宋_GB2312"/>
          <w:sz w:val="32"/>
          <w:szCs w:val="32"/>
          <w:highlight w:val="none"/>
          <w:lang w:val="en-US" w:eastAsia="zh-CN"/>
        </w:rPr>
        <w:t>尚可</w:t>
      </w:r>
      <w:r>
        <w:rPr>
          <w:rFonts w:hint="eastAsia" w:eastAsia="仿宋_GB2312"/>
          <w:sz w:val="32"/>
          <w:szCs w:val="32"/>
          <w:highlight w:val="none"/>
        </w:rPr>
        <w:t>进一步优化。</w:t>
      </w:r>
    </w:p>
    <w:p w14:paraId="055F633D">
      <w:pPr>
        <w:spacing w:line="560" w:lineRule="exact"/>
        <w:ind w:firstLine="627" w:firstLineChars="196"/>
        <w:rPr>
          <w:rFonts w:eastAsia="仿宋_GB2312"/>
          <w:sz w:val="32"/>
          <w:szCs w:val="32"/>
          <w:highlight w:val="none"/>
        </w:rPr>
      </w:pPr>
      <w:r>
        <w:rPr>
          <w:rFonts w:hint="eastAsia" w:eastAsia="仿宋_GB2312"/>
          <w:sz w:val="32"/>
          <w:szCs w:val="32"/>
          <w:highlight w:val="none"/>
        </w:rPr>
        <w:t>“</w:t>
      </w:r>
      <w:r>
        <w:rPr>
          <w:rFonts w:eastAsia="仿宋_GB2312"/>
          <w:sz w:val="32"/>
          <w:szCs w:val="32"/>
          <w:highlight w:val="none"/>
        </w:rPr>
        <w:t>十</w:t>
      </w:r>
      <w:r>
        <w:rPr>
          <w:rFonts w:hint="eastAsia" w:eastAsia="仿宋_GB2312"/>
          <w:sz w:val="32"/>
          <w:szCs w:val="32"/>
          <w:highlight w:val="none"/>
          <w:lang w:val="en-US" w:eastAsia="zh-CN"/>
        </w:rPr>
        <w:t>五</w:t>
      </w:r>
      <w:r>
        <w:rPr>
          <w:rFonts w:eastAsia="仿宋_GB2312"/>
          <w:sz w:val="32"/>
          <w:szCs w:val="32"/>
          <w:highlight w:val="none"/>
        </w:rPr>
        <w:t>五</w:t>
      </w:r>
      <w:r>
        <w:rPr>
          <w:rFonts w:hint="eastAsia" w:eastAsia="仿宋_GB2312"/>
          <w:sz w:val="32"/>
          <w:szCs w:val="32"/>
          <w:highlight w:val="none"/>
        </w:rPr>
        <w:t>”</w:t>
      </w:r>
      <w:r>
        <w:rPr>
          <w:rFonts w:eastAsia="仿宋_GB2312"/>
          <w:sz w:val="32"/>
          <w:szCs w:val="32"/>
          <w:highlight w:val="none"/>
        </w:rPr>
        <w:t>时期</w:t>
      </w:r>
      <w:r>
        <w:rPr>
          <w:rFonts w:hint="eastAsia" w:eastAsia="仿宋_GB2312"/>
          <w:sz w:val="32"/>
          <w:szCs w:val="32"/>
          <w:highlight w:val="none"/>
          <w:lang w:val="en-US" w:eastAsia="zh-CN"/>
        </w:rPr>
        <w:t>也</w:t>
      </w:r>
      <w:r>
        <w:rPr>
          <w:rFonts w:eastAsia="仿宋_GB2312"/>
          <w:sz w:val="32"/>
          <w:szCs w:val="32"/>
          <w:highlight w:val="none"/>
        </w:rPr>
        <w:t>是我县努力推动高质量绿色发展取得新成效、科技创新实现新突破、改革开放迈出新步伐、美丽城乡建设树立新标杆、社会文明程度获得新提高、县域治理得到新提升、人民生活品质达到新水平的关键时期，地质灾害防治工作面临新的形势。</w:t>
      </w:r>
    </w:p>
    <w:p w14:paraId="28C4A378">
      <w:pPr>
        <w:numPr>
          <w:ilvl w:val="0"/>
          <w:numId w:val="0"/>
        </w:numPr>
        <w:spacing w:line="560" w:lineRule="exact"/>
        <w:ind w:firstLine="630" w:firstLineChars="196"/>
        <w:outlineLvl w:val="2"/>
        <w:rPr>
          <w:rFonts w:hint="eastAsia" w:eastAsia="仿宋_GB2312"/>
          <w:b/>
          <w:sz w:val="32"/>
          <w:szCs w:val="32"/>
          <w:highlight w:val="none"/>
        </w:rPr>
      </w:pPr>
      <w:r>
        <w:rPr>
          <w:rFonts w:hint="eastAsia" w:eastAsia="仿宋_GB2312" w:cs="Times New Roman"/>
          <w:b/>
          <w:kern w:val="2"/>
          <w:sz w:val="32"/>
          <w:szCs w:val="32"/>
          <w:highlight w:val="none"/>
          <w:lang w:val="en-US" w:eastAsia="zh-CN" w:bidi="ar-SA"/>
        </w:rPr>
        <w:t>1</w:t>
      </w:r>
      <w:r>
        <w:rPr>
          <w:rFonts w:hint="eastAsia" w:ascii="Times New Roman" w:hAnsi="Times New Roman" w:eastAsia="仿宋_GB2312" w:cs="Times New Roman"/>
          <w:b/>
          <w:kern w:val="2"/>
          <w:sz w:val="32"/>
          <w:szCs w:val="32"/>
          <w:highlight w:val="none"/>
          <w:lang w:val="en-US" w:eastAsia="zh-CN" w:bidi="ar-SA"/>
        </w:rPr>
        <w:t>、</w:t>
      </w:r>
      <w:r>
        <w:rPr>
          <w:rFonts w:eastAsia="仿宋_GB2312"/>
          <w:b/>
          <w:sz w:val="32"/>
          <w:szCs w:val="32"/>
          <w:highlight w:val="none"/>
        </w:rPr>
        <w:t>地质灾害防治</w:t>
      </w:r>
      <w:r>
        <w:rPr>
          <w:rFonts w:hint="eastAsia" w:eastAsia="仿宋_GB2312"/>
          <w:b/>
          <w:sz w:val="32"/>
          <w:szCs w:val="32"/>
          <w:highlight w:val="none"/>
        </w:rPr>
        <w:t>工作</w:t>
      </w:r>
      <w:r>
        <w:rPr>
          <w:rFonts w:eastAsia="仿宋_GB2312"/>
          <w:b/>
          <w:sz w:val="32"/>
          <w:szCs w:val="32"/>
          <w:highlight w:val="none"/>
        </w:rPr>
        <w:t>形势依然严峻</w:t>
      </w:r>
      <w:r>
        <w:rPr>
          <w:rFonts w:hint="eastAsia" w:eastAsia="仿宋_GB2312"/>
          <w:b/>
          <w:sz w:val="32"/>
          <w:szCs w:val="32"/>
          <w:highlight w:val="none"/>
        </w:rPr>
        <w:t>。</w:t>
      </w:r>
    </w:p>
    <w:p w14:paraId="23C31AA8">
      <w:pPr>
        <w:spacing w:line="560" w:lineRule="exact"/>
        <w:ind w:firstLine="627" w:firstLineChars="196"/>
        <w:rPr>
          <w:rFonts w:eastAsia="仿宋_GB2312"/>
          <w:sz w:val="32"/>
          <w:szCs w:val="32"/>
          <w:highlight w:val="none"/>
        </w:rPr>
      </w:pPr>
      <w:r>
        <w:rPr>
          <w:rFonts w:hint="eastAsia" w:eastAsia="仿宋_GB2312"/>
          <w:sz w:val="32"/>
          <w:szCs w:val="32"/>
          <w:highlight w:val="none"/>
        </w:rPr>
        <w:t>阿克陶县山地多，极高山、高山林立，地质环境条件复杂的背景没有改变，地质灾害依然呈易发多发态势，尤其是降雨、山洪、地质灾害等链式灾害造成人员伤亡的风险仍然存在，中巴公路等地段地质灾害风险呈上升趋势。根据气象部门预测，未来极端天气气候事件趋多趋强，降水呈显著增多趋势，地质灾害风险加剧；根据地震部门研究预测，部分区域存在发生强震可能性，未来地质灾害风险将进一步加剧。随着社会经济的快速发展，山区能源交通基础设施和</w:t>
      </w:r>
      <w:r>
        <w:rPr>
          <w:rFonts w:hint="eastAsia" w:eastAsia="仿宋_GB2312"/>
          <w:sz w:val="32"/>
          <w:szCs w:val="32"/>
          <w:highlight w:val="none"/>
          <w:lang w:val="en-US" w:eastAsia="zh-CN"/>
        </w:rPr>
        <w:t>部分</w:t>
      </w:r>
      <w:r>
        <w:rPr>
          <w:rFonts w:hint="eastAsia" w:eastAsia="仿宋_GB2312"/>
          <w:sz w:val="32"/>
          <w:szCs w:val="32"/>
          <w:highlight w:val="none"/>
        </w:rPr>
        <w:t>农村居民新建住房，由于缺乏防灾投入，往往面临地质灾害的潜在威胁，导致地质灾害风险不断增大，有效防范化解重大地质灾害风险的形势严峻复杂。</w:t>
      </w:r>
    </w:p>
    <w:p w14:paraId="6DCC545B">
      <w:pPr>
        <w:numPr>
          <w:ilvl w:val="0"/>
          <w:numId w:val="0"/>
        </w:numPr>
        <w:spacing w:line="560" w:lineRule="exact"/>
        <w:ind w:firstLine="630" w:firstLineChars="196"/>
        <w:outlineLvl w:val="2"/>
        <w:rPr>
          <w:rFonts w:hint="eastAsia" w:eastAsia="仿宋_GB2312"/>
          <w:b/>
          <w:sz w:val="32"/>
          <w:szCs w:val="32"/>
          <w:highlight w:val="none"/>
        </w:rPr>
      </w:pPr>
      <w:r>
        <w:rPr>
          <w:rFonts w:hint="eastAsia" w:eastAsia="仿宋_GB2312" w:cs="Times New Roman"/>
          <w:b/>
          <w:kern w:val="2"/>
          <w:sz w:val="32"/>
          <w:szCs w:val="32"/>
          <w:highlight w:val="none"/>
          <w:lang w:val="en-US" w:eastAsia="zh-CN" w:bidi="ar-SA"/>
        </w:rPr>
        <w:t>2</w:t>
      </w:r>
      <w:r>
        <w:rPr>
          <w:rFonts w:hint="eastAsia" w:ascii="Times New Roman" w:hAnsi="Times New Roman" w:eastAsia="仿宋_GB2312" w:cs="Times New Roman"/>
          <w:b/>
          <w:kern w:val="2"/>
          <w:sz w:val="32"/>
          <w:szCs w:val="32"/>
          <w:highlight w:val="none"/>
          <w:lang w:val="en-US" w:eastAsia="zh-CN" w:bidi="ar-SA"/>
        </w:rPr>
        <w:t>、</w:t>
      </w:r>
      <w:r>
        <w:rPr>
          <w:rFonts w:hint="eastAsia" w:eastAsia="仿宋_GB2312" w:cs="Times New Roman"/>
          <w:b/>
          <w:kern w:val="2"/>
          <w:sz w:val="32"/>
          <w:szCs w:val="32"/>
          <w:highlight w:val="none"/>
          <w:lang w:val="en-US" w:eastAsia="zh-CN" w:bidi="ar-SA"/>
        </w:rPr>
        <w:t>地质</w:t>
      </w:r>
      <w:r>
        <w:rPr>
          <w:rFonts w:hint="eastAsia" w:eastAsia="仿宋_GB2312"/>
          <w:b/>
          <w:sz w:val="32"/>
          <w:szCs w:val="32"/>
          <w:highlight w:val="none"/>
          <w:lang w:val="en-US" w:eastAsia="zh-CN"/>
        </w:rPr>
        <w:t>灾害动态变化，灾害风险底数需持续掌握更新</w:t>
      </w:r>
      <w:r>
        <w:rPr>
          <w:rFonts w:hint="eastAsia" w:eastAsia="仿宋_GB2312"/>
          <w:b/>
          <w:sz w:val="32"/>
          <w:szCs w:val="32"/>
          <w:highlight w:val="none"/>
        </w:rPr>
        <w:t>。</w:t>
      </w:r>
    </w:p>
    <w:p w14:paraId="4ABF819F">
      <w:pPr>
        <w:spacing w:line="560" w:lineRule="exact"/>
        <w:ind w:firstLine="627" w:firstLineChars="196"/>
        <w:rPr>
          <w:rFonts w:hint="eastAsia" w:eastAsia="仿宋_GB2312"/>
          <w:sz w:val="32"/>
          <w:szCs w:val="32"/>
          <w:highlight w:val="none"/>
        </w:rPr>
      </w:pPr>
      <w:r>
        <w:rPr>
          <w:rFonts w:hint="eastAsia" w:eastAsia="仿宋_GB2312"/>
          <w:sz w:val="32"/>
          <w:szCs w:val="32"/>
          <w:highlight w:val="none"/>
        </w:rPr>
        <w:t>阿克陶县地质灾害主要分布在高山区及中山区，314国道中巴公路国内段尤为突出，人类工程活动对地质环境的扰动和地形地貌景观的破坏有加强趋势，加大了地质灾害的防治难度。受降雨和人类工程活动等影响，地质灾害处于动态变化的过程，</w:t>
      </w:r>
      <w:r>
        <w:rPr>
          <w:rFonts w:hint="eastAsia" w:eastAsia="仿宋_GB2312"/>
          <w:sz w:val="32"/>
          <w:szCs w:val="32"/>
          <w:highlight w:val="none"/>
          <w:lang w:val="en-US" w:eastAsia="zh-CN"/>
        </w:rPr>
        <w:t>还应持续</w:t>
      </w:r>
      <w:r>
        <w:rPr>
          <w:rFonts w:hint="eastAsia" w:eastAsia="仿宋_GB2312"/>
          <w:sz w:val="32"/>
          <w:szCs w:val="32"/>
          <w:highlight w:val="none"/>
        </w:rPr>
        <w:t>充分</w:t>
      </w:r>
      <w:r>
        <w:rPr>
          <w:rFonts w:hint="eastAsia" w:eastAsia="仿宋_GB2312"/>
          <w:sz w:val="32"/>
          <w:szCs w:val="32"/>
          <w:highlight w:val="none"/>
          <w:lang w:eastAsia="zh-CN"/>
        </w:rPr>
        <w:t>的</w:t>
      </w:r>
      <w:r>
        <w:rPr>
          <w:rFonts w:hint="eastAsia" w:eastAsia="仿宋_GB2312"/>
          <w:sz w:val="32"/>
          <w:szCs w:val="32"/>
          <w:highlight w:val="none"/>
        </w:rPr>
        <w:t>发动群众，定期进行地质灾害隐患点核查和上报工作</w:t>
      </w:r>
      <w:r>
        <w:rPr>
          <w:rFonts w:hint="eastAsia" w:eastAsia="仿宋_GB2312"/>
          <w:sz w:val="32"/>
          <w:szCs w:val="32"/>
          <w:highlight w:val="none"/>
          <w:lang w:eastAsia="zh-CN"/>
        </w:rPr>
        <w:t>。</w:t>
      </w:r>
      <w:r>
        <w:rPr>
          <w:rFonts w:hint="eastAsia" w:eastAsia="仿宋_GB2312"/>
          <w:sz w:val="32"/>
          <w:szCs w:val="32"/>
          <w:highlight w:val="none"/>
          <w:lang w:val="en-US" w:eastAsia="zh-CN"/>
        </w:rPr>
        <w:t>县境内</w:t>
      </w:r>
      <w:r>
        <w:rPr>
          <w:rFonts w:hint="eastAsia" w:eastAsia="仿宋_GB2312"/>
          <w:sz w:val="32"/>
          <w:szCs w:val="32"/>
          <w:highlight w:val="none"/>
        </w:rPr>
        <w:t>已发生地质灾害隐患点大部分被掌握，</w:t>
      </w:r>
      <w:r>
        <w:rPr>
          <w:rFonts w:hint="eastAsia" w:eastAsia="仿宋_GB2312"/>
          <w:sz w:val="32"/>
          <w:szCs w:val="32"/>
          <w:highlight w:val="none"/>
          <w:lang w:val="en-US" w:eastAsia="zh-CN"/>
        </w:rPr>
        <w:t>可能存在</w:t>
      </w:r>
      <w:r>
        <w:rPr>
          <w:rFonts w:hint="eastAsia" w:eastAsia="仿宋_GB2312"/>
          <w:sz w:val="32"/>
          <w:szCs w:val="32"/>
          <w:highlight w:val="none"/>
        </w:rPr>
        <w:t>部分地质灾害隐患没有被发现或对其危害认识不清，亟需通过</w:t>
      </w:r>
      <w:r>
        <w:rPr>
          <w:rFonts w:hint="eastAsia" w:eastAsia="仿宋_GB2312"/>
          <w:sz w:val="32"/>
          <w:szCs w:val="32"/>
          <w:highlight w:val="none"/>
          <w:lang w:val="en-US" w:eastAsia="zh-CN"/>
        </w:rPr>
        <w:t>乡镇级精细化调查</w:t>
      </w:r>
      <w:r>
        <w:rPr>
          <w:rFonts w:hint="eastAsia" w:eastAsia="仿宋_GB2312"/>
          <w:sz w:val="32"/>
          <w:szCs w:val="32"/>
          <w:highlight w:val="none"/>
        </w:rPr>
        <w:t>，进一步掌握地质灾害风险底数。</w:t>
      </w:r>
    </w:p>
    <w:p w14:paraId="49231F57">
      <w:pPr>
        <w:numPr>
          <w:ilvl w:val="0"/>
          <w:numId w:val="0"/>
        </w:numPr>
        <w:spacing w:line="560" w:lineRule="exact"/>
        <w:ind w:firstLine="630" w:firstLineChars="196"/>
        <w:outlineLvl w:val="2"/>
        <w:rPr>
          <w:rFonts w:hint="eastAsia" w:eastAsia="仿宋_GB2312"/>
          <w:b/>
          <w:bCs w:val="0"/>
          <w:sz w:val="32"/>
          <w:szCs w:val="32"/>
          <w:highlight w:val="none"/>
        </w:rPr>
      </w:pPr>
      <w:r>
        <w:rPr>
          <w:rFonts w:hint="eastAsia" w:eastAsia="仿宋_GB2312" w:cs="Times New Roman"/>
          <w:b/>
          <w:bCs w:val="0"/>
          <w:kern w:val="2"/>
          <w:sz w:val="32"/>
          <w:szCs w:val="32"/>
          <w:highlight w:val="none"/>
          <w:lang w:val="en-US" w:eastAsia="zh-CN" w:bidi="ar-SA"/>
        </w:rPr>
        <w:t>3</w:t>
      </w:r>
      <w:r>
        <w:rPr>
          <w:rFonts w:hint="eastAsia" w:ascii="Times New Roman" w:hAnsi="Times New Roman" w:eastAsia="仿宋_GB2312" w:cs="Times New Roman"/>
          <w:b/>
          <w:bCs w:val="0"/>
          <w:kern w:val="2"/>
          <w:sz w:val="32"/>
          <w:szCs w:val="32"/>
          <w:highlight w:val="none"/>
          <w:lang w:val="en-US" w:eastAsia="zh-CN" w:bidi="ar-SA"/>
        </w:rPr>
        <w:t>、</w:t>
      </w:r>
      <w:r>
        <w:rPr>
          <w:rFonts w:hint="eastAsia" w:eastAsia="仿宋_GB2312"/>
          <w:b/>
          <w:bCs w:val="0"/>
          <w:sz w:val="32"/>
          <w:szCs w:val="32"/>
          <w:highlight w:val="none"/>
        </w:rPr>
        <w:t>地质灾害防治现代化体系有待完善。</w:t>
      </w:r>
    </w:p>
    <w:p w14:paraId="28B9C48E">
      <w:pPr>
        <w:spacing w:line="560" w:lineRule="exact"/>
        <w:ind w:firstLine="627" w:firstLineChars="196"/>
        <w:rPr>
          <w:rFonts w:hint="eastAsia" w:eastAsia="仿宋_GB2312"/>
          <w:sz w:val="32"/>
          <w:szCs w:val="32"/>
          <w:highlight w:val="none"/>
        </w:rPr>
      </w:pPr>
      <w:r>
        <w:rPr>
          <w:rFonts w:hint="eastAsia" w:eastAsia="仿宋_GB2312"/>
          <w:sz w:val="32"/>
          <w:szCs w:val="32"/>
          <w:highlight w:val="none"/>
        </w:rPr>
        <w:t>地质灾害与地质环境大数据建设及智慧防灾管理方面</w:t>
      </w:r>
      <w:r>
        <w:rPr>
          <w:rFonts w:hint="eastAsia" w:eastAsia="仿宋_GB2312"/>
          <w:sz w:val="32"/>
          <w:szCs w:val="32"/>
          <w:highlight w:val="none"/>
          <w:lang w:val="en-US" w:eastAsia="zh-CN"/>
        </w:rPr>
        <w:t>有待进一步提高完善</w:t>
      </w:r>
      <w:r>
        <w:rPr>
          <w:rFonts w:hint="eastAsia" w:eastAsia="仿宋_GB2312"/>
          <w:sz w:val="32"/>
          <w:szCs w:val="32"/>
          <w:highlight w:val="none"/>
        </w:rPr>
        <w:t>，地质灾害应急新技术、新方法、新设备应用</w:t>
      </w:r>
      <w:r>
        <w:rPr>
          <w:rFonts w:hint="eastAsia" w:eastAsia="仿宋_GB2312"/>
          <w:sz w:val="32"/>
          <w:szCs w:val="32"/>
          <w:highlight w:val="none"/>
          <w:lang w:val="en-US" w:eastAsia="zh-CN"/>
        </w:rPr>
        <w:t>仍需持续完善。目前</w:t>
      </w:r>
      <w:r>
        <w:rPr>
          <w:rFonts w:hint="eastAsia" w:eastAsia="仿宋_GB2312"/>
          <w:sz w:val="32"/>
          <w:szCs w:val="32"/>
          <w:highlight w:val="none"/>
        </w:rPr>
        <w:t>自动化</w:t>
      </w:r>
      <w:r>
        <w:rPr>
          <w:rFonts w:hint="eastAsia" w:eastAsia="仿宋_GB2312"/>
          <w:sz w:val="32"/>
          <w:szCs w:val="32"/>
          <w:highlight w:val="none"/>
          <w:lang w:val="en-US" w:eastAsia="zh-CN"/>
        </w:rPr>
        <w:t>监测仪未覆盖所有重要地质灾害点</w:t>
      </w:r>
      <w:r>
        <w:rPr>
          <w:rFonts w:hint="eastAsia" w:eastAsia="仿宋_GB2312"/>
          <w:sz w:val="32"/>
          <w:szCs w:val="32"/>
          <w:highlight w:val="none"/>
        </w:rPr>
        <w:t>，</w:t>
      </w:r>
      <w:r>
        <w:rPr>
          <w:rFonts w:hint="eastAsia" w:eastAsia="仿宋_GB2312"/>
          <w:sz w:val="32"/>
          <w:szCs w:val="32"/>
          <w:highlight w:val="none"/>
          <w:lang w:eastAsia="zh-CN"/>
        </w:rPr>
        <w:t>在</w:t>
      </w:r>
      <w:r>
        <w:rPr>
          <w:rFonts w:hint="eastAsia" w:eastAsia="仿宋_GB2312"/>
          <w:sz w:val="32"/>
          <w:szCs w:val="32"/>
          <w:highlight w:val="none"/>
          <w:lang w:val="en-US" w:eastAsia="zh-CN"/>
        </w:rPr>
        <w:t>本轮规划中应持续加强监测网的建设。</w:t>
      </w:r>
      <w:r>
        <w:rPr>
          <w:rFonts w:hint="eastAsia" w:eastAsia="仿宋_GB2312"/>
          <w:sz w:val="32"/>
          <w:szCs w:val="32"/>
          <w:highlight w:val="none"/>
        </w:rPr>
        <w:t>现有调查成果转化应用不够深入，尚未实现对地质灾害数据的有效集成、统一管理、科学分析。面对地质灾害风险防控数字化的新要求，相关工作体系</w:t>
      </w:r>
      <w:r>
        <w:rPr>
          <w:rFonts w:hint="eastAsia" w:eastAsia="仿宋_GB2312"/>
          <w:sz w:val="32"/>
          <w:szCs w:val="32"/>
          <w:highlight w:val="none"/>
          <w:lang w:val="en-US" w:eastAsia="zh-CN"/>
        </w:rPr>
        <w:t>仍有持续</w:t>
      </w:r>
      <w:r>
        <w:rPr>
          <w:rFonts w:hint="eastAsia" w:eastAsia="仿宋_GB2312"/>
          <w:sz w:val="32"/>
          <w:szCs w:val="32"/>
          <w:highlight w:val="none"/>
        </w:rPr>
        <w:t>完善</w:t>
      </w:r>
      <w:r>
        <w:rPr>
          <w:rFonts w:hint="eastAsia" w:eastAsia="仿宋_GB2312"/>
          <w:sz w:val="32"/>
          <w:szCs w:val="32"/>
          <w:highlight w:val="none"/>
          <w:lang w:eastAsia="zh-CN"/>
        </w:rPr>
        <w:t>的</w:t>
      </w:r>
      <w:r>
        <w:rPr>
          <w:rFonts w:hint="eastAsia" w:eastAsia="仿宋_GB2312"/>
          <w:sz w:val="32"/>
          <w:szCs w:val="32"/>
          <w:highlight w:val="none"/>
          <w:lang w:val="en-US" w:eastAsia="zh-CN"/>
        </w:rPr>
        <w:t>空间</w:t>
      </w:r>
      <w:r>
        <w:rPr>
          <w:rFonts w:hint="eastAsia" w:eastAsia="仿宋_GB2312"/>
          <w:sz w:val="32"/>
          <w:szCs w:val="32"/>
          <w:highlight w:val="none"/>
        </w:rPr>
        <w:t>。</w:t>
      </w:r>
    </w:p>
    <w:p w14:paraId="4331FAAF">
      <w:pPr>
        <w:numPr>
          <w:ilvl w:val="0"/>
          <w:numId w:val="0"/>
        </w:numPr>
        <w:spacing w:line="560" w:lineRule="exact"/>
        <w:ind w:firstLine="630" w:firstLineChars="196"/>
        <w:outlineLvl w:val="2"/>
        <w:rPr>
          <w:rFonts w:hint="eastAsia" w:eastAsia="仿宋_GB2312"/>
          <w:b/>
          <w:sz w:val="32"/>
          <w:szCs w:val="32"/>
          <w:highlight w:val="none"/>
        </w:rPr>
      </w:pPr>
      <w:r>
        <w:rPr>
          <w:rFonts w:hint="eastAsia" w:eastAsia="仿宋_GB2312" w:cs="Times New Roman"/>
          <w:b/>
          <w:kern w:val="2"/>
          <w:sz w:val="32"/>
          <w:szCs w:val="32"/>
          <w:highlight w:val="none"/>
          <w:lang w:val="en-US" w:eastAsia="zh-CN" w:bidi="ar-SA"/>
        </w:rPr>
        <w:t>4</w:t>
      </w:r>
      <w:r>
        <w:rPr>
          <w:rFonts w:hint="eastAsia" w:ascii="Times New Roman" w:hAnsi="Times New Roman" w:eastAsia="仿宋_GB2312" w:cs="Times New Roman"/>
          <w:b/>
          <w:kern w:val="2"/>
          <w:sz w:val="32"/>
          <w:szCs w:val="32"/>
          <w:highlight w:val="none"/>
          <w:lang w:val="en-US" w:eastAsia="zh-CN" w:bidi="ar-SA"/>
        </w:rPr>
        <w:t>、</w:t>
      </w:r>
      <w:r>
        <w:rPr>
          <w:rFonts w:hint="eastAsia" w:eastAsia="仿宋_GB2312"/>
          <w:b/>
          <w:sz w:val="32"/>
          <w:szCs w:val="32"/>
          <w:highlight w:val="none"/>
          <w:lang w:val="en-US" w:eastAsia="zh-CN"/>
        </w:rPr>
        <w:t>地质灾害综合治理任务依然繁重</w:t>
      </w:r>
      <w:r>
        <w:rPr>
          <w:rFonts w:hint="eastAsia" w:eastAsia="仿宋_GB2312"/>
          <w:b/>
          <w:sz w:val="32"/>
          <w:szCs w:val="32"/>
          <w:highlight w:val="none"/>
        </w:rPr>
        <w:t>。</w:t>
      </w:r>
    </w:p>
    <w:p w14:paraId="285B61A1">
      <w:pPr>
        <w:spacing w:line="560" w:lineRule="exact"/>
        <w:ind w:firstLine="627" w:firstLineChars="196"/>
        <w:rPr>
          <w:rFonts w:hint="eastAsia" w:eastAsia="仿宋_GB2312"/>
          <w:sz w:val="32"/>
          <w:szCs w:val="32"/>
          <w:highlight w:val="none"/>
          <w:lang w:eastAsia="zh-CN"/>
        </w:rPr>
      </w:pPr>
      <w:r>
        <w:rPr>
          <w:rFonts w:hint="eastAsia" w:eastAsia="仿宋_GB2312"/>
          <w:sz w:val="32"/>
          <w:szCs w:val="32"/>
          <w:highlight w:val="none"/>
        </w:rPr>
        <w:t>阿克陶县</w:t>
      </w:r>
      <w:r>
        <w:rPr>
          <w:rFonts w:hint="eastAsia" w:eastAsia="仿宋_GB2312"/>
          <w:sz w:val="32"/>
          <w:szCs w:val="32"/>
          <w:highlight w:val="none"/>
          <w:lang w:eastAsia="zh-CN"/>
        </w:rPr>
        <w:t>地质灾害易发区分布面积大、地质灾害易发态势未能明显扭转，地质灾害风险防范区数量及影响</w:t>
      </w:r>
      <w:r>
        <w:rPr>
          <w:rFonts w:hint="eastAsia" w:eastAsia="仿宋_GB2312"/>
          <w:sz w:val="32"/>
          <w:szCs w:val="32"/>
          <w:highlight w:val="none"/>
          <w:lang w:val="en-US" w:eastAsia="zh-CN"/>
        </w:rPr>
        <w:t>仍相对较广</w:t>
      </w:r>
      <w:r>
        <w:rPr>
          <w:rFonts w:hint="eastAsia" w:eastAsia="仿宋_GB2312"/>
          <w:sz w:val="32"/>
          <w:szCs w:val="32"/>
          <w:highlight w:val="none"/>
          <w:lang w:eastAsia="zh-CN"/>
        </w:rPr>
        <w:t>，区域综合治理仍然面临较大挑战。由于地方经济基础相对较薄弱，资金筹措渠道较少，地质灾害防治经费严重不足，制约了地质灾害防治工作能力。多元化、多渠道的地质灾害防治社会投资体系</w:t>
      </w:r>
      <w:r>
        <w:rPr>
          <w:rFonts w:hint="eastAsia" w:eastAsia="仿宋_GB2312"/>
          <w:sz w:val="32"/>
          <w:szCs w:val="32"/>
          <w:highlight w:val="none"/>
          <w:lang w:val="en-US" w:eastAsia="zh-CN"/>
        </w:rPr>
        <w:t>仍需</w:t>
      </w:r>
      <w:r>
        <w:rPr>
          <w:rFonts w:hint="eastAsia" w:eastAsia="仿宋_GB2312"/>
          <w:sz w:val="32"/>
          <w:szCs w:val="32"/>
          <w:highlight w:val="none"/>
          <w:lang w:eastAsia="zh-CN"/>
        </w:rPr>
        <w:t>完善，专项治理资金投入保障制度</w:t>
      </w:r>
      <w:r>
        <w:rPr>
          <w:rFonts w:hint="eastAsia" w:eastAsia="仿宋_GB2312"/>
          <w:sz w:val="32"/>
          <w:szCs w:val="32"/>
          <w:highlight w:val="none"/>
          <w:lang w:val="en-US" w:eastAsia="zh-CN"/>
        </w:rPr>
        <w:t>有待持续</w:t>
      </w:r>
      <w:r>
        <w:rPr>
          <w:rFonts w:hint="eastAsia" w:eastAsia="仿宋_GB2312"/>
          <w:sz w:val="32"/>
          <w:szCs w:val="32"/>
          <w:highlight w:val="none"/>
          <w:lang w:eastAsia="zh-CN"/>
        </w:rPr>
        <w:t>健全，社会、国有企业公司投入的积极性、主动性尚未全部调动起来，</w:t>
      </w:r>
      <w:r>
        <w:rPr>
          <w:rFonts w:hint="eastAsia" w:eastAsia="仿宋_GB2312"/>
          <w:sz w:val="32"/>
          <w:szCs w:val="32"/>
          <w:highlight w:val="none"/>
        </w:rPr>
        <w:t>仍有一大批危险性、危害性大的地质灾害隐患点亟需开展工程治理</w:t>
      </w:r>
      <w:r>
        <w:rPr>
          <w:rFonts w:hint="eastAsia" w:eastAsia="仿宋_GB2312"/>
          <w:sz w:val="32"/>
          <w:szCs w:val="32"/>
          <w:highlight w:val="none"/>
          <w:lang w:eastAsia="zh-CN"/>
        </w:rPr>
        <w:t>，地质灾害防治任务依然繁重。</w:t>
      </w:r>
    </w:p>
    <w:p w14:paraId="65A3FA60">
      <w:pPr>
        <w:numPr>
          <w:ilvl w:val="0"/>
          <w:numId w:val="0"/>
        </w:numPr>
        <w:spacing w:line="560" w:lineRule="exact"/>
        <w:ind w:firstLine="630" w:firstLineChars="196"/>
        <w:outlineLvl w:val="2"/>
        <w:rPr>
          <w:rFonts w:hint="eastAsia" w:eastAsia="仿宋_GB2312"/>
          <w:b/>
          <w:sz w:val="32"/>
          <w:szCs w:val="32"/>
          <w:highlight w:val="none"/>
          <w:lang w:eastAsia="zh-CN"/>
        </w:rPr>
      </w:pPr>
      <w:r>
        <w:rPr>
          <w:rFonts w:hint="eastAsia" w:eastAsia="仿宋_GB2312" w:cs="Times New Roman"/>
          <w:b/>
          <w:kern w:val="2"/>
          <w:sz w:val="32"/>
          <w:szCs w:val="32"/>
          <w:highlight w:val="none"/>
          <w:lang w:val="en-US" w:eastAsia="zh-CN" w:bidi="ar-SA"/>
        </w:rPr>
        <w:t>5</w:t>
      </w:r>
      <w:r>
        <w:rPr>
          <w:rFonts w:hint="eastAsia" w:ascii="Times New Roman" w:hAnsi="Times New Roman" w:eastAsia="仿宋_GB2312" w:cs="Times New Roman"/>
          <w:b/>
          <w:kern w:val="2"/>
          <w:sz w:val="32"/>
          <w:szCs w:val="32"/>
          <w:highlight w:val="none"/>
          <w:lang w:val="en-US" w:eastAsia="zh-CN" w:bidi="ar-SA"/>
        </w:rPr>
        <w:t>、</w:t>
      </w:r>
      <w:r>
        <w:rPr>
          <w:rFonts w:hint="eastAsia" w:eastAsia="仿宋_GB2312"/>
          <w:b/>
          <w:sz w:val="32"/>
          <w:szCs w:val="32"/>
          <w:highlight w:val="none"/>
          <w:lang w:val="en-US" w:eastAsia="zh-CN"/>
        </w:rPr>
        <w:t>生态文明建设和</w:t>
      </w:r>
      <w:r>
        <w:rPr>
          <w:rFonts w:hint="eastAsia" w:eastAsia="仿宋_GB2312"/>
          <w:b/>
          <w:sz w:val="32"/>
          <w:szCs w:val="32"/>
          <w:highlight w:val="none"/>
        </w:rPr>
        <w:t>社会经济发展对地质灾害防治提出了更高要求</w:t>
      </w:r>
      <w:r>
        <w:rPr>
          <w:rFonts w:hint="eastAsia" w:eastAsia="仿宋_GB2312"/>
          <w:b/>
          <w:sz w:val="32"/>
          <w:szCs w:val="32"/>
          <w:highlight w:val="none"/>
          <w:lang w:eastAsia="zh-CN"/>
        </w:rPr>
        <w:t>。</w:t>
      </w:r>
    </w:p>
    <w:p w14:paraId="0A54EE9A">
      <w:pPr>
        <w:spacing w:line="560" w:lineRule="exact"/>
        <w:ind w:firstLine="627" w:firstLineChars="196"/>
        <w:rPr>
          <w:rFonts w:hint="eastAsia" w:eastAsia="仿宋_GB2312"/>
          <w:sz w:val="32"/>
          <w:szCs w:val="32"/>
          <w:highlight w:val="none"/>
          <w:lang w:val="en-US" w:eastAsia="zh-CN"/>
        </w:rPr>
      </w:pPr>
      <w:r>
        <w:rPr>
          <w:rFonts w:hint="eastAsia" w:eastAsia="仿宋_GB2312"/>
          <w:sz w:val="32"/>
          <w:szCs w:val="32"/>
          <w:highlight w:val="none"/>
          <w:lang w:val="en-US" w:eastAsia="zh-CN"/>
        </w:rPr>
        <w:t>地质灾害防治工作不仅要在单一的防治上下功夫，而且要聚集生态文明建设和生态环境保护，在绿色防治上下功夫。不仅要采取综合防治，消除地质灾害隐患，还要充分考虑防治工程与自然环境的高度协调，这些对做好地质灾害防治工作提出了新的要求。</w:t>
      </w:r>
    </w:p>
    <w:p w14:paraId="1A0389C4">
      <w:pPr>
        <w:spacing w:line="560" w:lineRule="exact"/>
        <w:ind w:firstLine="627" w:firstLineChars="196"/>
        <w:rPr>
          <w:rFonts w:hint="eastAsia" w:eastAsia="仿宋_GB2312"/>
          <w:sz w:val="32"/>
          <w:szCs w:val="32"/>
          <w:highlight w:val="none"/>
        </w:rPr>
      </w:pPr>
      <w:r>
        <w:rPr>
          <w:rFonts w:hint="eastAsia" w:eastAsia="仿宋_GB2312"/>
          <w:sz w:val="32"/>
          <w:szCs w:val="32"/>
          <w:highlight w:val="none"/>
        </w:rPr>
        <w:t>人们向往美好生活，对生活质量的期望值提高，对地质灾害防治能力的关注度提升，新闻、网络、视频等新媒介对突发事件的曝光率增加，因此对地质灾害防治提出了更高要</w:t>
      </w:r>
      <w:r>
        <w:rPr>
          <w:rFonts w:hint="eastAsia" w:eastAsia="仿宋_GB2312"/>
          <w:sz w:val="32"/>
          <w:szCs w:val="32"/>
          <w:highlight w:val="none"/>
          <w:lang w:val="en-US" w:eastAsia="zh-CN"/>
        </w:rPr>
        <w:t>求。</w:t>
      </w:r>
      <w:r>
        <w:rPr>
          <w:rFonts w:hint="eastAsia" w:eastAsia="仿宋_GB2312"/>
          <w:sz w:val="32"/>
          <w:szCs w:val="32"/>
          <w:highlight w:val="none"/>
        </w:rPr>
        <w:t>地质灾害防治工作是关系到人民生命安全和社会稳定的大事，必须大力推进防灾减灾体系建设，加大地质灾害防治力度，提高防治工程质量和技术水平，保护人民生命财产安全。</w:t>
      </w:r>
    </w:p>
    <w:p w14:paraId="76E35886">
      <w:pPr>
        <w:spacing w:line="560" w:lineRule="exact"/>
        <w:ind w:firstLine="627" w:firstLineChars="196"/>
        <w:rPr>
          <w:rFonts w:hint="eastAsia" w:eastAsia="仿宋_GB2312"/>
          <w:b w:val="0"/>
          <w:bCs/>
          <w:sz w:val="32"/>
          <w:szCs w:val="32"/>
          <w:highlight w:val="none"/>
        </w:rPr>
      </w:pPr>
      <w:r>
        <w:rPr>
          <w:rFonts w:hint="eastAsia" w:eastAsia="仿宋_GB2312"/>
          <w:sz w:val="32"/>
          <w:szCs w:val="32"/>
          <w:highlight w:val="none"/>
        </w:rPr>
        <w:t>因此，地质灾害防治任务任重道远。</w:t>
      </w:r>
    </w:p>
    <w:p w14:paraId="62184588">
      <w:pPr>
        <w:pStyle w:val="2"/>
        <w:spacing w:after="0" w:afterLines="0" w:line="560" w:lineRule="exact"/>
        <w:ind w:firstLine="640" w:firstLineChars="200"/>
        <w:jc w:val="both"/>
        <w:rPr>
          <w:rFonts w:ascii="黑体" w:hAnsi="黑体" w:eastAsia="黑体"/>
          <w:b w:val="0"/>
          <w:szCs w:val="32"/>
          <w:highlight w:val="none"/>
        </w:rPr>
      </w:pPr>
      <w:bookmarkStart w:id="17" w:name="_Toc886"/>
      <w:r>
        <w:rPr>
          <w:rFonts w:hint="eastAsia" w:ascii="黑体" w:hAnsi="黑体" w:eastAsia="黑体"/>
          <w:b w:val="0"/>
          <w:szCs w:val="32"/>
          <w:highlight w:val="none"/>
        </w:rPr>
        <w:t>二、总体要求</w:t>
      </w:r>
      <w:bookmarkEnd w:id="17"/>
    </w:p>
    <w:p w14:paraId="5411A957">
      <w:pPr>
        <w:pStyle w:val="3"/>
        <w:spacing w:after="0" w:afterLines="0" w:line="560" w:lineRule="exact"/>
        <w:ind w:firstLine="643"/>
        <w:rPr>
          <w:rFonts w:ascii="楷体" w:hAnsi="楷体" w:eastAsia="楷体" w:cs="黑体"/>
          <w:sz w:val="32"/>
          <w:highlight w:val="none"/>
        </w:rPr>
      </w:pPr>
      <w:bookmarkStart w:id="18" w:name="_Toc13730"/>
      <w:r>
        <w:rPr>
          <w:rFonts w:hint="eastAsia" w:ascii="楷体" w:hAnsi="楷体" w:eastAsia="楷体" w:cs="黑体"/>
          <w:sz w:val="32"/>
          <w:highlight w:val="none"/>
        </w:rPr>
        <w:t>（一）指导思想</w:t>
      </w:r>
      <w:bookmarkEnd w:id="18"/>
    </w:p>
    <w:p w14:paraId="76D3975E">
      <w:pPr>
        <w:adjustRightInd w:val="0"/>
        <w:snapToGrid w:val="0"/>
        <w:spacing w:line="560" w:lineRule="exact"/>
        <w:ind w:firstLine="640" w:firstLineChars="200"/>
        <w:rPr>
          <w:rFonts w:eastAsia="仿宋_GB2312"/>
          <w:sz w:val="32"/>
          <w:szCs w:val="32"/>
          <w:highlight w:val="none"/>
        </w:rPr>
      </w:pPr>
      <w:bookmarkStart w:id="19" w:name="_Toc229219413"/>
      <w:r>
        <w:rPr>
          <w:rFonts w:hint="eastAsia" w:eastAsia="仿宋_GB2312"/>
          <w:sz w:val="32"/>
          <w:szCs w:val="32"/>
          <w:highlight w:val="none"/>
        </w:rPr>
        <w:t>以习近平新时代中国特色社会主义思想为指导，全面贯彻党的</w:t>
      </w:r>
      <w:r>
        <w:rPr>
          <w:rFonts w:hint="eastAsia" w:eastAsia="仿宋_GB2312"/>
          <w:sz w:val="32"/>
          <w:szCs w:val="32"/>
          <w:highlight w:val="none"/>
          <w:lang w:val="en-US" w:eastAsia="zh-CN"/>
        </w:rPr>
        <w:t>二十大和二十届二中、三中、四中全会</w:t>
      </w:r>
      <w:r>
        <w:rPr>
          <w:rFonts w:hint="eastAsia" w:eastAsia="仿宋_GB2312"/>
          <w:sz w:val="32"/>
          <w:szCs w:val="32"/>
          <w:highlight w:val="none"/>
        </w:rPr>
        <w:t>精神</w:t>
      </w:r>
      <w:r>
        <w:rPr>
          <w:rFonts w:hint="eastAsia" w:eastAsia="仿宋_GB2312"/>
          <w:sz w:val="32"/>
          <w:szCs w:val="32"/>
          <w:highlight w:val="none"/>
          <w:lang w:eastAsia="zh-CN"/>
        </w:rPr>
        <w:t>，</w:t>
      </w:r>
      <w:r>
        <w:rPr>
          <w:rFonts w:hint="eastAsia" w:eastAsia="仿宋_GB2312"/>
          <w:sz w:val="32"/>
          <w:szCs w:val="32"/>
          <w:highlight w:val="none"/>
        </w:rPr>
        <w:t>深入贯彻习近平总书记关于防灾减灾救灾的系列重要指示精神，坚持总体国家安全观，统筹发展和安全，</w:t>
      </w:r>
      <w:r>
        <w:rPr>
          <w:rFonts w:eastAsia="仿宋_GB2312"/>
          <w:sz w:val="32"/>
          <w:szCs w:val="32"/>
          <w:highlight w:val="none"/>
        </w:rPr>
        <w:t>全面落实自治区党委、自治区人民政府</w:t>
      </w:r>
      <w:r>
        <w:rPr>
          <w:rFonts w:hint="eastAsia" w:eastAsia="仿宋_GB2312"/>
          <w:sz w:val="32"/>
          <w:szCs w:val="32"/>
          <w:highlight w:val="none"/>
        </w:rPr>
        <w:t>、克孜勒苏柯尔克孜自治州党委、自治州人民政府、阿克陶县党委、县人民政府</w:t>
      </w:r>
      <w:r>
        <w:rPr>
          <w:rFonts w:eastAsia="仿宋_GB2312"/>
          <w:sz w:val="32"/>
          <w:szCs w:val="32"/>
          <w:highlight w:val="none"/>
        </w:rPr>
        <w:t>于提高自然灾害防治能力的工作部署，立足新发展阶段，贯彻新发展理念，构建新发展格局，</w:t>
      </w:r>
      <w:r>
        <w:rPr>
          <w:rFonts w:hint="eastAsia" w:eastAsia="仿宋_GB2312"/>
          <w:sz w:val="32"/>
          <w:szCs w:val="32"/>
          <w:highlight w:val="none"/>
        </w:rPr>
        <w:t>坚持以人民为中心的发展思想</w:t>
      </w:r>
      <w:r>
        <w:rPr>
          <w:rFonts w:hint="eastAsia" w:eastAsia="仿宋_GB2312"/>
          <w:sz w:val="32"/>
          <w:szCs w:val="32"/>
          <w:highlight w:val="none"/>
          <w:lang w:eastAsia="zh-CN"/>
        </w:rPr>
        <w:t>，</w:t>
      </w:r>
      <w:r>
        <w:rPr>
          <w:rFonts w:hint="eastAsia" w:eastAsia="仿宋_GB2312"/>
          <w:sz w:val="32"/>
          <w:szCs w:val="32"/>
          <w:highlight w:val="none"/>
        </w:rPr>
        <w:t>牢固树立人民至上、生命至上理念，紧紧围绕全区地质灾害防治领域关键问题和迫切需求，</w:t>
      </w:r>
      <w:r>
        <w:rPr>
          <w:rFonts w:eastAsia="仿宋_GB2312"/>
          <w:sz w:val="32"/>
          <w:szCs w:val="32"/>
          <w:highlight w:val="none"/>
        </w:rPr>
        <w:t>牢牢扭住社会稳定和长治久安总目标，以提升地质灾害防治能力、减轻地质灾害风险为主线，</w:t>
      </w:r>
      <w:r>
        <w:rPr>
          <w:rFonts w:hint="eastAsia" w:eastAsia="仿宋_GB2312"/>
          <w:sz w:val="32"/>
          <w:szCs w:val="32"/>
          <w:highlight w:val="none"/>
        </w:rPr>
        <w:t>部署“十五五”时期地质灾害防治工作</w:t>
      </w:r>
      <w:r>
        <w:rPr>
          <w:rFonts w:hint="eastAsia" w:eastAsia="仿宋_GB2312"/>
          <w:sz w:val="32"/>
          <w:szCs w:val="32"/>
          <w:highlight w:val="none"/>
          <w:lang w:eastAsia="zh-CN"/>
        </w:rPr>
        <w:t>，</w:t>
      </w:r>
      <w:r>
        <w:rPr>
          <w:rFonts w:hint="eastAsia" w:eastAsia="仿宋_GB2312"/>
          <w:sz w:val="32"/>
          <w:szCs w:val="32"/>
          <w:highlight w:val="none"/>
        </w:rPr>
        <w:t>推进</w:t>
      </w:r>
      <w:r>
        <w:rPr>
          <w:rFonts w:hint="eastAsia" w:eastAsia="仿宋_GB2312"/>
          <w:sz w:val="32"/>
          <w:szCs w:val="32"/>
          <w:highlight w:val="none"/>
          <w:lang w:val="en-US" w:eastAsia="zh-CN"/>
        </w:rPr>
        <w:t>阿克陶县</w:t>
      </w:r>
      <w:r>
        <w:rPr>
          <w:rFonts w:hint="eastAsia" w:eastAsia="仿宋_GB2312"/>
          <w:sz w:val="32"/>
          <w:szCs w:val="32"/>
          <w:highlight w:val="none"/>
        </w:rPr>
        <w:t>地质灾害综合防治体系建设和治理能力现代化建设</w:t>
      </w:r>
      <w:r>
        <w:rPr>
          <w:rFonts w:hint="eastAsia" w:eastAsia="仿宋_GB2312"/>
          <w:sz w:val="32"/>
          <w:szCs w:val="32"/>
          <w:highlight w:val="none"/>
          <w:lang w:eastAsia="zh-CN"/>
        </w:rPr>
        <w:t>，</w:t>
      </w:r>
      <w:r>
        <w:rPr>
          <w:rFonts w:hint="eastAsia" w:eastAsia="仿宋_GB2312"/>
          <w:sz w:val="32"/>
          <w:szCs w:val="32"/>
          <w:highlight w:val="none"/>
        </w:rPr>
        <w:t>为高质量发展和建设高品质生活新范例以及平安建设提供坚实的地质安全保障。</w:t>
      </w:r>
    </w:p>
    <w:bookmarkEnd w:id="19"/>
    <w:p w14:paraId="11B0E9AD">
      <w:pPr>
        <w:pStyle w:val="3"/>
        <w:spacing w:after="0" w:afterLines="0" w:line="560" w:lineRule="exact"/>
        <w:ind w:firstLine="643"/>
        <w:rPr>
          <w:rFonts w:ascii="楷体" w:hAnsi="楷体" w:eastAsia="楷体" w:cs="黑体"/>
          <w:sz w:val="32"/>
          <w:highlight w:val="none"/>
        </w:rPr>
      </w:pPr>
      <w:bookmarkStart w:id="20" w:name="_Toc30609"/>
      <w:bookmarkStart w:id="21" w:name="_Toc345874448"/>
      <w:bookmarkStart w:id="22" w:name="_Toc349826168"/>
      <w:r>
        <w:rPr>
          <w:rFonts w:hint="eastAsia" w:ascii="楷体" w:hAnsi="楷体" w:eastAsia="楷体" w:cs="黑体"/>
          <w:sz w:val="32"/>
          <w:highlight w:val="none"/>
        </w:rPr>
        <w:t>（二）基本原则</w:t>
      </w:r>
      <w:bookmarkEnd w:id="20"/>
    </w:p>
    <w:bookmarkEnd w:id="21"/>
    <w:bookmarkEnd w:id="22"/>
    <w:p w14:paraId="3B5C17B5">
      <w:pPr>
        <w:adjustRightInd w:val="0"/>
        <w:snapToGrid w:val="0"/>
        <w:spacing w:line="560" w:lineRule="exact"/>
        <w:ind w:firstLine="643" w:firstLineChars="200"/>
        <w:outlineLvl w:val="2"/>
        <w:rPr>
          <w:rFonts w:hint="eastAsia" w:eastAsia="仿宋_GB2312"/>
          <w:b/>
          <w:sz w:val="32"/>
          <w:szCs w:val="32"/>
          <w:highlight w:val="none"/>
        </w:rPr>
      </w:pPr>
      <w:bookmarkStart w:id="23" w:name="_Toc349826169"/>
      <w:bookmarkStart w:id="24" w:name="_Toc349826171"/>
      <w:r>
        <w:rPr>
          <w:rFonts w:hint="eastAsia" w:eastAsia="仿宋_GB2312"/>
          <w:b/>
          <w:sz w:val="32"/>
          <w:szCs w:val="32"/>
          <w:highlight w:val="none"/>
          <w:lang w:val="en-US" w:eastAsia="zh-CN"/>
        </w:rPr>
        <w:t>1、</w:t>
      </w:r>
      <w:r>
        <w:rPr>
          <w:rFonts w:hint="eastAsia" w:eastAsia="仿宋_GB2312"/>
          <w:b/>
          <w:sz w:val="32"/>
          <w:szCs w:val="32"/>
          <w:highlight w:val="none"/>
        </w:rPr>
        <w:t>人民至上</w:t>
      </w:r>
      <w:r>
        <w:rPr>
          <w:rFonts w:eastAsia="仿宋_GB2312"/>
          <w:b/>
          <w:sz w:val="32"/>
          <w:szCs w:val="32"/>
          <w:highlight w:val="none"/>
        </w:rPr>
        <w:t>，</w:t>
      </w:r>
      <w:r>
        <w:rPr>
          <w:rFonts w:hint="eastAsia" w:eastAsia="仿宋_GB2312"/>
          <w:b/>
          <w:sz w:val="32"/>
          <w:szCs w:val="32"/>
          <w:highlight w:val="none"/>
        </w:rPr>
        <w:t>生命至上</w:t>
      </w:r>
    </w:p>
    <w:p w14:paraId="7F9655B8">
      <w:pPr>
        <w:adjustRightInd w:val="0"/>
        <w:snapToGrid w:val="0"/>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始终把保护人民群众生命和财产安全放在首位，以生命安全为最高准则，把地质灾害防治作为维护公共安全的重要内容，使之成为经济社会发展中的一项全局性工作，全面完善地质灾害防治体系，整体提升综合防治能力，努力把地质灾害威胁降到最低程度。</w:t>
      </w:r>
    </w:p>
    <w:bookmarkEnd w:id="23"/>
    <w:p w14:paraId="03D37CF2">
      <w:pPr>
        <w:adjustRightInd w:val="0"/>
        <w:snapToGrid w:val="0"/>
        <w:spacing w:line="560" w:lineRule="exact"/>
        <w:ind w:firstLine="643" w:firstLineChars="200"/>
        <w:outlineLvl w:val="2"/>
        <w:rPr>
          <w:rFonts w:hint="eastAsia" w:eastAsia="仿宋_GB2312"/>
          <w:b/>
          <w:sz w:val="32"/>
          <w:szCs w:val="32"/>
          <w:highlight w:val="none"/>
        </w:rPr>
      </w:pPr>
      <w:r>
        <w:rPr>
          <w:rFonts w:hint="eastAsia" w:eastAsia="仿宋_GB2312"/>
          <w:b/>
          <w:sz w:val="32"/>
          <w:szCs w:val="32"/>
          <w:highlight w:val="none"/>
          <w:lang w:val="en-US" w:eastAsia="zh-CN"/>
        </w:rPr>
        <w:t>2、</w:t>
      </w:r>
      <w:r>
        <w:rPr>
          <w:rFonts w:eastAsia="仿宋_GB2312"/>
          <w:b/>
          <w:sz w:val="32"/>
          <w:szCs w:val="32"/>
          <w:highlight w:val="none"/>
        </w:rPr>
        <w:t>提升能力，降低风险</w:t>
      </w:r>
    </w:p>
    <w:p w14:paraId="6841DB4F">
      <w:pPr>
        <w:adjustRightInd w:val="0"/>
        <w:snapToGrid w:val="0"/>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把减轻地质灾害风险贯穿地质灾害防治工作全过程，创新地质灾害防治管理和技术方法，全方位提升地质灾害隐患识别、调查评价、监测预警、综合防治、基层防灾能力和科技支撑能力，提高地质灾害防御工程标准，努力把地质灾害风险降到最低水平。</w:t>
      </w:r>
    </w:p>
    <w:p w14:paraId="49A47CB5">
      <w:pPr>
        <w:adjustRightInd w:val="0"/>
        <w:snapToGrid w:val="0"/>
        <w:spacing w:line="560" w:lineRule="exact"/>
        <w:ind w:firstLine="643" w:firstLineChars="200"/>
        <w:outlineLvl w:val="2"/>
        <w:rPr>
          <w:rFonts w:hint="eastAsia" w:eastAsia="仿宋_GB2312"/>
          <w:b/>
          <w:sz w:val="32"/>
          <w:szCs w:val="32"/>
          <w:highlight w:val="none"/>
        </w:rPr>
      </w:pPr>
      <w:r>
        <w:rPr>
          <w:rFonts w:hint="eastAsia" w:eastAsia="仿宋_GB2312"/>
          <w:b/>
          <w:sz w:val="32"/>
          <w:szCs w:val="32"/>
          <w:highlight w:val="none"/>
          <w:lang w:val="en-US" w:eastAsia="zh-CN"/>
        </w:rPr>
        <w:t>3、</w:t>
      </w:r>
      <w:r>
        <w:rPr>
          <w:rFonts w:eastAsia="仿宋_GB2312"/>
          <w:b/>
          <w:sz w:val="32"/>
          <w:szCs w:val="32"/>
          <w:highlight w:val="none"/>
        </w:rPr>
        <w:t>全面推进</w:t>
      </w:r>
      <w:r>
        <w:rPr>
          <w:rFonts w:hint="eastAsia" w:eastAsia="仿宋_GB2312"/>
          <w:b/>
          <w:sz w:val="32"/>
          <w:szCs w:val="32"/>
          <w:highlight w:val="none"/>
        </w:rPr>
        <w:t>，</w:t>
      </w:r>
      <w:r>
        <w:rPr>
          <w:rFonts w:eastAsia="仿宋_GB2312"/>
          <w:b/>
          <w:sz w:val="32"/>
          <w:szCs w:val="32"/>
          <w:highlight w:val="none"/>
        </w:rPr>
        <w:t>突出重点</w:t>
      </w:r>
    </w:p>
    <w:p w14:paraId="621FF89E">
      <w:pPr>
        <w:adjustRightInd w:val="0"/>
        <w:snapToGrid w:val="0"/>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坚持系统观念，统筹推进地质灾害综合防治体系建设。聚焦防灾减灾关键领域、关键问题、关键环节及重点地区、重要隐患点和关键时段，因地制宜，分类施策，合理部署，务求实效，有效防范影响社会经济发展的重大地质灾害问题。</w:t>
      </w:r>
    </w:p>
    <w:p w14:paraId="495129B2">
      <w:pPr>
        <w:adjustRightInd w:val="0"/>
        <w:snapToGrid w:val="0"/>
        <w:spacing w:line="560" w:lineRule="exact"/>
        <w:ind w:firstLine="643" w:firstLineChars="200"/>
        <w:outlineLvl w:val="2"/>
        <w:rPr>
          <w:rFonts w:hint="eastAsia" w:eastAsia="仿宋_GB2312"/>
          <w:b/>
          <w:sz w:val="32"/>
          <w:szCs w:val="32"/>
          <w:highlight w:val="none"/>
        </w:rPr>
      </w:pPr>
      <w:r>
        <w:rPr>
          <w:rFonts w:hint="eastAsia" w:eastAsia="仿宋_GB2312"/>
          <w:b/>
          <w:sz w:val="32"/>
          <w:szCs w:val="32"/>
          <w:highlight w:val="none"/>
          <w:lang w:val="en-US" w:eastAsia="zh-CN"/>
        </w:rPr>
        <w:t>4、明确责任</w:t>
      </w:r>
      <w:r>
        <w:rPr>
          <w:rFonts w:eastAsia="仿宋_GB2312"/>
          <w:b/>
          <w:sz w:val="32"/>
          <w:szCs w:val="32"/>
          <w:highlight w:val="none"/>
        </w:rPr>
        <w:t>，</w:t>
      </w:r>
      <w:r>
        <w:rPr>
          <w:rFonts w:hint="eastAsia" w:eastAsia="仿宋_GB2312"/>
          <w:b/>
          <w:sz w:val="32"/>
          <w:szCs w:val="32"/>
          <w:highlight w:val="none"/>
          <w:lang w:val="en-US" w:eastAsia="zh-CN"/>
        </w:rPr>
        <w:t>落实治理</w:t>
      </w:r>
    </w:p>
    <w:p w14:paraId="19929BF9">
      <w:pPr>
        <w:adjustRightInd w:val="0"/>
        <w:snapToGrid w:val="0"/>
        <w:spacing w:line="560" w:lineRule="exact"/>
        <w:ind w:firstLine="640" w:firstLineChars="200"/>
        <w:rPr>
          <w:rFonts w:hint="eastAsia" w:eastAsia="仿宋_GB2312"/>
          <w:sz w:val="32"/>
          <w:szCs w:val="32"/>
          <w:highlight w:val="none"/>
          <w:lang w:eastAsia="zh-CN"/>
        </w:rPr>
      </w:pPr>
      <w:r>
        <w:rPr>
          <w:rFonts w:hint="eastAsia" w:eastAsia="仿宋_GB2312"/>
          <w:sz w:val="32"/>
          <w:szCs w:val="32"/>
          <w:highlight w:val="none"/>
        </w:rPr>
        <w:t>对因自然因素造成的地质灾害隐患政府要承担治理责任和经费来源</w:t>
      </w:r>
      <w:r>
        <w:rPr>
          <w:rFonts w:hint="eastAsia" w:eastAsia="仿宋_GB2312"/>
          <w:sz w:val="32"/>
          <w:szCs w:val="32"/>
          <w:highlight w:val="none"/>
          <w:lang w:eastAsia="zh-CN"/>
        </w:rPr>
        <w:t>；</w:t>
      </w:r>
      <w:r>
        <w:rPr>
          <w:rFonts w:hint="eastAsia" w:eastAsia="仿宋_GB2312"/>
          <w:sz w:val="32"/>
          <w:szCs w:val="32"/>
          <w:highlight w:val="none"/>
        </w:rPr>
        <w:t>对因工程建设等人为活动引发的地质灾害隐患，要明确责任单位，落实防范治理责任对经地质灾害危险性评估认为可能引发地质灾害或者可能</w:t>
      </w:r>
      <w:r>
        <w:rPr>
          <w:rFonts w:hint="eastAsia" w:eastAsia="仿宋_GB2312"/>
          <w:sz w:val="32"/>
          <w:szCs w:val="32"/>
          <w:highlight w:val="none"/>
          <w:lang w:eastAsia="zh-CN"/>
        </w:rPr>
        <w:t>。</w:t>
      </w:r>
    </w:p>
    <w:p w14:paraId="20629519">
      <w:pPr>
        <w:adjustRightInd w:val="0"/>
        <w:snapToGrid w:val="0"/>
        <w:spacing w:line="560" w:lineRule="exact"/>
        <w:ind w:firstLine="643" w:firstLineChars="200"/>
        <w:outlineLvl w:val="2"/>
        <w:rPr>
          <w:rFonts w:hint="eastAsia" w:eastAsia="仿宋_GB2312"/>
          <w:b/>
          <w:sz w:val="32"/>
          <w:szCs w:val="32"/>
          <w:highlight w:val="none"/>
        </w:rPr>
      </w:pPr>
      <w:r>
        <w:rPr>
          <w:rFonts w:hint="eastAsia" w:eastAsia="仿宋_GB2312"/>
          <w:b/>
          <w:sz w:val="32"/>
          <w:szCs w:val="32"/>
          <w:highlight w:val="none"/>
          <w:lang w:val="en-US" w:eastAsia="zh-CN"/>
        </w:rPr>
        <w:t>5、</w:t>
      </w:r>
      <w:r>
        <w:rPr>
          <w:rFonts w:eastAsia="仿宋_GB2312"/>
          <w:b/>
          <w:sz w:val="32"/>
          <w:szCs w:val="32"/>
          <w:highlight w:val="none"/>
        </w:rPr>
        <w:t>统筹</w:t>
      </w:r>
      <w:r>
        <w:rPr>
          <w:rFonts w:hint="eastAsia" w:eastAsia="仿宋_GB2312"/>
          <w:b/>
          <w:sz w:val="32"/>
          <w:szCs w:val="32"/>
          <w:highlight w:val="none"/>
        </w:rPr>
        <w:t>协调</w:t>
      </w:r>
      <w:r>
        <w:rPr>
          <w:rFonts w:eastAsia="仿宋_GB2312"/>
          <w:b/>
          <w:sz w:val="32"/>
          <w:szCs w:val="32"/>
          <w:highlight w:val="none"/>
        </w:rPr>
        <w:t>，</w:t>
      </w:r>
      <w:r>
        <w:rPr>
          <w:rFonts w:hint="eastAsia" w:eastAsia="仿宋_GB2312"/>
          <w:b/>
          <w:sz w:val="32"/>
          <w:szCs w:val="32"/>
          <w:highlight w:val="none"/>
        </w:rPr>
        <w:t>分工</w:t>
      </w:r>
      <w:r>
        <w:rPr>
          <w:rFonts w:hint="eastAsia" w:eastAsia="仿宋_GB2312"/>
          <w:b/>
          <w:sz w:val="32"/>
          <w:szCs w:val="32"/>
          <w:highlight w:val="none"/>
          <w:lang w:val="en-US" w:eastAsia="zh-CN"/>
        </w:rPr>
        <w:t>配合</w:t>
      </w:r>
    </w:p>
    <w:p w14:paraId="268F26E0">
      <w:pPr>
        <w:adjustRightInd w:val="0"/>
        <w:snapToGrid w:val="0"/>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紧紧围绕加快建设更高水平平安阿克陶的目标，以防范和化解重大地质灾害风险等重点任务为抓手，统筹部署各项具体工作，服务社会经济发展大局。县人民政府发挥统筹指导作用，各级党委和政府分级负责，承担主体责任。自然资源主管部门负责组织、协调、指导和监督，相关部门密切配合，各司其职，切实减少人为因素引发的地质灾害。</w:t>
      </w:r>
    </w:p>
    <w:p w14:paraId="02D43CC6">
      <w:pPr>
        <w:adjustRightInd w:val="0"/>
        <w:snapToGrid w:val="0"/>
        <w:spacing w:line="560" w:lineRule="exact"/>
        <w:ind w:firstLine="643" w:firstLineChars="200"/>
        <w:outlineLvl w:val="2"/>
        <w:rPr>
          <w:rFonts w:hint="eastAsia" w:eastAsia="仿宋_GB2312"/>
          <w:b/>
          <w:sz w:val="32"/>
          <w:szCs w:val="32"/>
          <w:highlight w:val="none"/>
        </w:rPr>
      </w:pPr>
      <w:r>
        <w:rPr>
          <w:rFonts w:hint="eastAsia" w:eastAsia="仿宋_GB2312"/>
          <w:b/>
          <w:sz w:val="32"/>
          <w:szCs w:val="32"/>
          <w:highlight w:val="none"/>
          <w:lang w:val="en-US" w:eastAsia="zh-CN"/>
        </w:rPr>
        <w:t>6、</w:t>
      </w:r>
      <w:r>
        <w:rPr>
          <w:rFonts w:eastAsia="仿宋_GB2312"/>
          <w:b/>
          <w:sz w:val="32"/>
          <w:szCs w:val="32"/>
          <w:highlight w:val="none"/>
        </w:rPr>
        <w:t>依靠科技，强化创新</w:t>
      </w:r>
    </w:p>
    <w:p w14:paraId="061F6F55">
      <w:pPr>
        <w:adjustRightInd w:val="0"/>
        <w:snapToGrid w:val="0"/>
        <w:spacing w:line="560" w:lineRule="exact"/>
        <w:ind w:firstLine="640" w:firstLineChars="200"/>
        <w:outlineLvl w:val="2"/>
        <w:rPr>
          <w:rFonts w:eastAsia="仿宋_GB2312"/>
          <w:sz w:val="32"/>
          <w:szCs w:val="32"/>
          <w:highlight w:val="none"/>
        </w:rPr>
      </w:pPr>
      <w:r>
        <w:rPr>
          <w:rFonts w:hint="eastAsia" w:eastAsia="仿宋_GB2312"/>
          <w:sz w:val="32"/>
          <w:szCs w:val="32"/>
          <w:highlight w:val="none"/>
        </w:rPr>
        <w:t>强化科技支撑作用，推动地质灾害调查、监测、防治新技术、新方法的应用，促进地质灾害群测群防向群专结合、人机结合转变，推进“互联网+”在地质灾害和地质环境信息服务中的应用，不断提高地质灾害防治水平和实效。</w:t>
      </w:r>
    </w:p>
    <w:bookmarkEnd w:id="24"/>
    <w:p w14:paraId="43FEC66A">
      <w:pPr>
        <w:pStyle w:val="3"/>
        <w:spacing w:after="0" w:afterLines="0" w:line="560" w:lineRule="exact"/>
        <w:ind w:firstLine="643"/>
        <w:rPr>
          <w:rFonts w:ascii="楷体" w:hAnsi="楷体" w:eastAsia="楷体" w:cs="黑体"/>
          <w:sz w:val="32"/>
          <w:highlight w:val="none"/>
        </w:rPr>
      </w:pPr>
      <w:bookmarkStart w:id="25" w:name="_Toc11418"/>
      <w:bookmarkStart w:id="26" w:name="_Toc345874449"/>
      <w:bookmarkStart w:id="27" w:name="_Toc349826175"/>
      <w:r>
        <w:rPr>
          <w:rFonts w:hint="eastAsia" w:ascii="楷体" w:hAnsi="楷体" w:eastAsia="楷体" w:cs="黑体"/>
          <w:sz w:val="32"/>
          <w:highlight w:val="none"/>
        </w:rPr>
        <w:t>（三）规划目标</w:t>
      </w:r>
      <w:bookmarkEnd w:id="25"/>
    </w:p>
    <w:bookmarkEnd w:id="26"/>
    <w:bookmarkEnd w:id="27"/>
    <w:p w14:paraId="0DCC7322">
      <w:pPr>
        <w:adjustRightInd w:val="0"/>
        <w:snapToGrid w:val="0"/>
        <w:spacing w:line="560" w:lineRule="exact"/>
        <w:ind w:firstLine="640" w:firstLineChars="200"/>
        <w:rPr>
          <w:rFonts w:hint="eastAsia" w:eastAsia="仿宋_GB2312"/>
          <w:sz w:val="32"/>
          <w:szCs w:val="32"/>
          <w:highlight w:val="none"/>
        </w:rPr>
      </w:pPr>
      <w:bookmarkStart w:id="28" w:name="_Toc349826176"/>
      <w:r>
        <w:rPr>
          <w:rFonts w:hint="eastAsia" w:eastAsia="仿宋_GB2312"/>
          <w:sz w:val="32"/>
          <w:szCs w:val="32"/>
          <w:highlight w:val="none"/>
        </w:rPr>
        <w:t>以保障人民生命财产安全为根本目的，持续推进地质灾害调查评价、监测预警、综合</w:t>
      </w:r>
      <w:r>
        <w:rPr>
          <w:rFonts w:hint="eastAsia" w:eastAsia="仿宋_GB2312"/>
          <w:sz w:val="32"/>
          <w:szCs w:val="32"/>
          <w:highlight w:val="none"/>
          <w:lang w:val="en-US" w:eastAsia="zh-CN"/>
        </w:rPr>
        <w:t>防治</w:t>
      </w:r>
      <w:r>
        <w:rPr>
          <w:rFonts w:hint="eastAsia" w:eastAsia="仿宋_GB2312"/>
          <w:sz w:val="32"/>
          <w:szCs w:val="32"/>
          <w:highlight w:val="none"/>
        </w:rPr>
        <w:t>和能力建设。到20</w:t>
      </w:r>
      <w:r>
        <w:rPr>
          <w:rFonts w:hint="eastAsia" w:eastAsia="仿宋_GB2312"/>
          <w:sz w:val="32"/>
          <w:szCs w:val="32"/>
          <w:highlight w:val="none"/>
          <w:lang w:val="en-US" w:eastAsia="zh-CN"/>
        </w:rPr>
        <w:t>30</w:t>
      </w:r>
      <w:r>
        <w:rPr>
          <w:rFonts w:hint="eastAsia" w:eastAsia="仿宋_GB2312"/>
          <w:sz w:val="32"/>
          <w:szCs w:val="32"/>
          <w:highlight w:val="none"/>
        </w:rPr>
        <w:t>年，建立健全以地质灾害风险防控为主的综合防治体系，地质灾害防治能力明显提升，最大限度防范和化解地质灾害风险，推动地质灾害防治从减少灾害损失向降低灾害风险转变。</w:t>
      </w:r>
    </w:p>
    <w:p w14:paraId="3AE70AC3">
      <w:pPr>
        <w:adjustRightInd w:val="0"/>
        <w:snapToGrid w:val="0"/>
        <w:spacing w:line="560" w:lineRule="exact"/>
        <w:ind w:firstLine="643" w:firstLineChars="200"/>
        <w:outlineLvl w:val="2"/>
        <w:rPr>
          <w:rFonts w:hint="eastAsia" w:eastAsia="仿宋_GB2312"/>
          <w:b/>
          <w:sz w:val="32"/>
          <w:szCs w:val="32"/>
          <w:highlight w:val="none"/>
          <w:lang w:val="en-US" w:eastAsia="zh-CN"/>
        </w:rPr>
      </w:pPr>
      <w:r>
        <w:rPr>
          <w:rFonts w:hint="eastAsia" w:eastAsia="仿宋_GB2312"/>
          <w:b/>
          <w:sz w:val="32"/>
          <w:szCs w:val="32"/>
          <w:highlight w:val="none"/>
          <w:lang w:val="en-US" w:eastAsia="zh-CN"/>
        </w:rPr>
        <w:t>1、持续推进地质灾害调查评价工作</w:t>
      </w:r>
    </w:p>
    <w:p w14:paraId="67C7FA5D">
      <w:pPr>
        <w:spacing w:line="560" w:lineRule="exact"/>
        <w:ind w:firstLine="640" w:firstLineChars="200"/>
        <w:jc w:val="left"/>
        <w:rPr>
          <w:rFonts w:hint="eastAsia" w:eastAsia="仿宋_GB2312"/>
          <w:sz w:val="32"/>
          <w:szCs w:val="32"/>
          <w:highlight w:val="none"/>
        </w:rPr>
      </w:pPr>
      <w:r>
        <w:rPr>
          <w:rFonts w:hint="eastAsia" w:eastAsia="仿宋_GB2312"/>
          <w:sz w:val="32"/>
          <w:szCs w:val="32"/>
          <w:highlight w:val="none"/>
        </w:rPr>
        <w:t>持续开展地质灾害排查及地质灾害评估工作；开展1:5万地质灾害</w:t>
      </w:r>
      <w:r>
        <w:rPr>
          <w:rFonts w:hint="eastAsia" w:eastAsia="仿宋_GB2312"/>
          <w:sz w:val="32"/>
          <w:szCs w:val="32"/>
          <w:highlight w:val="none"/>
          <w:lang w:val="en-US" w:eastAsia="zh-CN"/>
        </w:rPr>
        <w:t>更新</w:t>
      </w:r>
      <w:r>
        <w:rPr>
          <w:rFonts w:hint="eastAsia" w:eastAsia="仿宋_GB2312"/>
          <w:sz w:val="32"/>
          <w:szCs w:val="32"/>
          <w:highlight w:val="none"/>
        </w:rPr>
        <w:t>调查；</w:t>
      </w:r>
      <w:r>
        <w:rPr>
          <w:rFonts w:hint="eastAsia" w:eastAsia="仿宋_GB2312"/>
          <w:sz w:val="32"/>
          <w:szCs w:val="32"/>
          <w:highlight w:val="none"/>
          <w:lang w:val="en-US" w:eastAsia="zh-CN"/>
        </w:rPr>
        <w:t>围绕地质灾害高易发区及重点灾害点分布，分别在克孜勒陶乡和阿克塔拉牧场，布伦口乡开展重点乡镇1:10000地质灾害精细化调查</w:t>
      </w:r>
      <w:r>
        <w:rPr>
          <w:rFonts w:hint="eastAsia" w:eastAsia="仿宋_GB2312"/>
          <w:sz w:val="32"/>
          <w:szCs w:val="32"/>
          <w:highlight w:val="none"/>
        </w:rPr>
        <w:t>。</w:t>
      </w:r>
    </w:p>
    <w:p w14:paraId="0BF4D2B6">
      <w:pPr>
        <w:adjustRightInd w:val="0"/>
        <w:snapToGrid w:val="0"/>
        <w:spacing w:line="560" w:lineRule="exact"/>
        <w:ind w:firstLine="643" w:firstLineChars="200"/>
        <w:outlineLvl w:val="2"/>
        <w:rPr>
          <w:rFonts w:hint="eastAsia" w:eastAsia="仿宋_GB2312"/>
          <w:b/>
          <w:sz w:val="32"/>
          <w:szCs w:val="32"/>
          <w:highlight w:val="none"/>
          <w:lang w:val="en-US" w:eastAsia="zh-CN"/>
        </w:rPr>
      </w:pPr>
      <w:r>
        <w:rPr>
          <w:rFonts w:hint="eastAsia" w:eastAsia="仿宋_GB2312"/>
          <w:b/>
          <w:sz w:val="32"/>
          <w:szCs w:val="32"/>
          <w:highlight w:val="none"/>
          <w:lang w:val="en-US" w:eastAsia="zh-CN"/>
        </w:rPr>
        <w:t>2、提升地质灾害监测预警体系建设</w:t>
      </w:r>
    </w:p>
    <w:p w14:paraId="3812A03B">
      <w:pPr>
        <w:spacing w:line="560" w:lineRule="exact"/>
        <w:ind w:firstLine="640" w:firstLineChars="200"/>
        <w:jc w:val="left"/>
        <w:rPr>
          <w:rFonts w:hint="eastAsia" w:eastAsia="仿宋_GB2312"/>
          <w:sz w:val="32"/>
          <w:szCs w:val="32"/>
          <w:highlight w:val="none"/>
        </w:rPr>
      </w:pPr>
      <w:r>
        <w:rPr>
          <w:rFonts w:hint="eastAsia" w:eastAsia="仿宋_GB2312"/>
          <w:sz w:val="32"/>
          <w:szCs w:val="32"/>
          <w:highlight w:val="none"/>
        </w:rPr>
        <w:t>继续加强地质灾害</w:t>
      </w:r>
      <w:r>
        <w:rPr>
          <w:rFonts w:hint="eastAsia" w:eastAsia="仿宋_GB2312"/>
          <w:sz w:val="32"/>
          <w:szCs w:val="32"/>
          <w:highlight w:val="none"/>
          <w:lang w:val="en-US" w:eastAsia="zh-CN"/>
        </w:rPr>
        <w:t>监测预警网点</w:t>
      </w:r>
      <w:r>
        <w:rPr>
          <w:rFonts w:hint="eastAsia" w:eastAsia="仿宋_GB2312"/>
          <w:sz w:val="32"/>
          <w:szCs w:val="32"/>
          <w:highlight w:val="none"/>
        </w:rPr>
        <w:t>建设，完善全县5</w:t>
      </w:r>
      <w:r>
        <w:rPr>
          <w:rFonts w:hint="eastAsia" w:eastAsia="仿宋_GB2312"/>
          <w:sz w:val="32"/>
          <w:szCs w:val="32"/>
          <w:highlight w:val="none"/>
          <w:lang w:val="en-US" w:eastAsia="zh-CN"/>
        </w:rPr>
        <w:t>6</w:t>
      </w:r>
      <w:r>
        <w:rPr>
          <w:rFonts w:hint="eastAsia" w:eastAsia="仿宋_GB2312"/>
          <w:sz w:val="32"/>
          <w:szCs w:val="32"/>
          <w:highlight w:val="none"/>
        </w:rPr>
        <w:t>处地质灾害隐患点的</w:t>
      </w:r>
      <w:r>
        <w:rPr>
          <w:rFonts w:hint="eastAsia" w:eastAsia="仿宋_GB2312"/>
          <w:sz w:val="32"/>
          <w:szCs w:val="32"/>
          <w:highlight w:val="none"/>
          <w:lang w:val="en-US" w:eastAsia="zh-CN"/>
        </w:rPr>
        <w:t>监测预警建设</w:t>
      </w:r>
      <w:r>
        <w:rPr>
          <w:rFonts w:hint="eastAsia" w:eastAsia="仿宋_GB2312"/>
          <w:sz w:val="32"/>
          <w:szCs w:val="32"/>
          <w:highlight w:val="none"/>
        </w:rPr>
        <w:t>工作。</w:t>
      </w:r>
    </w:p>
    <w:p w14:paraId="6DBF119A">
      <w:pPr>
        <w:adjustRightInd w:val="0"/>
        <w:snapToGrid w:val="0"/>
        <w:spacing w:line="560" w:lineRule="exact"/>
        <w:ind w:firstLine="643" w:firstLineChars="200"/>
        <w:outlineLvl w:val="2"/>
        <w:rPr>
          <w:rFonts w:hint="eastAsia" w:eastAsia="仿宋_GB2312"/>
          <w:b/>
          <w:sz w:val="32"/>
          <w:szCs w:val="32"/>
          <w:highlight w:val="none"/>
          <w:lang w:val="en-US" w:eastAsia="zh-CN"/>
        </w:rPr>
      </w:pPr>
      <w:r>
        <w:rPr>
          <w:rFonts w:hint="eastAsia" w:eastAsia="仿宋_GB2312"/>
          <w:b/>
          <w:sz w:val="32"/>
          <w:szCs w:val="32"/>
          <w:highlight w:val="none"/>
          <w:lang w:val="en-US" w:eastAsia="zh-CN"/>
        </w:rPr>
        <w:t>3、有序开展地质灾害综合治理</w:t>
      </w:r>
    </w:p>
    <w:p w14:paraId="32BA37E3">
      <w:pPr>
        <w:spacing w:line="560" w:lineRule="exact"/>
        <w:ind w:firstLine="640" w:firstLineChars="200"/>
        <w:jc w:val="left"/>
        <w:rPr>
          <w:rFonts w:hint="default" w:eastAsia="仿宋_GB2312"/>
          <w:sz w:val="32"/>
          <w:szCs w:val="32"/>
          <w:highlight w:val="none"/>
          <w:lang w:val="en-US" w:eastAsia="zh-CN"/>
        </w:rPr>
      </w:pPr>
      <w:r>
        <w:rPr>
          <w:rFonts w:hint="eastAsia" w:eastAsia="仿宋_GB2312"/>
          <w:sz w:val="32"/>
          <w:szCs w:val="32"/>
          <w:highlight w:val="none"/>
          <w:lang w:val="en-US" w:eastAsia="zh-CN"/>
        </w:rPr>
        <w:t>以积极争取</w:t>
      </w:r>
      <w:r>
        <w:rPr>
          <w:rFonts w:hint="eastAsia" w:eastAsia="仿宋_GB2312"/>
          <w:sz w:val="32"/>
          <w:szCs w:val="32"/>
          <w:highlight w:val="none"/>
        </w:rPr>
        <w:t>财政资金</w:t>
      </w:r>
      <w:r>
        <w:rPr>
          <w:rFonts w:hint="eastAsia" w:eastAsia="仿宋_GB2312"/>
          <w:sz w:val="32"/>
          <w:szCs w:val="32"/>
          <w:highlight w:val="none"/>
          <w:lang w:val="en-US" w:eastAsia="zh-CN"/>
        </w:rPr>
        <w:t>为主</w:t>
      </w:r>
      <w:r>
        <w:rPr>
          <w:rFonts w:hint="eastAsia" w:eastAsia="仿宋_GB2312"/>
          <w:sz w:val="32"/>
          <w:szCs w:val="32"/>
          <w:highlight w:val="none"/>
        </w:rPr>
        <w:t>，</w:t>
      </w:r>
      <w:r>
        <w:rPr>
          <w:rFonts w:hint="eastAsia" w:eastAsia="仿宋_GB2312"/>
          <w:sz w:val="32"/>
          <w:szCs w:val="32"/>
          <w:highlight w:val="none"/>
          <w:lang w:val="en-US" w:eastAsia="zh-CN"/>
        </w:rPr>
        <w:t>对已完成专项地质勘查工作的2处重点地质灾害点开展工程治理，</w:t>
      </w:r>
      <w:r>
        <w:rPr>
          <w:rFonts w:hint="eastAsia" w:eastAsia="仿宋_GB2312"/>
          <w:sz w:val="32"/>
          <w:szCs w:val="32"/>
          <w:highlight w:val="none"/>
        </w:rPr>
        <w:t>对人口密集区和威胁重要工程的</w:t>
      </w:r>
      <w:r>
        <w:rPr>
          <w:rFonts w:hint="eastAsia" w:eastAsia="仿宋_GB2312"/>
          <w:sz w:val="32"/>
          <w:szCs w:val="32"/>
          <w:highlight w:val="none"/>
          <w:lang w:val="en-US" w:eastAsia="zh-CN"/>
        </w:rPr>
        <w:t>10</w:t>
      </w:r>
      <w:r>
        <w:rPr>
          <w:rFonts w:hint="eastAsia" w:eastAsia="仿宋_GB2312"/>
          <w:sz w:val="32"/>
          <w:szCs w:val="32"/>
          <w:highlight w:val="none"/>
        </w:rPr>
        <w:t>处地质灾害</w:t>
      </w:r>
      <w:r>
        <w:rPr>
          <w:rFonts w:hint="eastAsia" w:eastAsia="仿宋_GB2312"/>
          <w:sz w:val="32"/>
          <w:szCs w:val="32"/>
          <w:highlight w:val="none"/>
          <w:lang w:val="en-US" w:eastAsia="zh-CN"/>
        </w:rPr>
        <w:t>开展专项地质勘查工作，完成后开展相关工程治理工作。</w:t>
      </w:r>
    </w:p>
    <w:p w14:paraId="2B781385">
      <w:pPr>
        <w:adjustRightInd w:val="0"/>
        <w:snapToGrid w:val="0"/>
        <w:spacing w:line="560" w:lineRule="exact"/>
        <w:ind w:firstLine="643" w:firstLineChars="200"/>
        <w:outlineLvl w:val="2"/>
        <w:rPr>
          <w:rFonts w:hint="eastAsia" w:eastAsia="仿宋_GB2312"/>
          <w:b/>
          <w:sz w:val="32"/>
          <w:szCs w:val="32"/>
          <w:highlight w:val="none"/>
          <w:lang w:val="en-US" w:eastAsia="zh-CN"/>
        </w:rPr>
      </w:pPr>
      <w:r>
        <w:rPr>
          <w:rFonts w:hint="eastAsia" w:eastAsia="仿宋_GB2312"/>
          <w:b/>
          <w:sz w:val="32"/>
          <w:szCs w:val="32"/>
          <w:highlight w:val="none"/>
          <w:lang w:val="en-US" w:eastAsia="zh-CN"/>
        </w:rPr>
        <w:t>4、提升地质灾害防治能力建设</w:t>
      </w:r>
    </w:p>
    <w:p w14:paraId="3EE32B6A">
      <w:pPr>
        <w:spacing w:line="560" w:lineRule="exact"/>
        <w:ind w:firstLine="640" w:firstLineChars="200"/>
        <w:jc w:val="left"/>
        <w:rPr>
          <w:rFonts w:hint="eastAsia" w:eastAsia="仿宋_GB2312"/>
          <w:sz w:val="32"/>
          <w:szCs w:val="32"/>
          <w:highlight w:val="none"/>
        </w:rPr>
      </w:pPr>
      <w:r>
        <w:rPr>
          <w:rFonts w:hint="eastAsia" w:eastAsia="仿宋_GB2312"/>
          <w:sz w:val="32"/>
          <w:szCs w:val="32"/>
          <w:highlight w:val="none"/>
        </w:rPr>
        <w:t>通过1:5万地质灾害</w:t>
      </w:r>
      <w:r>
        <w:rPr>
          <w:rFonts w:hint="eastAsia" w:eastAsia="仿宋_GB2312"/>
          <w:sz w:val="32"/>
          <w:szCs w:val="32"/>
          <w:highlight w:val="none"/>
          <w:lang w:val="en-US" w:eastAsia="zh-CN"/>
        </w:rPr>
        <w:t>更新</w:t>
      </w:r>
      <w:r>
        <w:rPr>
          <w:rFonts w:hint="eastAsia" w:eastAsia="仿宋_GB2312"/>
          <w:sz w:val="32"/>
          <w:szCs w:val="32"/>
          <w:highlight w:val="none"/>
        </w:rPr>
        <w:t>调查，</w:t>
      </w:r>
      <w:r>
        <w:rPr>
          <w:rFonts w:hint="eastAsia" w:eastAsia="仿宋_GB2312"/>
          <w:sz w:val="32"/>
          <w:szCs w:val="32"/>
          <w:highlight w:val="none"/>
          <w:lang w:val="en-US" w:eastAsia="zh-CN"/>
        </w:rPr>
        <w:t>重点乡镇精细化调查，</w:t>
      </w:r>
      <w:r>
        <w:rPr>
          <w:rFonts w:hint="eastAsia" w:eastAsia="仿宋_GB2312"/>
          <w:sz w:val="32"/>
          <w:szCs w:val="32"/>
          <w:highlight w:val="none"/>
        </w:rPr>
        <w:t>开展山地斜坡以及滑坡、崩塌、泥石流灾害精细调查</w:t>
      </w:r>
      <w:r>
        <w:rPr>
          <w:rFonts w:hint="eastAsia" w:eastAsia="仿宋_GB2312"/>
          <w:sz w:val="32"/>
          <w:szCs w:val="32"/>
          <w:highlight w:val="none"/>
          <w:lang w:eastAsia="zh-CN"/>
        </w:rPr>
        <w:t>，</w:t>
      </w:r>
      <w:r>
        <w:rPr>
          <w:rFonts w:hint="eastAsia" w:eastAsia="仿宋_GB2312"/>
          <w:sz w:val="32"/>
          <w:szCs w:val="32"/>
          <w:highlight w:val="none"/>
          <w:lang w:val="en-US" w:eastAsia="zh-CN"/>
        </w:rPr>
        <w:t>进行</w:t>
      </w:r>
      <w:r>
        <w:rPr>
          <w:rFonts w:hint="eastAsia" w:eastAsia="仿宋_GB2312"/>
          <w:sz w:val="32"/>
          <w:szCs w:val="32"/>
          <w:highlight w:val="none"/>
        </w:rPr>
        <w:t>孕灾地质条件、诱发因素和发育规律研究，加强空天地一体化的地质灾害隐患早期识别技术的应用，提升地质灾害防治指挥和调查监测能力，实现地质灾害防治工作全过程信息化、智能化管理。加大基层防灾减灾宣传科普和教育培训力度，畅通部门间信息共享渠道，形成上下一体、互联互通，部门协同、共防共治的地质灾害防治新格局，提升</w:t>
      </w:r>
      <w:r>
        <w:rPr>
          <w:rFonts w:hint="eastAsia" w:eastAsia="仿宋_GB2312"/>
          <w:sz w:val="32"/>
          <w:szCs w:val="32"/>
          <w:highlight w:val="none"/>
          <w:lang w:val="en-US" w:eastAsia="zh-CN"/>
        </w:rPr>
        <w:t>阿克陶</w:t>
      </w:r>
      <w:r>
        <w:rPr>
          <w:rFonts w:hint="eastAsia" w:eastAsia="仿宋_GB2312"/>
          <w:sz w:val="32"/>
          <w:szCs w:val="32"/>
          <w:highlight w:val="none"/>
        </w:rPr>
        <w:t>县地质灾害防治能力。</w:t>
      </w:r>
    </w:p>
    <w:p w14:paraId="58C2B5A4">
      <w:pPr>
        <w:spacing w:line="560" w:lineRule="exact"/>
        <w:ind w:firstLine="640" w:firstLineChars="200"/>
        <w:jc w:val="left"/>
        <w:rPr>
          <w:rFonts w:hint="eastAsia" w:eastAsia="仿宋_GB2312"/>
          <w:sz w:val="32"/>
          <w:szCs w:val="32"/>
          <w:highlight w:val="none"/>
        </w:rPr>
      </w:pPr>
    </w:p>
    <w:p w14:paraId="063CE921">
      <w:pPr>
        <w:spacing w:line="560" w:lineRule="exact"/>
        <w:ind w:firstLine="640" w:firstLineChars="200"/>
        <w:jc w:val="left"/>
        <w:rPr>
          <w:rFonts w:hint="eastAsia" w:eastAsia="仿宋_GB2312"/>
          <w:sz w:val="32"/>
          <w:szCs w:val="32"/>
          <w:highlight w:val="none"/>
        </w:rPr>
      </w:pPr>
    </w:p>
    <w:p w14:paraId="7B10C774">
      <w:pPr>
        <w:spacing w:line="560" w:lineRule="exact"/>
        <w:ind w:firstLine="640" w:firstLineChars="200"/>
        <w:jc w:val="left"/>
        <w:rPr>
          <w:rFonts w:hint="eastAsia" w:eastAsia="仿宋_GB2312"/>
          <w:sz w:val="32"/>
          <w:szCs w:val="32"/>
          <w:highlight w:val="none"/>
        </w:rPr>
      </w:pPr>
    </w:p>
    <w:p w14:paraId="54965964">
      <w:pPr>
        <w:spacing w:line="560" w:lineRule="exact"/>
        <w:ind w:firstLine="640" w:firstLineChars="200"/>
        <w:jc w:val="left"/>
        <w:rPr>
          <w:rFonts w:hint="eastAsia" w:eastAsia="仿宋_GB2312"/>
          <w:sz w:val="32"/>
          <w:szCs w:val="32"/>
          <w:highlight w:val="none"/>
        </w:rPr>
      </w:pPr>
    </w:p>
    <w:p w14:paraId="4494E3EE">
      <w:pPr>
        <w:spacing w:line="560" w:lineRule="exact"/>
        <w:ind w:firstLine="640" w:firstLineChars="200"/>
        <w:jc w:val="left"/>
        <w:rPr>
          <w:rFonts w:hint="eastAsia" w:eastAsia="仿宋_GB2312"/>
          <w:sz w:val="32"/>
          <w:szCs w:val="32"/>
          <w:highlight w:val="none"/>
        </w:rPr>
      </w:pPr>
    </w:p>
    <w:p w14:paraId="6B282C6D">
      <w:pPr>
        <w:adjustRightInd w:val="0"/>
        <w:snapToGrid w:val="0"/>
        <w:spacing w:line="560" w:lineRule="exact"/>
        <w:ind w:firstLine="482" w:firstLineChars="200"/>
        <w:jc w:val="center"/>
        <w:outlineLvl w:val="2"/>
        <w:rPr>
          <w:rFonts w:hint="eastAsia" w:eastAsia="仿宋_GB2312"/>
          <w:b/>
          <w:sz w:val="24"/>
          <w:highlight w:val="none"/>
        </w:rPr>
      </w:pPr>
      <w:r>
        <w:rPr>
          <w:rFonts w:hint="eastAsia" w:eastAsia="仿宋_GB2312"/>
          <w:b/>
          <w:sz w:val="24"/>
          <w:highlight w:val="none"/>
          <w:lang w:val="en-US" w:eastAsia="zh-CN"/>
        </w:rPr>
        <w:t>阿克陶县</w:t>
      </w:r>
      <w:r>
        <w:rPr>
          <w:rFonts w:hint="eastAsia" w:eastAsia="仿宋_GB2312"/>
          <w:b/>
          <w:sz w:val="24"/>
          <w:highlight w:val="none"/>
        </w:rPr>
        <w:t>“十</w:t>
      </w:r>
      <w:r>
        <w:rPr>
          <w:rFonts w:hint="eastAsia" w:eastAsia="仿宋_GB2312"/>
          <w:b/>
          <w:sz w:val="24"/>
          <w:highlight w:val="none"/>
          <w:lang w:val="en-US" w:eastAsia="zh-CN"/>
        </w:rPr>
        <w:t>五</w:t>
      </w:r>
      <w:r>
        <w:rPr>
          <w:rFonts w:hint="eastAsia" w:eastAsia="仿宋_GB2312"/>
          <w:b/>
          <w:sz w:val="24"/>
          <w:highlight w:val="none"/>
        </w:rPr>
        <w:t>五”时期地质灾害防治</w:t>
      </w:r>
      <w:r>
        <w:rPr>
          <w:rFonts w:hint="eastAsia" w:eastAsia="仿宋_GB2312"/>
          <w:b/>
          <w:sz w:val="24"/>
          <w:highlight w:val="none"/>
          <w:lang w:val="en-US" w:eastAsia="zh-CN"/>
        </w:rPr>
        <w:t>规划重点</w:t>
      </w:r>
      <w:r>
        <w:rPr>
          <w:rFonts w:hint="eastAsia" w:eastAsia="仿宋_GB2312"/>
          <w:b/>
          <w:sz w:val="24"/>
          <w:highlight w:val="none"/>
        </w:rPr>
        <w:t>指标表</w:t>
      </w:r>
    </w:p>
    <w:tbl>
      <w:tblPr>
        <w:tblStyle w:val="32"/>
        <w:tblW w:w="5000" w:type="pct"/>
        <w:tblInd w:w="0" w:type="dxa"/>
        <w:tblLayout w:type="fixed"/>
        <w:tblCellMar>
          <w:top w:w="0" w:type="dxa"/>
          <w:left w:w="0" w:type="dxa"/>
          <w:bottom w:w="0" w:type="dxa"/>
          <w:right w:w="0" w:type="dxa"/>
        </w:tblCellMar>
      </w:tblPr>
      <w:tblGrid>
        <w:gridCol w:w="1415"/>
        <w:gridCol w:w="4957"/>
        <w:gridCol w:w="828"/>
        <w:gridCol w:w="936"/>
        <w:gridCol w:w="943"/>
      </w:tblGrid>
      <w:tr w14:paraId="6CBA02FA">
        <w:tblPrEx>
          <w:tblCellMar>
            <w:top w:w="0" w:type="dxa"/>
            <w:left w:w="0" w:type="dxa"/>
            <w:bottom w:w="0" w:type="dxa"/>
            <w:right w:w="0" w:type="dxa"/>
          </w:tblCellMar>
        </w:tblPrEx>
        <w:trPr>
          <w:trHeight w:val="475" w:hRule="atLeast"/>
        </w:trPr>
        <w:tc>
          <w:tcPr>
            <w:tcW w:w="779" w:type="pct"/>
            <w:tcBorders>
              <w:top w:val="single" w:color="auto" w:sz="4" w:space="0"/>
              <w:left w:val="single" w:color="auto" w:sz="4" w:space="0"/>
              <w:right w:val="single" w:color="auto" w:sz="4" w:space="0"/>
            </w:tcBorders>
            <w:shd w:val="clear" w:color="auto" w:fill="auto"/>
            <w:noWrap/>
            <w:vAlign w:val="center"/>
          </w:tcPr>
          <w:p w14:paraId="1C03BFF1">
            <w:pPr>
              <w:adjustRightInd w:val="0"/>
              <w:snapToGrid w:val="0"/>
              <w:spacing w:line="500" w:lineRule="exact"/>
              <w:jc w:val="center"/>
              <w:rPr>
                <w:rFonts w:eastAsia="仿宋_GB2312"/>
                <w:b/>
                <w:kern w:val="0"/>
                <w:sz w:val="24"/>
                <w:highlight w:val="none"/>
              </w:rPr>
            </w:pPr>
            <w:bookmarkStart w:id="29" w:name="_Toc349826179"/>
            <w:r>
              <w:rPr>
                <w:rFonts w:eastAsia="仿宋_GB2312"/>
                <w:b/>
                <w:kern w:val="0"/>
                <w:sz w:val="24"/>
                <w:highlight w:val="none"/>
              </w:rPr>
              <w:t>类别</w:t>
            </w:r>
          </w:p>
        </w:tc>
        <w:tc>
          <w:tcPr>
            <w:tcW w:w="2729" w:type="pct"/>
            <w:tcBorders>
              <w:top w:val="single" w:color="auto" w:sz="4" w:space="0"/>
              <w:left w:val="nil"/>
              <w:right w:val="single" w:color="auto" w:sz="4" w:space="0"/>
            </w:tcBorders>
            <w:shd w:val="clear" w:color="auto" w:fill="auto"/>
            <w:noWrap/>
            <w:vAlign w:val="center"/>
          </w:tcPr>
          <w:p w14:paraId="415F574B">
            <w:pPr>
              <w:adjustRightInd w:val="0"/>
              <w:snapToGrid w:val="0"/>
              <w:spacing w:line="500" w:lineRule="exact"/>
              <w:jc w:val="center"/>
              <w:rPr>
                <w:rFonts w:eastAsia="仿宋_GB2312"/>
                <w:b/>
                <w:kern w:val="0"/>
                <w:sz w:val="24"/>
                <w:highlight w:val="none"/>
              </w:rPr>
            </w:pPr>
            <w:r>
              <w:rPr>
                <w:rFonts w:eastAsia="仿宋_GB2312"/>
                <w:b/>
                <w:kern w:val="0"/>
                <w:sz w:val="24"/>
                <w:highlight w:val="none"/>
              </w:rPr>
              <w:t>指     标</w:t>
            </w:r>
          </w:p>
        </w:tc>
        <w:tc>
          <w:tcPr>
            <w:tcW w:w="456" w:type="pct"/>
            <w:tcBorders>
              <w:top w:val="single" w:color="auto" w:sz="4" w:space="0"/>
              <w:left w:val="nil"/>
              <w:right w:val="single" w:color="auto" w:sz="4" w:space="0"/>
            </w:tcBorders>
            <w:shd w:val="clear" w:color="auto" w:fill="auto"/>
            <w:noWrap/>
            <w:vAlign w:val="center"/>
          </w:tcPr>
          <w:p w14:paraId="34A54B95">
            <w:pPr>
              <w:adjustRightInd w:val="0"/>
              <w:snapToGrid w:val="0"/>
              <w:spacing w:line="500" w:lineRule="exact"/>
              <w:jc w:val="center"/>
              <w:rPr>
                <w:rFonts w:hint="eastAsia" w:eastAsia="仿宋_GB2312"/>
                <w:b/>
                <w:kern w:val="0"/>
                <w:sz w:val="24"/>
                <w:highlight w:val="none"/>
                <w:lang w:val="en-US" w:eastAsia="zh-CN"/>
              </w:rPr>
            </w:pPr>
            <w:r>
              <w:rPr>
                <w:rFonts w:hint="eastAsia" w:eastAsia="仿宋_GB2312"/>
                <w:b/>
                <w:kern w:val="0"/>
                <w:sz w:val="24"/>
                <w:highlight w:val="none"/>
                <w:lang w:val="en-US" w:eastAsia="zh-CN"/>
              </w:rPr>
              <w:t>单位</w:t>
            </w:r>
          </w:p>
        </w:tc>
        <w:tc>
          <w:tcPr>
            <w:tcW w:w="515" w:type="pct"/>
            <w:tcBorders>
              <w:top w:val="single" w:color="auto" w:sz="4" w:space="0"/>
              <w:left w:val="nil"/>
              <w:right w:val="single" w:color="auto" w:sz="4" w:space="0"/>
            </w:tcBorders>
            <w:shd w:val="clear" w:color="auto" w:fill="auto"/>
            <w:noWrap/>
            <w:vAlign w:val="center"/>
          </w:tcPr>
          <w:p w14:paraId="5712EC04">
            <w:pPr>
              <w:adjustRightInd w:val="0"/>
              <w:snapToGrid w:val="0"/>
              <w:spacing w:line="500" w:lineRule="exact"/>
              <w:jc w:val="center"/>
              <w:rPr>
                <w:rFonts w:eastAsia="仿宋_GB2312"/>
                <w:b/>
                <w:kern w:val="0"/>
                <w:sz w:val="24"/>
                <w:highlight w:val="none"/>
              </w:rPr>
            </w:pPr>
            <w:r>
              <w:rPr>
                <w:rFonts w:eastAsia="仿宋_GB2312"/>
                <w:b/>
                <w:kern w:val="0"/>
                <w:sz w:val="24"/>
                <w:highlight w:val="none"/>
              </w:rPr>
              <w:t>20</w:t>
            </w:r>
            <w:r>
              <w:rPr>
                <w:rFonts w:hint="eastAsia" w:eastAsia="仿宋_GB2312"/>
                <w:b/>
                <w:kern w:val="0"/>
                <w:sz w:val="24"/>
                <w:highlight w:val="none"/>
                <w:lang w:val="en-US" w:eastAsia="zh-CN"/>
              </w:rPr>
              <w:t>30</w:t>
            </w:r>
            <w:r>
              <w:rPr>
                <w:rFonts w:eastAsia="仿宋_GB2312"/>
                <w:b/>
                <w:kern w:val="0"/>
                <w:sz w:val="24"/>
                <w:highlight w:val="none"/>
              </w:rPr>
              <w:t>年</w:t>
            </w:r>
          </w:p>
        </w:tc>
        <w:tc>
          <w:tcPr>
            <w:tcW w:w="519" w:type="pct"/>
            <w:tcBorders>
              <w:top w:val="single" w:color="auto" w:sz="4" w:space="0"/>
              <w:left w:val="nil"/>
              <w:right w:val="single" w:color="auto" w:sz="4" w:space="0"/>
            </w:tcBorders>
            <w:shd w:val="clear" w:color="auto" w:fill="auto"/>
            <w:noWrap/>
            <w:vAlign w:val="center"/>
          </w:tcPr>
          <w:p w14:paraId="6BDCDE15">
            <w:pPr>
              <w:adjustRightInd w:val="0"/>
              <w:snapToGrid w:val="0"/>
              <w:spacing w:line="500" w:lineRule="exact"/>
              <w:jc w:val="center"/>
              <w:rPr>
                <w:rFonts w:eastAsia="仿宋_GB2312"/>
                <w:b/>
                <w:kern w:val="0"/>
                <w:sz w:val="24"/>
                <w:highlight w:val="none"/>
              </w:rPr>
            </w:pPr>
            <w:r>
              <w:rPr>
                <w:rFonts w:eastAsia="仿宋_GB2312"/>
                <w:b/>
                <w:kern w:val="0"/>
                <w:sz w:val="24"/>
                <w:highlight w:val="none"/>
              </w:rPr>
              <w:t>属性</w:t>
            </w:r>
          </w:p>
        </w:tc>
      </w:tr>
      <w:tr w14:paraId="64272BC7">
        <w:tblPrEx>
          <w:tblCellMar>
            <w:top w:w="0" w:type="dxa"/>
            <w:left w:w="0" w:type="dxa"/>
            <w:bottom w:w="0" w:type="dxa"/>
            <w:right w:w="0" w:type="dxa"/>
          </w:tblCellMar>
        </w:tblPrEx>
        <w:trPr>
          <w:trHeight w:val="125" w:hRule="atLeast"/>
        </w:trPr>
        <w:tc>
          <w:tcPr>
            <w:tcW w:w="779" w:type="pct"/>
            <w:vMerge w:val="restart"/>
            <w:tcBorders>
              <w:top w:val="single" w:color="auto" w:sz="4" w:space="0"/>
              <w:left w:val="single" w:color="auto" w:sz="4" w:space="0"/>
              <w:right w:val="single" w:color="auto" w:sz="4" w:space="0"/>
            </w:tcBorders>
            <w:shd w:val="clear" w:color="auto" w:fill="auto"/>
            <w:noWrap/>
            <w:vAlign w:val="center"/>
          </w:tcPr>
          <w:p w14:paraId="50D8DE30">
            <w:pPr>
              <w:widowControl/>
              <w:adjustRightInd w:val="0"/>
              <w:snapToGrid w:val="0"/>
              <w:spacing w:line="500" w:lineRule="exact"/>
              <w:jc w:val="center"/>
              <w:rPr>
                <w:rFonts w:hint="default" w:eastAsia="仿宋_GB2312"/>
                <w:kern w:val="0"/>
                <w:sz w:val="24"/>
                <w:highlight w:val="none"/>
                <w:lang w:val="en-US" w:eastAsia="zh-CN"/>
              </w:rPr>
            </w:pPr>
            <w:r>
              <w:rPr>
                <w:rFonts w:hint="eastAsia" w:eastAsia="仿宋_GB2312"/>
                <w:kern w:val="0"/>
                <w:sz w:val="24"/>
                <w:highlight w:val="none"/>
                <w:lang w:val="en-US" w:eastAsia="zh-CN"/>
              </w:rPr>
              <w:t>调查评价</w:t>
            </w:r>
          </w:p>
        </w:tc>
        <w:tc>
          <w:tcPr>
            <w:tcW w:w="2729" w:type="pct"/>
            <w:tcBorders>
              <w:top w:val="single" w:color="auto" w:sz="4" w:space="0"/>
              <w:left w:val="nil"/>
              <w:bottom w:val="single" w:color="auto" w:sz="4" w:space="0"/>
              <w:right w:val="single" w:color="auto" w:sz="4" w:space="0"/>
            </w:tcBorders>
            <w:shd w:val="clear" w:color="auto" w:fill="auto"/>
            <w:noWrap/>
            <w:vAlign w:val="center"/>
          </w:tcPr>
          <w:p w14:paraId="1AC53235">
            <w:pPr>
              <w:widowControl/>
              <w:adjustRightInd w:val="0"/>
              <w:snapToGrid w:val="0"/>
              <w:spacing w:line="500" w:lineRule="exact"/>
              <w:jc w:val="left"/>
              <w:rPr>
                <w:rFonts w:hint="default" w:eastAsia="仿宋_GB2312"/>
                <w:kern w:val="0"/>
                <w:sz w:val="24"/>
                <w:highlight w:val="none"/>
                <w:lang w:val="en-US"/>
              </w:rPr>
            </w:pPr>
            <w:r>
              <w:rPr>
                <w:rFonts w:hint="eastAsia" w:eastAsia="仿宋_GB2312"/>
                <w:kern w:val="0"/>
                <w:sz w:val="24"/>
                <w:highlight w:val="none"/>
                <w:lang w:val="en-US" w:eastAsia="zh-CN"/>
              </w:rPr>
              <w:t>1:5万</w:t>
            </w:r>
            <w:r>
              <w:rPr>
                <w:rFonts w:eastAsia="仿宋_GB2312"/>
                <w:kern w:val="0"/>
                <w:sz w:val="24"/>
                <w:highlight w:val="none"/>
              </w:rPr>
              <w:t>地质灾害</w:t>
            </w:r>
            <w:r>
              <w:rPr>
                <w:rFonts w:hint="eastAsia" w:eastAsia="仿宋_GB2312"/>
                <w:kern w:val="0"/>
                <w:sz w:val="24"/>
                <w:highlight w:val="none"/>
                <w:lang w:val="en-US" w:eastAsia="zh-CN"/>
              </w:rPr>
              <w:t>更新调查</w:t>
            </w:r>
          </w:p>
        </w:tc>
        <w:tc>
          <w:tcPr>
            <w:tcW w:w="456" w:type="pct"/>
            <w:tcBorders>
              <w:top w:val="single" w:color="auto" w:sz="4" w:space="0"/>
              <w:left w:val="nil"/>
              <w:bottom w:val="single" w:color="auto" w:sz="4" w:space="0"/>
              <w:right w:val="single" w:color="auto" w:sz="4" w:space="0"/>
            </w:tcBorders>
            <w:shd w:val="clear" w:color="auto" w:fill="auto"/>
            <w:noWrap/>
            <w:vAlign w:val="center"/>
          </w:tcPr>
          <w:p w14:paraId="769A3301">
            <w:pPr>
              <w:widowControl/>
              <w:adjustRightInd w:val="0"/>
              <w:snapToGrid w:val="0"/>
              <w:spacing w:line="500" w:lineRule="exact"/>
              <w:jc w:val="center"/>
              <w:rPr>
                <w:rFonts w:hint="eastAsia" w:eastAsia="仿宋_GB2312"/>
                <w:kern w:val="0"/>
                <w:sz w:val="24"/>
                <w:highlight w:val="none"/>
                <w:lang w:val="en-US" w:eastAsia="zh-CN"/>
              </w:rPr>
            </w:pPr>
            <w:r>
              <w:rPr>
                <w:rFonts w:hint="eastAsia" w:eastAsia="仿宋_GB2312"/>
                <w:kern w:val="0"/>
                <w:sz w:val="24"/>
                <w:highlight w:val="none"/>
                <w:lang w:val="en-US" w:eastAsia="zh-CN"/>
              </w:rPr>
              <w:t>县</w:t>
            </w:r>
          </w:p>
        </w:tc>
        <w:tc>
          <w:tcPr>
            <w:tcW w:w="515" w:type="pct"/>
            <w:tcBorders>
              <w:top w:val="single" w:color="auto" w:sz="4" w:space="0"/>
              <w:left w:val="nil"/>
              <w:bottom w:val="single" w:color="auto" w:sz="4" w:space="0"/>
              <w:right w:val="single" w:color="auto" w:sz="4" w:space="0"/>
            </w:tcBorders>
            <w:shd w:val="clear" w:color="auto" w:fill="auto"/>
            <w:noWrap/>
            <w:vAlign w:val="center"/>
          </w:tcPr>
          <w:p w14:paraId="261A9FBC">
            <w:pPr>
              <w:widowControl/>
              <w:adjustRightInd w:val="0"/>
              <w:snapToGrid w:val="0"/>
              <w:spacing w:line="500" w:lineRule="exact"/>
              <w:jc w:val="center"/>
              <w:rPr>
                <w:rFonts w:eastAsia="仿宋_GB2312"/>
                <w:kern w:val="0"/>
                <w:sz w:val="24"/>
                <w:highlight w:val="none"/>
              </w:rPr>
            </w:pPr>
            <w:r>
              <w:rPr>
                <w:rFonts w:hint="eastAsia" w:eastAsia="仿宋_GB2312"/>
                <w:kern w:val="0"/>
                <w:sz w:val="24"/>
                <w:highlight w:val="none"/>
              </w:rPr>
              <w:t>1</w:t>
            </w:r>
          </w:p>
        </w:tc>
        <w:tc>
          <w:tcPr>
            <w:tcW w:w="519" w:type="pct"/>
            <w:tcBorders>
              <w:top w:val="single" w:color="auto" w:sz="4" w:space="0"/>
              <w:left w:val="nil"/>
              <w:bottom w:val="single" w:color="auto" w:sz="4" w:space="0"/>
              <w:right w:val="single" w:color="auto" w:sz="4" w:space="0"/>
            </w:tcBorders>
            <w:shd w:val="clear" w:color="auto" w:fill="auto"/>
            <w:noWrap/>
            <w:vAlign w:val="center"/>
          </w:tcPr>
          <w:p w14:paraId="5C6C4A14">
            <w:pPr>
              <w:widowControl/>
              <w:adjustRightInd w:val="0"/>
              <w:snapToGrid w:val="0"/>
              <w:spacing w:line="500" w:lineRule="exact"/>
              <w:jc w:val="center"/>
              <w:rPr>
                <w:rFonts w:ascii="Times New Roman" w:hAnsi="Times New Roman" w:eastAsia="仿宋_GB2312" w:cs="Times New Roman"/>
                <w:kern w:val="0"/>
                <w:sz w:val="24"/>
                <w:szCs w:val="24"/>
                <w:highlight w:val="none"/>
                <w:lang w:val="en-US" w:eastAsia="zh-CN" w:bidi="ar-SA"/>
              </w:rPr>
            </w:pPr>
            <w:r>
              <w:rPr>
                <w:rFonts w:eastAsia="仿宋_GB2312"/>
                <w:kern w:val="0"/>
                <w:sz w:val="24"/>
                <w:highlight w:val="none"/>
              </w:rPr>
              <w:t>预期性</w:t>
            </w:r>
          </w:p>
        </w:tc>
      </w:tr>
      <w:tr w14:paraId="6CB6615B">
        <w:tblPrEx>
          <w:tblCellMar>
            <w:top w:w="0" w:type="dxa"/>
            <w:left w:w="0" w:type="dxa"/>
            <w:bottom w:w="0" w:type="dxa"/>
            <w:right w:w="0" w:type="dxa"/>
          </w:tblCellMar>
        </w:tblPrEx>
        <w:trPr>
          <w:trHeight w:val="125" w:hRule="atLeast"/>
        </w:trPr>
        <w:tc>
          <w:tcPr>
            <w:tcW w:w="779" w:type="pct"/>
            <w:vMerge w:val="continue"/>
            <w:tcBorders>
              <w:left w:val="single" w:color="auto" w:sz="4" w:space="0"/>
              <w:right w:val="single" w:color="auto" w:sz="4" w:space="0"/>
            </w:tcBorders>
            <w:shd w:val="clear" w:color="auto" w:fill="auto"/>
            <w:noWrap/>
            <w:vAlign w:val="center"/>
          </w:tcPr>
          <w:p w14:paraId="03B7A06E">
            <w:pPr>
              <w:widowControl/>
              <w:adjustRightInd w:val="0"/>
              <w:snapToGrid w:val="0"/>
              <w:spacing w:line="500" w:lineRule="exact"/>
              <w:jc w:val="center"/>
              <w:rPr>
                <w:rFonts w:eastAsia="仿宋_GB2312"/>
                <w:kern w:val="0"/>
                <w:sz w:val="24"/>
                <w:highlight w:val="none"/>
              </w:rPr>
            </w:pPr>
          </w:p>
        </w:tc>
        <w:tc>
          <w:tcPr>
            <w:tcW w:w="2729" w:type="pct"/>
            <w:tcBorders>
              <w:top w:val="single" w:color="auto" w:sz="4" w:space="0"/>
              <w:left w:val="nil"/>
              <w:right w:val="single" w:color="auto" w:sz="4" w:space="0"/>
            </w:tcBorders>
            <w:shd w:val="clear" w:color="auto" w:fill="auto"/>
            <w:noWrap/>
            <w:vAlign w:val="center"/>
          </w:tcPr>
          <w:p w14:paraId="2C1FBF60">
            <w:pPr>
              <w:widowControl/>
              <w:adjustRightInd w:val="0"/>
              <w:snapToGrid w:val="0"/>
              <w:spacing w:line="500" w:lineRule="exact"/>
              <w:jc w:val="left"/>
              <w:rPr>
                <w:rFonts w:hint="default" w:eastAsia="仿宋_GB2312"/>
                <w:kern w:val="0"/>
                <w:sz w:val="24"/>
                <w:highlight w:val="none"/>
                <w:lang w:val="en-US"/>
              </w:rPr>
            </w:pPr>
            <w:r>
              <w:rPr>
                <w:rFonts w:hint="eastAsia" w:eastAsia="仿宋_GB2312"/>
                <w:kern w:val="0"/>
                <w:sz w:val="24"/>
                <w:highlight w:val="none"/>
                <w:lang w:val="en-US" w:eastAsia="zh-CN"/>
              </w:rPr>
              <w:t>克孜勒陶乡-阿克塔拉牧场沿线重点乡镇1:10000地质灾害精细化调查</w:t>
            </w:r>
          </w:p>
        </w:tc>
        <w:tc>
          <w:tcPr>
            <w:tcW w:w="456" w:type="pct"/>
            <w:tcBorders>
              <w:top w:val="single" w:color="auto" w:sz="4" w:space="0"/>
              <w:left w:val="nil"/>
              <w:right w:val="single" w:color="auto" w:sz="4" w:space="0"/>
            </w:tcBorders>
            <w:shd w:val="clear" w:color="auto" w:fill="auto"/>
            <w:noWrap/>
            <w:vAlign w:val="center"/>
          </w:tcPr>
          <w:p w14:paraId="139D3A33">
            <w:pPr>
              <w:widowControl/>
              <w:adjustRightInd w:val="0"/>
              <w:snapToGrid w:val="0"/>
              <w:spacing w:line="500" w:lineRule="exact"/>
              <w:jc w:val="center"/>
              <w:rPr>
                <w:rFonts w:hint="eastAsia" w:eastAsia="仿宋_GB2312"/>
                <w:kern w:val="0"/>
                <w:sz w:val="24"/>
                <w:highlight w:val="none"/>
                <w:lang w:val="en-US" w:eastAsia="zh-CN"/>
              </w:rPr>
            </w:pPr>
            <w:r>
              <w:rPr>
                <w:rFonts w:hint="eastAsia" w:eastAsia="仿宋_GB2312"/>
                <w:kern w:val="0"/>
                <w:sz w:val="24"/>
                <w:highlight w:val="none"/>
                <w:lang w:val="en-US" w:eastAsia="zh-CN"/>
              </w:rPr>
              <w:t>县</w:t>
            </w:r>
          </w:p>
        </w:tc>
        <w:tc>
          <w:tcPr>
            <w:tcW w:w="515" w:type="pct"/>
            <w:tcBorders>
              <w:top w:val="single" w:color="auto" w:sz="4" w:space="0"/>
              <w:left w:val="nil"/>
              <w:right w:val="single" w:color="auto" w:sz="4" w:space="0"/>
            </w:tcBorders>
            <w:shd w:val="clear" w:color="auto" w:fill="auto"/>
            <w:noWrap/>
            <w:vAlign w:val="center"/>
          </w:tcPr>
          <w:p w14:paraId="4EF5208E">
            <w:pPr>
              <w:widowControl/>
              <w:adjustRightInd w:val="0"/>
              <w:snapToGrid w:val="0"/>
              <w:spacing w:line="500" w:lineRule="exact"/>
              <w:jc w:val="center"/>
              <w:rPr>
                <w:rFonts w:eastAsia="仿宋_GB2312"/>
                <w:kern w:val="0"/>
                <w:sz w:val="24"/>
                <w:highlight w:val="none"/>
              </w:rPr>
            </w:pPr>
            <w:r>
              <w:rPr>
                <w:rFonts w:hint="eastAsia" w:eastAsia="仿宋_GB2312"/>
                <w:kern w:val="0"/>
                <w:sz w:val="24"/>
                <w:highlight w:val="none"/>
              </w:rPr>
              <w:t>1</w:t>
            </w:r>
          </w:p>
        </w:tc>
        <w:tc>
          <w:tcPr>
            <w:tcW w:w="519" w:type="pct"/>
            <w:tcBorders>
              <w:top w:val="single" w:color="auto" w:sz="4" w:space="0"/>
              <w:left w:val="nil"/>
              <w:right w:val="single" w:color="auto" w:sz="4" w:space="0"/>
            </w:tcBorders>
            <w:shd w:val="clear" w:color="auto" w:fill="auto"/>
            <w:noWrap/>
            <w:vAlign w:val="center"/>
          </w:tcPr>
          <w:p w14:paraId="3813EB22">
            <w:pPr>
              <w:widowControl/>
              <w:adjustRightInd w:val="0"/>
              <w:snapToGrid w:val="0"/>
              <w:spacing w:line="500" w:lineRule="exact"/>
              <w:jc w:val="center"/>
              <w:rPr>
                <w:rFonts w:ascii="Times New Roman" w:hAnsi="Times New Roman" w:eastAsia="仿宋_GB2312" w:cs="Times New Roman"/>
                <w:kern w:val="0"/>
                <w:sz w:val="24"/>
                <w:szCs w:val="24"/>
                <w:highlight w:val="none"/>
                <w:lang w:val="en-US" w:eastAsia="zh-CN" w:bidi="ar-SA"/>
              </w:rPr>
            </w:pPr>
            <w:r>
              <w:rPr>
                <w:rFonts w:eastAsia="仿宋_GB2312"/>
                <w:kern w:val="0"/>
                <w:sz w:val="24"/>
                <w:highlight w:val="none"/>
              </w:rPr>
              <w:t>预期性</w:t>
            </w:r>
          </w:p>
        </w:tc>
      </w:tr>
      <w:tr w14:paraId="5C4E89F2">
        <w:tblPrEx>
          <w:tblCellMar>
            <w:top w:w="0" w:type="dxa"/>
            <w:left w:w="0" w:type="dxa"/>
            <w:bottom w:w="0" w:type="dxa"/>
            <w:right w:w="0" w:type="dxa"/>
          </w:tblCellMar>
        </w:tblPrEx>
        <w:trPr>
          <w:trHeight w:val="125" w:hRule="atLeast"/>
        </w:trPr>
        <w:tc>
          <w:tcPr>
            <w:tcW w:w="779" w:type="pct"/>
            <w:vMerge w:val="continue"/>
            <w:tcBorders>
              <w:left w:val="single" w:color="auto" w:sz="4" w:space="0"/>
              <w:right w:val="single" w:color="auto" w:sz="4" w:space="0"/>
            </w:tcBorders>
            <w:shd w:val="clear" w:color="auto" w:fill="auto"/>
            <w:noWrap/>
            <w:vAlign w:val="center"/>
          </w:tcPr>
          <w:p w14:paraId="6D0D2D53">
            <w:pPr>
              <w:widowControl/>
              <w:adjustRightInd w:val="0"/>
              <w:snapToGrid w:val="0"/>
              <w:spacing w:line="500" w:lineRule="exact"/>
              <w:jc w:val="center"/>
              <w:rPr>
                <w:rFonts w:eastAsia="仿宋_GB2312"/>
                <w:kern w:val="0"/>
                <w:sz w:val="24"/>
                <w:highlight w:val="none"/>
              </w:rPr>
            </w:pPr>
          </w:p>
        </w:tc>
        <w:tc>
          <w:tcPr>
            <w:tcW w:w="2729" w:type="pct"/>
            <w:tcBorders>
              <w:top w:val="single" w:color="auto" w:sz="4" w:space="0"/>
              <w:left w:val="nil"/>
              <w:right w:val="single" w:color="auto" w:sz="4" w:space="0"/>
            </w:tcBorders>
            <w:shd w:val="clear" w:color="auto" w:fill="auto"/>
            <w:noWrap/>
            <w:vAlign w:val="center"/>
          </w:tcPr>
          <w:p w14:paraId="3EE9F340">
            <w:pPr>
              <w:widowControl/>
              <w:adjustRightInd w:val="0"/>
              <w:snapToGrid w:val="0"/>
              <w:spacing w:line="500" w:lineRule="exact"/>
              <w:jc w:val="left"/>
              <w:rPr>
                <w:rFonts w:hint="default" w:eastAsia="仿宋_GB2312"/>
                <w:kern w:val="0"/>
                <w:sz w:val="24"/>
                <w:highlight w:val="none"/>
                <w:lang w:val="en-US" w:eastAsia="zh-CN"/>
              </w:rPr>
            </w:pPr>
            <w:r>
              <w:rPr>
                <w:rFonts w:hint="default" w:eastAsia="仿宋_GB2312"/>
                <w:kern w:val="0"/>
                <w:sz w:val="24"/>
                <w:highlight w:val="none"/>
                <w:lang w:val="en-US" w:eastAsia="zh-CN"/>
              </w:rPr>
              <w:t>布伦口乡</w:t>
            </w:r>
            <w:r>
              <w:rPr>
                <w:rFonts w:hint="eastAsia" w:eastAsia="仿宋_GB2312"/>
                <w:kern w:val="0"/>
                <w:sz w:val="24"/>
                <w:highlight w:val="none"/>
                <w:lang w:val="en-US" w:eastAsia="zh-CN"/>
              </w:rPr>
              <w:t>重点乡镇1:10000地质灾害精细化调查</w:t>
            </w:r>
          </w:p>
        </w:tc>
        <w:tc>
          <w:tcPr>
            <w:tcW w:w="456" w:type="pct"/>
            <w:tcBorders>
              <w:top w:val="single" w:color="auto" w:sz="4" w:space="0"/>
              <w:left w:val="nil"/>
              <w:right w:val="single" w:color="auto" w:sz="4" w:space="0"/>
            </w:tcBorders>
            <w:shd w:val="clear" w:color="auto" w:fill="auto"/>
            <w:noWrap/>
            <w:vAlign w:val="center"/>
          </w:tcPr>
          <w:p w14:paraId="4023BBBA">
            <w:pPr>
              <w:widowControl/>
              <w:adjustRightInd w:val="0"/>
              <w:snapToGrid w:val="0"/>
              <w:spacing w:line="500" w:lineRule="exact"/>
              <w:jc w:val="center"/>
              <w:rPr>
                <w:rFonts w:hint="default" w:eastAsia="仿宋_GB2312"/>
                <w:kern w:val="0"/>
                <w:sz w:val="24"/>
                <w:highlight w:val="none"/>
                <w:lang w:val="en-US" w:eastAsia="zh-CN"/>
              </w:rPr>
            </w:pPr>
            <w:r>
              <w:rPr>
                <w:rFonts w:hint="eastAsia" w:eastAsia="仿宋_GB2312"/>
                <w:kern w:val="0"/>
                <w:sz w:val="24"/>
                <w:highlight w:val="none"/>
                <w:lang w:val="en-US" w:eastAsia="zh-CN"/>
              </w:rPr>
              <w:t>县</w:t>
            </w:r>
          </w:p>
        </w:tc>
        <w:tc>
          <w:tcPr>
            <w:tcW w:w="515" w:type="pct"/>
            <w:tcBorders>
              <w:top w:val="single" w:color="auto" w:sz="4" w:space="0"/>
              <w:left w:val="nil"/>
              <w:right w:val="single" w:color="auto" w:sz="4" w:space="0"/>
            </w:tcBorders>
            <w:shd w:val="clear" w:color="auto" w:fill="auto"/>
            <w:noWrap/>
            <w:vAlign w:val="center"/>
          </w:tcPr>
          <w:p w14:paraId="6B386009">
            <w:pPr>
              <w:widowControl/>
              <w:adjustRightInd w:val="0"/>
              <w:snapToGrid w:val="0"/>
              <w:spacing w:line="500" w:lineRule="exact"/>
              <w:jc w:val="center"/>
              <w:rPr>
                <w:rFonts w:hint="eastAsia" w:eastAsia="仿宋_GB2312"/>
                <w:kern w:val="0"/>
                <w:sz w:val="24"/>
                <w:highlight w:val="none"/>
                <w:lang w:eastAsia="zh-CN"/>
              </w:rPr>
            </w:pPr>
            <w:r>
              <w:rPr>
                <w:rFonts w:hint="eastAsia" w:eastAsia="仿宋_GB2312"/>
                <w:kern w:val="0"/>
                <w:sz w:val="24"/>
                <w:highlight w:val="none"/>
                <w:lang w:val="en-US" w:eastAsia="zh-CN"/>
              </w:rPr>
              <w:t>1</w:t>
            </w:r>
          </w:p>
        </w:tc>
        <w:tc>
          <w:tcPr>
            <w:tcW w:w="519" w:type="pct"/>
            <w:tcBorders>
              <w:top w:val="single" w:color="auto" w:sz="4" w:space="0"/>
              <w:left w:val="nil"/>
              <w:right w:val="single" w:color="auto" w:sz="4" w:space="0"/>
            </w:tcBorders>
            <w:shd w:val="clear" w:color="auto" w:fill="auto"/>
            <w:noWrap/>
            <w:vAlign w:val="center"/>
          </w:tcPr>
          <w:p w14:paraId="5A92DC89">
            <w:pPr>
              <w:widowControl/>
              <w:adjustRightInd w:val="0"/>
              <w:snapToGrid w:val="0"/>
              <w:spacing w:line="500" w:lineRule="exact"/>
              <w:jc w:val="center"/>
              <w:rPr>
                <w:rFonts w:eastAsia="仿宋_GB2312"/>
                <w:kern w:val="0"/>
                <w:sz w:val="24"/>
                <w:highlight w:val="none"/>
              </w:rPr>
            </w:pPr>
            <w:r>
              <w:rPr>
                <w:rFonts w:eastAsia="仿宋_GB2312"/>
                <w:kern w:val="0"/>
                <w:sz w:val="24"/>
                <w:highlight w:val="none"/>
              </w:rPr>
              <w:t>预期性</w:t>
            </w:r>
          </w:p>
        </w:tc>
      </w:tr>
      <w:tr w14:paraId="47EE7C62">
        <w:tblPrEx>
          <w:tblCellMar>
            <w:top w:w="0" w:type="dxa"/>
            <w:left w:w="0" w:type="dxa"/>
            <w:bottom w:w="0" w:type="dxa"/>
            <w:right w:w="0" w:type="dxa"/>
          </w:tblCellMar>
        </w:tblPrEx>
        <w:trPr>
          <w:trHeight w:val="125" w:hRule="atLeast"/>
        </w:trPr>
        <w:tc>
          <w:tcPr>
            <w:tcW w:w="779" w:type="pct"/>
            <w:vMerge w:val="restart"/>
            <w:tcBorders>
              <w:top w:val="single" w:color="auto" w:sz="4" w:space="0"/>
              <w:left w:val="single" w:color="auto" w:sz="4" w:space="0"/>
              <w:right w:val="single" w:color="auto" w:sz="4" w:space="0"/>
            </w:tcBorders>
            <w:shd w:val="clear" w:color="auto" w:fill="auto"/>
            <w:noWrap/>
            <w:vAlign w:val="center"/>
          </w:tcPr>
          <w:p w14:paraId="468CA800">
            <w:pPr>
              <w:widowControl/>
              <w:adjustRightInd w:val="0"/>
              <w:snapToGrid w:val="0"/>
              <w:spacing w:line="500" w:lineRule="exact"/>
              <w:jc w:val="center"/>
              <w:rPr>
                <w:rFonts w:eastAsia="仿宋_GB2312"/>
                <w:kern w:val="0"/>
                <w:sz w:val="24"/>
                <w:highlight w:val="none"/>
              </w:rPr>
            </w:pPr>
            <w:r>
              <w:rPr>
                <w:rFonts w:eastAsia="仿宋_GB2312"/>
                <w:kern w:val="0"/>
                <w:sz w:val="24"/>
                <w:highlight w:val="none"/>
              </w:rPr>
              <w:t>监测预警</w:t>
            </w:r>
          </w:p>
        </w:tc>
        <w:tc>
          <w:tcPr>
            <w:tcW w:w="2729" w:type="pct"/>
            <w:tcBorders>
              <w:top w:val="single" w:color="auto" w:sz="4" w:space="0"/>
              <w:left w:val="nil"/>
              <w:right w:val="single" w:color="auto" w:sz="4" w:space="0"/>
            </w:tcBorders>
            <w:shd w:val="clear" w:color="auto" w:fill="auto"/>
            <w:noWrap/>
            <w:vAlign w:val="center"/>
          </w:tcPr>
          <w:p w14:paraId="1605DDAB">
            <w:pPr>
              <w:widowControl/>
              <w:adjustRightInd w:val="0"/>
              <w:snapToGrid w:val="0"/>
              <w:spacing w:line="500" w:lineRule="exact"/>
              <w:jc w:val="left"/>
              <w:rPr>
                <w:rFonts w:hint="eastAsia" w:eastAsia="仿宋_GB2312"/>
                <w:kern w:val="0"/>
                <w:sz w:val="24"/>
                <w:highlight w:val="none"/>
                <w:lang w:val="en-US" w:eastAsia="zh-CN"/>
              </w:rPr>
            </w:pPr>
            <w:r>
              <w:rPr>
                <w:rFonts w:eastAsia="仿宋_GB2312"/>
                <w:kern w:val="0"/>
                <w:sz w:val="24"/>
                <w:highlight w:val="none"/>
              </w:rPr>
              <w:t>地质灾害隐患监测预警</w:t>
            </w:r>
            <w:r>
              <w:rPr>
                <w:rFonts w:hint="eastAsia" w:eastAsia="仿宋_GB2312"/>
                <w:kern w:val="0"/>
                <w:sz w:val="24"/>
                <w:highlight w:val="none"/>
                <w:lang w:val="en-US" w:eastAsia="zh-CN"/>
              </w:rPr>
              <w:t>网</w:t>
            </w:r>
            <w:r>
              <w:rPr>
                <w:rFonts w:eastAsia="仿宋_GB2312"/>
                <w:kern w:val="0"/>
                <w:sz w:val="24"/>
                <w:highlight w:val="none"/>
              </w:rPr>
              <w:t>点</w:t>
            </w:r>
            <w:r>
              <w:rPr>
                <w:rFonts w:hint="eastAsia" w:eastAsia="仿宋_GB2312"/>
                <w:kern w:val="0"/>
                <w:sz w:val="24"/>
                <w:highlight w:val="none"/>
                <w:lang w:val="en-US" w:eastAsia="zh-CN"/>
              </w:rPr>
              <w:t>建设</w:t>
            </w:r>
          </w:p>
        </w:tc>
        <w:tc>
          <w:tcPr>
            <w:tcW w:w="456" w:type="pct"/>
            <w:tcBorders>
              <w:top w:val="single" w:color="auto" w:sz="4" w:space="0"/>
              <w:left w:val="nil"/>
              <w:right w:val="single" w:color="auto" w:sz="4" w:space="0"/>
            </w:tcBorders>
            <w:shd w:val="clear" w:color="auto" w:fill="auto"/>
            <w:noWrap/>
            <w:vAlign w:val="center"/>
          </w:tcPr>
          <w:p w14:paraId="18E2CEEB">
            <w:pPr>
              <w:widowControl/>
              <w:adjustRightInd w:val="0"/>
              <w:snapToGrid w:val="0"/>
              <w:spacing w:line="500" w:lineRule="exact"/>
              <w:jc w:val="center"/>
              <w:rPr>
                <w:rFonts w:hint="eastAsia" w:eastAsia="仿宋_GB2312"/>
                <w:kern w:val="0"/>
                <w:sz w:val="24"/>
                <w:highlight w:val="none"/>
                <w:lang w:val="en-US" w:eastAsia="zh-CN"/>
              </w:rPr>
            </w:pPr>
            <w:r>
              <w:rPr>
                <w:rFonts w:hint="eastAsia" w:eastAsia="仿宋_GB2312"/>
                <w:kern w:val="0"/>
                <w:sz w:val="24"/>
                <w:highlight w:val="none"/>
                <w:lang w:val="en-US" w:eastAsia="zh-CN"/>
              </w:rPr>
              <w:t>处</w:t>
            </w:r>
          </w:p>
        </w:tc>
        <w:tc>
          <w:tcPr>
            <w:tcW w:w="515" w:type="pct"/>
            <w:tcBorders>
              <w:top w:val="single" w:color="auto" w:sz="4" w:space="0"/>
              <w:left w:val="nil"/>
              <w:right w:val="single" w:color="auto" w:sz="4" w:space="0"/>
            </w:tcBorders>
            <w:shd w:val="clear" w:color="auto" w:fill="auto"/>
            <w:noWrap/>
            <w:vAlign w:val="center"/>
          </w:tcPr>
          <w:p w14:paraId="51A75B16">
            <w:pPr>
              <w:widowControl/>
              <w:adjustRightInd w:val="0"/>
              <w:snapToGrid w:val="0"/>
              <w:spacing w:line="500" w:lineRule="exact"/>
              <w:jc w:val="center"/>
              <w:rPr>
                <w:rFonts w:hint="default" w:eastAsia="仿宋_GB2312"/>
                <w:kern w:val="0"/>
                <w:sz w:val="24"/>
                <w:highlight w:val="none"/>
                <w:lang w:val="en-US" w:eastAsia="zh-CN"/>
              </w:rPr>
            </w:pPr>
            <w:r>
              <w:rPr>
                <w:rFonts w:hint="eastAsia" w:eastAsia="仿宋_GB2312"/>
                <w:kern w:val="0"/>
                <w:sz w:val="24"/>
                <w:highlight w:val="none"/>
                <w:lang w:val="en-US" w:eastAsia="zh-CN"/>
              </w:rPr>
              <w:t>39</w:t>
            </w:r>
          </w:p>
        </w:tc>
        <w:tc>
          <w:tcPr>
            <w:tcW w:w="519" w:type="pct"/>
            <w:tcBorders>
              <w:top w:val="single" w:color="auto" w:sz="4" w:space="0"/>
              <w:left w:val="nil"/>
              <w:right w:val="single" w:color="auto" w:sz="4" w:space="0"/>
            </w:tcBorders>
            <w:shd w:val="clear" w:color="auto" w:fill="auto"/>
            <w:noWrap/>
            <w:vAlign w:val="center"/>
          </w:tcPr>
          <w:p w14:paraId="0F5529DC">
            <w:pPr>
              <w:widowControl/>
              <w:adjustRightInd w:val="0"/>
              <w:snapToGrid w:val="0"/>
              <w:spacing w:line="500" w:lineRule="exact"/>
              <w:jc w:val="center"/>
              <w:rPr>
                <w:rFonts w:eastAsia="仿宋_GB2312"/>
                <w:kern w:val="0"/>
                <w:sz w:val="24"/>
                <w:highlight w:val="none"/>
              </w:rPr>
            </w:pPr>
            <w:r>
              <w:rPr>
                <w:rFonts w:eastAsia="仿宋_GB2312"/>
                <w:kern w:val="0"/>
                <w:sz w:val="24"/>
                <w:highlight w:val="none"/>
              </w:rPr>
              <w:t>预期性</w:t>
            </w:r>
          </w:p>
        </w:tc>
      </w:tr>
      <w:tr w14:paraId="724BC238">
        <w:tblPrEx>
          <w:tblCellMar>
            <w:top w:w="0" w:type="dxa"/>
            <w:left w:w="0" w:type="dxa"/>
            <w:bottom w:w="0" w:type="dxa"/>
            <w:right w:w="0" w:type="dxa"/>
          </w:tblCellMar>
        </w:tblPrEx>
        <w:trPr>
          <w:trHeight w:val="125" w:hRule="atLeast"/>
        </w:trPr>
        <w:tc>
          <w:tcPr>
            <w:tcW w:w="779" w:type="pct"/>
            <w:vMerge w:val="continue"/>
            <w:tcBorders>
              <w:left w:val="single" w:color="auto" w:sz="4" w:space="0"/>
              <w:right w:val="single" w:color="auto" w:sz="4" w:space="0"/>
            </w:tcBorders>
            <w:shd w:val="clear" w:color="auto" w:fill="auto"/>
            <w:noWrap/>
            <w:vAlign w:val="center"/>
          </w:tcPr>
          <w:p w14:paraId="2FFFC4C1">
            <w:pPr>
              <w:widowControl/>
              <w:adjustRightInd w:val="0"/>
              <w:snapToGrid w:val="0"/>
              <w:spacing w:line="500" w:lineRule="exact"/>
              <w:jc w:val="center"/>
              <w:rPr>
                <w:rFonts w:eastAsia="仿宋_GB2312"/>
                <w:kern w:val="0"/>
                <w:sz w:val="24"/>
                <w:highlight w:val="none"/>
              </w:rPr>
            </w:pPr>
          </w:p>
        </w:tc>
        <w:tc>
          <w:tcPr>
            <w:tcW w:w="2729" w:type="pct"/>
            <w:tcBorders>
              <w:top w:val="single" w:color="auto" w:sz="4" w:space="0"/>
              <w:left w:val="nil"/>
              <w:bottom w:val="single" w:color="auto" w:sz="4" w:space="0"/>
              <w:right w:val="single" w:color="auto" w:sz="4" w:space="0"/>
            </w:tcBorders>
            <w:shd w:val="clear" w:color="auto" w:fill="auto"/>
            <w:noWrap/>
            <w:vAlign w:val="center"/>
          </w:tcPr>
          <w:p w14:paraId="4C20254E">
            <w:pPr>
              <w:widowControl/>
              <w:adjustRightInd w:val="0"/>
              <w:snapToGrid w:val="0"/>
              <w:spacing w:line="500" w:lineRule="exact"/>
              <w:jc w:val="left"/>
              <w:rPr>
                <w:rFonts w:eastAsia="仿宋_GB2312"/>
                <w:kern w:val="0"/>
                <w:sz w:val="24"/>
                <w:highlight w:val="none"/>
              </w:rPr>
            </w:pPr>
            <w:r>
              <w:rPr>
                <w:rFonts w:eastAsia="仿宋_GB2312"/>
                <w:kern w:val="0"/>
                <w:sz w:val="24"/>
                <w:highlight w:val="none"/>
              </w:rPr>
              <w:t>易发区地质灾害气象风险预警精准度、时效性、覆盖率</w:t>
            </w:r>
          </w:p>
        </w:tc>
        <w:tc>
          <w:tcPr>
            <w:tcW w:w="456" w:type="pct"/>
            <w:tcBorders>
              <w:top w:val="single" w:color="auto" w:sz="4" w:space="0"/>
              <w:left w:val="nil"/>
              <w:bottom w:val="single" w:color="auto" w:sz="4" w:space="0"/>
              <w:right w:val="single" w:color="auto" w:sz="4" w:space="0"/>
            </w:tcBorders>
            <w:shd w:val="clear" w:color="auto" w:fill="auto"/>
            <w:noWrap/>
            <w:vAlign w:val="center"/>
          </w:tcPr>
          <w:p w14:paraId="15EF4493">
            <w:pPr>
              <w:widowControl/>
              <w:adjustRightInd w:val="0"/>
              <w:snapToGrid w:val="0"/>
              <w:spacing w:line="500" w:lineRule="exact"/>
              <w:jc w:val="center"/>
              <w:rPr>
                <w:rFonts w:hint="eastAsia" w:eastAsia="仿宋_GB2312"/>
                <w:kern w:val="0"/>
                <w:sz w:val="24"/>
                <w:highlight w:val="none"/>
                <w:lang w:val="en-US" w:eastAsia="zh-CN"/>
              </w:rPr>
            </w:pPr>
            <w:r>
              <w:rPr>
                <w:rFonts w:hint="eastAsia" w:eastAsia="仿宋_GB2312"/>
                <w:kern w:val="0"/>
                <w:sz w:val="24"/>
                <w:highlight w:val="none"/>
                <w:lang w:val="en-US" w:eastAsia="zh-CN"/>
              </w:rPr>
              <w:t>%</w:t>
            </w:r>
          </w:p>
        </w:tc>
        <w:tc>
          <w:tcPr>
            <w:tcW w:w="515" w:type="pct"/>
            <w:tcBorders>
              <w:top w:val="single" w:color="auto" w:sz="4" w:space="0"/>
              <w:left w:val="nil"/>
              <w:bottom w:val="single" w:color="auto" w:sz="4" w:space="0"/>
              <w:right w:val="single" w:color="auto" w:sz="4" w:space="0"/>
            </w:tcBorders>
            <w:shd w:val="clear" w:color="auto" w:fill="auto"/>
            <w:noWrap/>
            <w:vAlign w:val="center"/>
          </w:tcPr>
          <w:p w14:paraId="73575BC5">
            <w:pPr>
              <w:widowControl/>
              <w:adjustRightInd w:val="0"/>
              <w:snapToGrid w:val="0"/>
              <w:spacing w:line="500" w:lineRule="exact"/>
              <w:jc w:val="center"/>
              <w:rPr>
                <w:rFonts w:eastAsia="仿宋_GB2312"/>
                <w:kern w:val="0"/>
                <w:sz w:val="24"/>
                <w:highlight w:val="none"/>
              </w:rPr>
            </w:pPr>
            <w:r>
              <w:rPr>
                <w:rFonts w:eastAsia="仿宋_GB2312"/>
                <w:kern w:val="0"/>
                <w:sz w:val="24"/>
                <w:highlight w:val="none"/>
              </w:rPr>
              <w:t>100</w:t>
            </w:r>
          </w:p>
        </w:tc>
        <w:tc>
          <w:tcPr>
            <w:tcW w:w="519" w:type="pct"/>
            <w:tcBorders>
              <w:top w:val="single" w:color="auto" w:sz="4" w:space="0"/>
              <w:left w:val="nil"/>
              <w:bottom w:val="single" w:color="auto" w:sz="4" w:space="0"/>
              <w:right w:val="single" w:color="auto" w:sz="4" w:space="0"/>
            </w:tcBorders>
            <w:shd w:val="clear" w:color="auto" w:fill="auto"/>
            <w:noWrap/>
            <w:vAlign w:val="center"/>
          </w:tcPr>
          <w:p w14:paraId="1617E874">
            <w:pPr>
              <w:widowControl/>
              <w:adjustRightInd w:val="0"/>
              <w:snapToGrid w:val="0"/>
              <w:spacing w:line="500" w:lineRule="exact"/>
              <w:jc w:val="center"/>
              <w:rPr>
                <w:rFonts w:eastAsia="仿宋_GB2312"/>
                <w:kern w:val="0"/>
                <w:sz w:val="24"/>
                <w:highlight w:val="none"/>
              </w:rPr>
            </w:pPr>
            <w:r>
              <w:rPr>
                <w:rFonts w:eastAsia="仿宋_GB2312"/>
                <w:kern w:val="0"/>
                <w:sz w:val="24"/>
                <w:highlight w:val="none"/>
              </w:rPr>
              <w:t>预期性</w:t>
            </w:r>
          </w:p>
        </w:tc>
      </w:tr>
      <w:tr w14:paraId="366F54D2">
        <w:tblPrEx>
          <w:tblCellMar>
            <w:top w:w="0" w:type="dxa"/>
            <w:left w:w="0" w:type="dxa"/>
            <w:bottom w:w="0" w:type="dxa"/>
            <w:right w:w="0" w:type="dxa"/>
          </w:tblCellMar>
        </w:tblPrEx>
        <w:trPr>
          <w:trHeight w:val="392" w:hRule="atLeast"/>
        </w:trPr>
        <w:tc>
          <w:tcPr>
            <w:tcW w:w="779" w:type="pct"/>
            <w:vMerge w:val="restart"/>
            <w:tcBorders>
              <w:top w:val="single" w:color="auto" w:sz="4" w:space="0"/>
              <w:left w:val="single" w:color="auto" w:sz="4" w:space="0"/>
              <w:right w:val="single" w:color="auto" w:sz="4" w:space="0"/>
            </w:tcBorders>
            <w:shd w:val="clear" w:color="auto" w:fill="auto"/>
            <w:noWrap/>
            <w:vAlign w:val="center"/>
          </w:tcPr>
          <w:p w14:paraId="13F2C24C">
            <w:pPr>
              <w:widowControl/>
              <w:adjustRightInd w:val="0"/>
              <w:snapToGrid w:val="0"/>
              <w:spacing w:line="500" w:lineRule="exact"/>
              <w:jc w:val="center"/>
              <w:rPr>
                <w:rFonts w:hint="eastAsia" w:eastAsia="仿宋_GB2312"/>
                <w:kern w:val="0"/>
                <w:sz w:val="24"/>
                <w:highlight w:val="none"/>
                <w:lang w:eastAsia="zh-CN"/>
              </w:rPr>
            </w:pPr>
            <w:r>
              <w:rPr>
                <w:rFonts w:eastAsia="仿宋_GB2312"/>
                <w:kern w:val="0"/>
                <w:sz w:val="24"/>
                <w:highlight w:val="none"/>
              </w:rPr>
              <w:t>综合</w:t>
            </w:r>
            <w:r>
              <w:rPr>
                <w:rFonts w:hint="eastAsia" w:eastAsia="仿宋_GB2312"/>
                <w:kern w:val="0"/>
                <w:sz w:val="24"/>
                <w:highlight w:val="none"/>
                <w:lang w:val="en-US" w:eastAsia="zh-CN"/>
              </w:rPr>
              <w:t>防治</w:t>
            </w:r>
          </w:p>
        </w:tc>
        <w:tc>
          <w:tcPr>
            <w:tcW w:w="2729" w:type="pct"/>
            <w:tcBorders>
              <w:top w:val="single" w:color="auto" w:sz="4" w:space="0"/>
              <w:left w:val="nil"/>
              <w:right w:val="single" w:color="auto" w:sz="4" w:space="0"/>
            </w:tcBorders>
            <w:shd w:val="clear" w:color="auto" w:fill="auto"/>
            <w:noWrap/>
            <w:vAlign w:val="center"/>
          </w:tcPr>
          <w:p w14:paraId="24DA2BFC">
            <w:pPr>
              <w:adjustRightInd w:val="0"/>
              <w:snapToGrid w:val="0"/>
              <w:spacing w:line="500" w:lineRule="exact"/>
              <w:jc w:val="left"/>
              <w:rPr>
                <w:rFonts w:hint="default" w:eastAsia="仿宋_GB2312"/>
                <w:kern w:val="0"/>
                <w:sz w:val="24"/>
                <w:highlight w:val="none"/>
                <w:lang w:val="en-US" w:eastAsia="zh-CN"/>
              </w:rPr>
            </w:pPr>
            <w:r>
              <w:rPr>
                <w:rFonts w:hint="eastAsia" w:eastAsia="仿宋_GB2312"/>
                <w:kern w:val="0"/>
                <w:sz w:val="24"/>
                <w:highlight w:val="none"/>
                <w:lang w:val="en-US" w:eastAsia="zh-CN"/>
              </w:rPr>
              <w:t>新增地质灾害隐患处置率</w:t>
            </w:r>
          </w:p>
        </w:tc>
        <w:tc>
          <w:tcPr>
            <w:tcW w:w="456" w:type="pct"/>
            <w:tcBorders>
              <w:top w:val="single" w:color="auto" w:sz="4" w:space="0"/>
              <w:left w:val="nil"/>
              <w:right w:val="single" w:color="auto" w:sz="4" w:space="0"/>
            </w:tcBorders>
            <w:shd w:val="clear" w:color="auto" w:fill="auto"/>
            <w:noWrap/>
            <w:vAlign w:val="center"/>
          </w:tcPr>
          <w:p w14:paraId="5C176480">
            <w:pPr>
              <w:adjustRightInd w:val="0"/>
              <w:snapToGrid w:val="0"/>
              <w:spacing w:line="500" w:lineRule="exact"/>
              <w:jc w:val="center"/>
              <w:rPr>
                <w:rFonts w:hint="eastAsia" w:eastAsia="仿宋_GB2312"/>
                <w:kern w:val="0"/>
                <w:sz w:val="24"/>
                <w:highlight w:val="none"/>
                <w:lang w:val="en-US" w:eastAsia="zh-CN"/>
              </w:rPr>
            </w:pPr>
            <w:r>
              <w:rPr>
                <w:rFonts w:hint="eastAsia" w:eastAsia="仿宋_GB2312"/>
                <w:kern w:val="0"/>
                <w:sz w:val="24"/>
                <w:highlight w:val="none"/>
                <w:lang w:val="en-US" w:eastAsia="zh-CN"/>
              </w:rPr>
              <w:t>%</w:t>
            </w:r>
          </w:p>
        </w:tc>
        <w:tc>
          <w:tcPr>
            <w:tcW w:w="515" w:type="pct"/>
            <w:tcBorders>
              <w:top w:val="single" w:color="auto" w:sz="4" w:space="0"/>
              <w:left w:val="nil"/>
              <w:right w:val="single" w:color="auto" w:sz="4" w:space="0"/>
            </w:tcBorders>
            <w:shd w:val="clear" w:color="auto" w:fill="auto"/>
            <w:noWrap/>
            <w:vAlign w:val="center"/>
          </w:tcPr>
          <w:p w14:paraId="612C969E">
            <w:pPr>
              <w:adjustRightInd w:val="0"/>
              <w:snapToGrid w:val="0"/>
              <w:spacing w:line="500" w:lineRule="exact"/>
              <w:jc w:val="center"/>
              <w:rPr>
                <w:rFonts w:hint="default" w:eastAsia="仿宋_GB2312"/>
                <w:kern w:val="0"/>
                <w:sz w:val="24"/>
                <w:highlight w:val="none"/>
                <w:lang w:val="en-US" w:eastAsia="zh-CN"/>
              </w:rPr>
            </w:pPr>
            <w:r>
              <w:rPr>
                <w:rFonts w:hint="eastAsia" w:eastAsia="仿宋_GB2312"/>
                <w:kern w:val="0"/>
                <w:sz w:val="24"/>
                <w:highlight w:val="none"/>
                <w:lang w:val="en-US" w:eastAsia="zh-CN"/>
              </w:rPr>
              <w:t>100</w:t>
            </w:r>
          </w:p>
        </w:tc>
        <w:tc>
          <w:tcPr>
            <w:tcW w:w="519" w:type="pct"/>
            <w:tcBorders>
              <w:top w:val="single" w:color="auto" w:sz="4" w:space="0"/>
              <w:left w:val="nil"/>
              <w:right w:val="single" w:color="auto" w:sz="4" w:space="0"/>
            </w:tcBorders>
            <w:shd w:val="clear" w:color="auto" w:fill="auto"/>
            <w:noWrap/>
            <w:vAlign w:val="center"/>
          </w:tcPr>
          <w:p w14:paraId="27163C34">
            <w:pPr>
              <w:adjustRightInd w:val="0"/>
              <w:snapToGrid w:val="0"/>
              <w:spacing w:line="500" w:lineRule="exact"/>
              <w:jc w:val="center"/>
              <w:rPr>
                <w:rFonts w:eastAsia="仿宋_GB2312"/>
                <w:kern w:val="0"/>
                <w:sz w:val="24"/>
                <w:highlight w:val="none"/>
              </w:rPr>
            </w:pPr>
            <w:r>
              <w:rPr>
                <w:rFonts w:eastAsia="仿宋_GB2312"/>
                <w:kern w:val="0"/>
                <w:sz w:val="24"/>
                <w:highlight w:val="none"/>
              </w:rPr>
              <w:t>预期性</w:t>
            </w:r>
          </w:p>
        </w:tc>
      </w:tr>
      <w:tr w14:paraId="1CD74729">
        <w:tblPrEx>
          <w:tblCellMar>
            <w:top w:w="0" w:type="dxa"/>
            <w:left w:w="0" w:type="dxa"/>
            <w:bottom w:w="0" w:type="dxa"/>
            <w:right w:w="0" w:type="dxa"/>
          </w:tblCellMar>
        </w:tblPrEx>
        <w:trPr>
          <w:trHeight w:val="392" w:hRule="atLeast"/>
        </w:trPr>
        <w:tc>
          <w:tcPr>
            <w:tcW w:w="779" w:type="pct"/>
            <w:vMerge w:val="continue"/>
            <w:tcBorders>
              <w:left w:val="single" w:color="auto" w:sz="4" w:space="0"/>
              <w:right w:val="single" w:color="auto" w:sz="4" w:space="0"/>
            </w:tcBorders>
            <w:shd w:val="clear" w:color="auto" w:fill="auto"/>
            <w:noWrap/>
            <w:vAlign w:val="center"/>
          </w:tcPr>
          <w:p w14:paraId="5CFBC292">
            <w:pPr>
              <w:widowControl/>
              <w:adjustRightInd w:val="0"/>
              <w:snapToGrid w:val="0"/>
              <w:spacing w:line="500" w:lineRule="exact"/>
              <w:jc w:val="center"/>
              <w:rPr>
                <w:rFonts w:eastAsia="仿宋_GB2312"/>
                <w:kern w:val="0"/>
                <w:sz w:val="24"/>
                <w:highlight w:val="none"/>
              </w:rPr>
            </w:pPr>
          </w:p>
        </w:tc>
        <w:tc>
          <w:tcPr>
            <w:tcW w:w="2729" w:type="pct"/>
            <w:tcBorders>
              <w:top w:val="single" w:color="auto" w:sz="4" w:space="0"/>
              <w:left w:val="nil"/>
              <w:right w:val="single" w:color="auto" w:sz="4" w:space="0"/>
            </w:tcBorders>
            <w:shd w:val="clear" w:color="auto" w:fill="auto"/>
            <w:noWrap/>
            <w:vAlign w:val="center"/>
          </w:tcPr>
          <w:p w14:paraId="60BC4E82">
            <w:pPr>
              <w:adjustRightInd w:val="0"/>
              <w:snapToGrid w:val="0"/>
              <w:spacing w:line="500" w:lineRule="exact"/>
              <w:jc w:val="left"/>
              <w:rPr>
                <w:rFonts w:hint="eastAsia" w:eastAsia="仿宋_GB2312"/>
                <w:kern w:val="0"/>
                <w:sz w:val="24"/>
                <w:highlight w:val="none"/>
              </w:rPr>
            </w:pPr>
            <w:r>
              <w:rPr>
                <w:rFonts w:eastAsia="仿宋_GB2312"/>
                <w:kern w:val="0"/>
                <w:sz w:val="24"/>
                <w:highlight w:val="none"/>
              </w:rPr>
              <w:t>重点地质灾害区隐患点工程治理</w:t>
            </w:r>
          </w:p>
        </w:tc>
        <w:tc>
          <w:tcPr>
            <w:tcW w:w="456" w:type="pct"/>
            <w:tcBorders>
              <w:top w:val="single" w:color="auto" w:sz="4" w:space="0"/>
              <w:left w:val="nil"/>
              <w:right w:val="single" w:color="auto" w:sz="4" w:space="0"/>
            </w:tcBorders>
            <w:shd w:val="clear" w:color="auto" w:fill="auto"/>
            <w:noWrap/>
            <w:vAlign w:val="center"/>
          </w:tcPr>
          <w:p w14:paraId="7F95BDF9">
            <w:pPr>
              <w:adjustRightInd w:val="0"/>
              <w:snapToGrid w:val="0"/>
              <w:spacing w:line="500" w:lineRule="exact"/>
              <w:jc w:val="center"/>
              <w:rPr>
                <w:rFonts w:hint="eastAsia" w:eastAsia="仿宋_GB2312"/>
                <w:kern w:val="0"/>
                <w:sz w:val="24"/>
                <w:highlight w:val="none"/>
                <w:lang w:val="en-US" w:eastAsia="zh-CN"/>
              </w:rPr>
            </w:pPr>
            <w:r>
              <w:rPr>
                <w:rFonts w:hint="eastAsia" w:eastAsia="仿宋_GB2312"/>
                <w:kern w:val="0"/>
                <w:sz w:val="24"/>
                <w:highlight w:val="none"/>
                <w:lang w:val="en-US" w:eastAsia="zh-CN"/>
              </w:rPr>
              <w:t>处</w:t>
            </w:r>
          </w:p>
        </w:tc>
        <w:tc>
          <w:tcPr>
            <w:tcW w:w="515" w:type="pct"/>
            <w:tcBorders>
              <w:top w:val="single" w:color="auto" w:sz="4" w:space="0"/>
              <w:left w:val="nil"/>
              <w:right w:val="single" w:color="auto" w:sz="4" w:space="0"/>
            </w:tcBorders>
            <w:shd w:val="clear" w:color="auto" w:fill="auto"/>
            <w:noWrap/>
            <w:vAlign w:val="center"/>
          </w:tcPr>
          <w:p w14:paraId="5188A988">
            <w:pPr>
              <w:adjustRightInd w:val="0"/>
              <w:snapToGrid w:val="0"/>
              <w:spacing w:line="500" w:lineRule="exact"/>
              <w:jc w:val="center"/>
              <w:rPr>
                <w:rFonts w:hint="default" w:eastAsia="仿宋_GB2312"/>
                <w:kern w:val="0"/>
                <w:sz w:val="24"/>
                <w:highlight w:val="none"/>
                <w:lang w:val="en-US" w:eastAsia="zh-CN"/>
              </w:rPr>
            </w:pPr>
            <w:r>
              <w:rPr>
                <w:rFonts w:hint="eastAsia" w:eastAsia="仿宋_GB2312"/>
                <w:kern w:val="0"/>
                <w:sz w:val="24"/>
                <w:highlight w:val="none"/>
                <w:lang w:val="en-US" w:eastAsia="zh-CN"/>
              </w:rPr>
              <w:t>12</w:t>
            </w:r>
          </w:p>
        </w:tc>
        <w:tc>
          <w:tcPr>
            <w:tcW w:w="519" w:type="pct"/>
            <w:tcBorders>
              <w:top w:val="single" w:color="auto" w:sz="4" w:space="0"/>
              <w:left w:val="nil"/>
              <w:right w:val="single" w:color="auto" w:sz="4" w:space="0"/>
            </w:tcBorders>
            <w:shd w:val="clear" w:color="auto" w:fill="auto"/>
            <w:noWrap/>
            <w:vAlign w:val="center"/>
          </w:tcPr>
          <w:p w14:paraId="2BE0A23B">
            <w:pPr>
              <w:adjustRightInd w:val="0"/>
              <w:snapToGrid w:val="0"/>
              <w:spacing w:line="500" w:lineRule="exact"/>
              <w:jc w:val="center"/>
              <w:rPr>
                <w:rFonts w:eastAsia="仿宋_GB2312"/>
                <w:kern w:val="0"/>
                <w:sz w:val="24"/>
                <w:highlight w:val="none"/>
              </w:rPr>
            </w:pPr>
            <w:r>
              <w:rPr>
                <w:rFonts w:eastAsia="仿宋_GB2312"/>
                <w:kern w:val="0"/>
                <w:sz w:val="24"/>
                <w:highlight w:val="none"/>
              </w:rPr>
              <w:t>预期性</w:t>
            </w:r>
          </w:p>
        </w:tc>
      </w:tr>
      <w:tr w14:paraId="1E1C394E">
        <w:tblPrEx>
          <w:tblCellMar>
            <w:top w:w="0" w:type="dxa"/>
            <w:left w:w="0" w:type="dxa"/>
            <w:bottom w:w="0" w:type="dxa"/>
            <w:right w:w="0" w:type="dxa"/>
          </w:tblCellMar>
        </w:tblPrEx>
        <w:trPr>
          <w:trHeight w:val="125" w:hRule="atLeast"/>
        </w:trPr>
        <w:tc>
          <w:tcPr>
            <w:tcW w:w="779" w:type="pct"/>
            <w:vMerge w:val="restart"/>
            <w:tcBorders>
              <w:top w:val="single" w:color="auto" w:sz="4" w:space="0"/>
              <w:left w:val="single" w:color="auto" w:sz="4" w:space="0"/>
              <w:right w:val="single" w:color="auto" w:sz="4" w:space="0"/>
            </w:tcBorders>
            <w:shd w:val="clear" w:color="auto" w:fill="auto"/>
            <w:noWrap/>
            <w:vAlign w:val="center"/>
          </w:tcPr>
          <w:p w14:paraId="0DE192A9">
            <w:pPr>
              <w:adjustRightInd w:val="0"/>
              <w:snapToGrid w:val="0"/>
              <w:spacing w:line="500" w:lineRule="exact"/>
              <w:jc w:val="center"/>
              <w:rPr>
                <w:rFonts w:hint="default" w:eastAsia="仿宋_GB2312"/>
                <w:kern w:val="0"/>
                <w:sz w:val="24"/>
                <w:highlight w:val="none"/>
                <w:lang w:val="en-US" w:eastAsia="zh-CN"/>
              </w:rPr>
            </w:pPr>
            <w:r>
              <w:rPr>
                <w:rFonts w:hint="eastAsia" w:eastAsia="仿宋_GB2312"/>
                <w:kern w:val="0"/>
                <w:sz w:val="24"/>
                <w:highlight w:val="none"/>
                <w:lang w:val="en-US" w:eastAsia="zh-CN"/>
              </w:rPr>
              <w:t>能力建设</w:t>
            </w:r>
          </w:p>
        </w:tc>
        <w:tc>
          <w:tcPr>
            <w:tcW w:w="2729" w:type="pct"/>
            <w:tcBorders>
              <w:top w:val="single" w:color="auto" w:sz="4" w:space="0"/>
              <w:left w:val="nil"/>
              <w:bottom w:val="single" w:color="auto" w:sz="4" w:space="0"/>
              <w:right w:val="single" w:color="auto" w:sz="4" w:space="0"/>
            </w:tcBorders>
            <w:shd w:val="clear" w:color="auto" w:fill="auto"/>
            <w:noWrap/>
            <w:vAlign w:val="center"/>
          </w:tcPr>
          <w:p w14:paraId="0D2583A6">
            <w:pPr>
              <w:adjustRightInd w:val="0"/>
              <w:snapToGrid w:val="0"/>
              <w:spacing w:line="500" w:lineRule="exact"/>
              <w:jc w:val="left"/>
              <w:rPr>
                <w:rFonts w:hint="default" w:eastAsia="仿宋_GB2312"/>
                <w:kern w:val="0"/>
                <w:sz w:val="24"/>
                <w:highlight w:val="none"/>
                <w:lang w:val="en-US" w:eastAsia="zh-CN"/>
              </w:rPr>
            </w:pPr>
            <w:r>
              <w:rPr>
                <w:rFonts w:hint="eastAsia" w:eastAsia="仿宋_GB2312"/>
                <w:kern w:val="0"/>
                <w:sz w:val="24"/>
                <w:highlight w:val="none"/>
                <w:lang w:val="en-US" w:eastAsia="zh-CN"/>
              </w:rPr>
              <w:t>地质灾害防治应急演练</w:t>
            </w:r>
          </w:p>
        </w:tc>
        <w:tc>
          <w:tcPr>
            <w:tcW w:w="456" w:type="pct"/>
            <w:tcBorders>
              <w:top w:val="single" w:color="auto" w:sz="4" w:space="0"/>
              <w:left w:val="nil"/>
              <w:bottom w:val="single" w:color="auto" w:sz="4" w:space="0"/>
              <w:right w:val="single" w:color="auto" w:sz="4" w:space="0"/>
            </w:tcBorders>
            <w:shd w:val="clear" w:color="auto" w:fill="auto"/>
            <w:noWrap/>
            <w:vAlign w:val="center"/>
          </w:tcPr>
          <w:p w14:paraId="7297D678">
            <w:pPr>
              <w:adjustRightInd w:val="0"/>
              <w:snapToGrid w:val="0"/>
              <w:spacing w:line="500" w:lineRule="exact"/>
              <w:jc w:val="center"/>
              <w:rPr>
                <w:rFonts w:hint="eastAsia" w:eastAsia="仿宋_GB2312"/>
                <w:kern w:val="0"/>
                <w:sz w:val="24"/>
                <w:highlight w:val="none"/>
                <w:lang w:val="en-US" w:eastAsia="zh-CN"/>
              </w:rPr>
            </w:pPr>
            <w:r>
              <w:rPr>
                <w:rFonts w:hint="eastAsia" w:eastAsia="仿宋_GB2312"/>
                <w:kern w:val="0"/>
                <w:sz w:val="24"/>
                <w:highlight w:val="none"/>
                <w:lang w:val="en-US" w:eastAsia="zh-CN"/>
              </w:rPr>
              <w:t>场/年</w:t>
            </w:r>
          </w:p>
        </w:tc>
        <w:tc>
          <w:tcPr>
            <w:tcW w:w="515" w:type="pct"/>
            <w:tcBorders>
              <w:top w:val="single" w:color="auto" w:sz="4" w:space="0"/>
              <w:left w:val="nil"/>
              <w:bottom w:val="single" w:color="auto" w:sz="4" w:space="0"/>
              <w:right w:val="single" w:color="auto" w:sz="4" w:space="0"/>
            </w:tcBorders>
            <w:shd w:val="clear" w:color="auto" w:fill="auto"/>
            <w:noWrap/>
            <w:vAlign w:val="center"/>
          </w:tcPr>
          <w:p w14:paraId="2B1BB1C7">
            <w:pPr>
              <w:adjustRightInd w:val="0"/>
              <w:snapToGrid w:val="0"/>
              <w:spacing w:line="500" w:lineRule="exact"/>
              <w:jc w:val="center"/>
              <w:rPr>
                <w:rFonts w:hint="default" w:eastAsia="仿宋_GB2312"/>
                <w:kern w:val="0"/>
                <w:sz w:val="24"/>
                <w:highlight w:val="none"/>
                <w:lang w:val="en-US" w:eastAsia="zh-CN"/>
              </w:rPr>
            </w:pPr>
            <w:r>
              <w:rPr>
                <w:rFonts w:hint="eastAsia" w:eastAsia="仿宋_GB2312"/>
                <w:kern w:val="0"/>
                <w:sz w:val="24"/>
                <w:highlight w:val="none"/>
                <w:lang w:val="en-US" w:eastAsia="zh-CN"/>
              </w:rPr>
              <w:t>5</w:t>
            </w:r>
          </w:p>
        </w:tc>
        <w:tc>
          <w:tcPr>
            <w:tcW w:w="519" w:type="pct"/>
            <w:tcBorders>
              <w:top w:val="single" w:color="auto" w:sz="4" w:space="0"/>
              <w:left w:val="nil"/>
              <w:bottom w:val="single" w:color="auto" w:sz="4" w:space="0"/>
              <w:right w:val="single" w:color="auto" w:sz="4" w:space="0"/>
            </w:tcBorders>
            <w:shd w:val="clear" w:color="auto" w:fill="auto"/>
            <w:noWrap/>
            <w:vAlign w:val="center"/>
          </w:tcPr>
          <w:p w14:paraId="7B223B9D">
            <w:pPr>
              <w:adjustRightInd w:val="0"/>
              <w:snapToGrid w:val="0"/>
              <w:spacing w:line="500" w:lineRule="exact"/>
              <w:jc w:val="center"/>
              <w:rPr>
                <w:rFonts w:eastAsia="仿宋_GB2312"/>
                <w:kern w:val="0"/>
                <w:sz w:val="24"/>
                <w:highlight w:val="none"/>
              </w:rPr>
            </w:pPr>
            <w:r>
              <w:rPr>
                <w:rFonts w:eastAsia="仿宋_GB2312"/>
                <w:kern w:val="0"/>
                <w:sz w:val="24"/>
                <w:highlight w:val="none"/>
              </w:rPr>
              <w:t>预期性</w:t>
            </w:r>
          </w:p>
        </w:tc>
      </w:tr>
      <w:tr w14:paraId="6B2AEC44">
        <w:tblPrEx>
          <w:tblCellMar>
            <w:top w:w="0" w:type="dxa"/>
            <w:left w:w="0" w:type="dxa"/>
            <w:bottom w:w="0" w:type="dxa"/>
            <w:right w:w="0" w:type="dxa"/>
          </w:tblCellMar>
        </w:tblPrEx>
        <w:trPr>
          <w:trHeight w:val="125" w:hRule="atLeast"/>
        </w:trPr>
        <w:tc>
          <w:tcPr>
            <w:tcW w:w="779" w:type="pct"/>
            <w:vMerge w:val="continue"/>
            <w:tcBorders>
              <w:left w:val="single" w:color="auto" w:sz="4" w:space="0"/>
              <w:bottom w:val="single" w:color="auto" w:sz="4" w:space="0"/>
              <w:right w:val="single" w:color="auto" w:sz="4" w:space="0"/>
            </w:tcBorders>
            <w:shd w:val="clear" w:color="auto" w:fill="auto"/>
            <w:noWrap/>
            <w:vAlign w:val="center"/>
          </w:tcPr>
          <w:p w14:paraId="706214DB">
            <w:pPr>
              <w:adjustRightInd w:val="0"/>
              <w:snapToGrid w:val="0"/>
              <w:spacing w:line="500" w:lineRule="exact"/>
              <w:jc w:val="center"/>
              <w:rPr>
                <w:rFonts w:hint="eastAsia" w:eastAsia="仿宋_GB2312"/>
                <w:kern w:val="0"/>
                <w:sz w:val="24"/>
                <w:highlight w:val="none"/>
                <w:lang w:val="en-US" w:eastAsia="zh-CN"/>
              </w:rPr>
            </w:pPr>
          </w:p>
        </w:tc>
        <w:tc>
          <w:tcPr>
            <w:tcW w:w="2729" w:type="pct"/>
            <w:tcBorders>
              <w:top w:val="single" w:color="auto" w:sz="4" w:space="0"/>
              <w:left w:val="nil"/>
              <w:bottom w:val="single" w:color="auto" w:sz="4" w:space="0"/>
              <w:right w:val="single" w:color="auto" w:sz="4" w:space="0"/>
            </w:tcBorders>
            <w:shd w:val="clear" w:color="auto" w:fill="auto"/>
            <w:noWrap/>
            <w:vAlign w:val="center"/>
          </w:tcPr>
          <w:p w14:paraId="07200E5D">
            <w:pPr>
              <w:adjustRightInd w:val="0"/>
              <w:snapToGrid w:val="0"/>
              <w:spacing w:line="500" w:lineRule="exact"/>
              <w:jc w:val="left"/>
              <w:rPr>
                <w:rFonts w:hint="default" w:eastAsia="仿宋_GB2312"/>
                <w:kern w:val="0"/>
                <w:sz w:val="24"/>
                <w:highlight w:val="none"/>
                <w:lang w:val="en-US" w:eastAsia="zh-CN"/>
              </w:rPr>
            </w:pPr>
            <w:r>
              <w:rPr>
                <w:rFonts w:hint="eastAsia" w:eastAsia="仿宋_GB2312"/>
                <w:kern w:val="0"/>
                <w:sz w:val="24"/>
                <w:highlight w:val="none"/>
                <w:lang w:val="en-US" w:eastAsia="zh-CN"/>
              </w:rPr>
              <w:t>地质灾害防治培训</w:t>
            </w:r>
          </w:p>
        </w:tc>
        <w:tc>
          <w:tcPr>
            <w:tcW w:w="456" w:type="pct"/>
            <w:tcBorders>
              <w:top w:val="single" w:color="auto" w:sz="4" w:space="0"/>
              <w:left w:val="nil"/>
              <w:bottom w:val="single" w:color="auto" w:sz="4" w:space="0"/>
              <w:right w:val="single" w:color="auto" w:sz="4" w:space="0"/>
            </w:tcBorders>
            <w:shd w:val="clear" w:color="auto" w:fill="auto"/>
            <w:noWrap/>
            <w:vAlign w:val="center"/>
          </w:tcPr>
          <w:p w14:paraId="2045F7C9">
            <w:pPr>
              <w:adjustRightInd w:val="0"/>
              <w:snapToGrid w:val="0"/>
              <w:spacing w:line="500" w:lineRule="exact"/>
              <w:jc w:val="center"/>
              <w:rPr>
                <w:rFonts w:hint="default" w:eastAsia="仿宋_GB2312"/>
                <w:kern w:val="0"/>
                <w:sz w:val="24"/>
                <w:highlight w:val="none"/>
                <w:lang w:val="en-US" w:eastAsia="zh-CN"/>
              </w:rPr>
            </w:pPr>
            <w:r>
              <w:rPr>
                <w:rFonts w:hint="eastAsia" w:eastAsia="仿宋_GB2312"/>
                <w:kern w:val="0"/>
                <w:sz w:val="24"/>
                <w:highlight w:val="none"/>
                <w:lang w:val="en-US" w:eastAsia="zh-CN"/>
              </w:rPr>
              <w:t>次/年</w:t>
            </w:r>
          </w:p>
        </w:tc>
        <w:tc>
          <w:tcPr>
            <w:tcW w:w="515" w:type="pct"/>
            <w:tcBorders>
              <w:top w:val="single" w:color="auto" w:sz="4" w:space="0"/>
              <w:left w:val="nil"/>
              <w:bottom w:val="single" w:color="auto" w:sz="4" w:space="0"/>
              <w:right w:val="single" w:color="auto" w:sz="4" w:space="0"/>
            </w:tcBorders>
            <w:shd w:val="clear" w:color="auto" w:fill="auto"/>
            <w:noWrap/>
            <w:vAlign w:val="center"/>
          </w:tcPr>
          <w:p w14:paraId="470D3B55">
            <w:pPr>
              <w:adjustRightInd w:val="0"/>
              <w:snapToGrid w:val="0"/>
              <w:spacing w:line="500" w:lineRule="exact"/>
              <w:jc w:val="center"/>
              <w:rPr>
                <w:rFonts w:hint="default" w:eastAsia="仿宋_GB2312"/>
                <w:kern w:val="0"/>
                <w:sz w:val="24"/>
                <w:highlight w:val="none"/>
                <w:lang w:val="en-US" w:eastAsia="zh-CN"/>
              </w:rPr>
            </w:pPr>
            <w:r>
              <w:rPr>
                <w:rFonts w:hint="eastAsia" w:eastAsia="仿宋_GB2312"/>
                <w:kern w:val="0"/>
                <w:sz w:val="24"/>
                <w:highlight w:val="none"/>
                <w:lang w:val="en-US" w:eastAsia="zh-CN"/>
              </w:rPr>
              <w:t>5</w:t>
            </w:r>
          </w:p>
        </w:tc>
        <w:tc>
          <w:tcPr>
            <w:tcW w:w="519" w:type="pct"/>
            <w:tcBorders>
              <w:top w:val="single" w:color="auto" w:sz="4" w:space="0"/>
              <w:left w:val="nil"/>
              <w:bottom w:val="single" w:color="auto" w:sz="4" w:space="0"/>
              <w:right w:val="single" w:color="auto" w:sz="4" w:space="0"/>
            </w:tcBorders>
            <w:shd w:val="clear" w:color="auto" w:fill="auto"/>
            <w:noWrap/>
            <w:vAlign w:val="center"/>
          </w:tcPr>
          <w:p w14:paraId="30BEF9A9">
            <w:pPr>
              <w:adjustRightInd w:val="0"/>
              <w:snapToGrid w:val="0"/>
              <w:spacing w:line="500" w:lineRule="exact"/>
              <w:jc w:val="center"/>
              <w:rPr>
                <w:rFonts w:eastAsia="仿宋_GB2312"/>
                <w:kern w:val="0"/>
                <w:sz w:val="24"/>
                <w:highlight w:val="none"/>
              </w:rPr>
            </w:pPr>
            <w:r>
              <w:rPr>
                <w:rFonts w:eastAsia="仿宋_GB2312"/>
                <w:kern w:val="0"/>
                <w:sz w:val="24"/>
                <w:highlight w:val="none"/>
              </w:rPr>
              <w:t>预期性</w:t>
            </w:r>
          </w:p>
        </w:tc>
      </w:tr>
      <w:bookmarkEnd w:id="28"/>
      <w:bookmarkEnd w:id="29"/>
    </w:tbl>
    <w:p w14:paraId="182177B2">
      <w:pPr>
        <w:pStyle w:val="2"/>
        <w:spacing w:after="0" w:afterLines="0" w:line="560" w:lineRule="exact"/>
        <w:ind w:firstLine="640" w:firstLineChars="200"/>
        <w:jc w:val="both"/>
        <w:rPr>
          <w:rFonts w:ascii="黑体" w:hAnsi="黑体" w:eastAsia="黑体"/>
          <w:b w:val="0"/>
          <w:szCs w:val="32"/>
          <w:highlight w:val="none"/>
        </w:rPr>
      </w:pPr>
      <w:bookmarkStart w:id="30" w:name="_Toc20590"/>
      <w:r>
        <w:rPr>
          <w:rFonts w:hint="eastAsia" w:ascii="黑体" w:hAnsi="黑体" w:eastAsia="黑体"/>
          <w:b w:val="0"/>
          <w:szCs w:val="32"/>
          <w:highlight w:val="none"/>
        </w:rPr>
        <w:t>三、易发区和重点防治区</w:t>
      </w:r>
      <w:bookmarkEnd w:id="30"/>
    </w:p>
    <w:p w14:paraId="0D143B9D">
      <w:pPr>
        <w:pStyle w:val="3"/>
        <w:spacing w:after="0" w:afterLines="0" w:line="560" w:lineRule="exact"/>
        <w:ind w:firstLine="643"/>
        <w:rPr>
          <w:rFonts w:ascii="楷体" w:hAnsi="楷体" w:eastAsia="楷体" w:cs="黑体"/>
          <w:sz w:val="32"/>
          <w:highlight w:val="none"/>
        </w:rPr>
      </w:pPr>
      <w:bookmarkStart w:id="31" w:name="_Toc16858"/>
      <w:r>
        <w:rPr>
          <w:rFonts w:hint="eastAsia" w:ascii="楷体" w:hAnsi="楷体" w:eastAsia="楷体" w:cs="黑体"/>
          <w:sz w:val="32"/>
          <w:highlight w:val="none"/>
        </w:rPr>
        <w:t>（一）易发区</w:t>
      </w:r>
      <w:bookmarkEnd w:id="31"/>
    </w:p>
    <w:p w14:paraId="116364E9">
      <w:pPr>
        <w:spacing w:line="560" w:lineRule="exact"/>
        <w:ind w:firstLine="640" w:firstLineChars="200"/>
        <w:jc w:val="left"/>
        <w:rPr>
          <w:rFonts w:hint="eastAsia" w:eastAsia="仿宋_GB2312"/>
          <w:sz w:val="32"/>
          <w:szCs w:val="32"/>
          <w:highlight w:val="none"/>
          <w:lang w:val="en-US" w:eastAsia="zh-CN"/>
        </w:rPr>
      </w:pPr>
      <w:r>
        <w:rPr>
          <w:rFonts w:hint="eastAsia" w:eastAsia="仿宋_GB2312"/>
          <w:sz w:val="32"/>
          <w:szCs w:val="32"/>
          <w:highlight w:val="none"/>
          <w:lang w:val="en-US" w:eastAsia="zh-CN"/>
        </w:rPr>
        <w:t>地质灾害易发区是指具备地质灾害发生的地质环境条件，容易或者可能发生地质灾害的区域，是地质灾害监测和防治的重点区域。根据阿克陶县地形地貌、地质条件、地质灾害现状、人类工程活动强度等因素，将全县地质灾害划分为高易发区</w:t>
      </w:r>
      <w:r>
        <w:rPr>
          <w:rFonts w:hint="default" w:eastAsia="仿宋_GB2312"/>
          <w:sz w:val="32"/>
          <w:szCs w:val="32"/>
          <w:highlight w:val="none"/>
          <w:lang w:val="en-US" w:eastAsia="zh-CN"/>
        </w:rPr>
        <w:t>（Ⅰ）、中易发区（Ⅱ）、低易发区（Ⅲ）</w:t>
      </w:r>
      <w:r>
        <w:rPr>
          <w:rFonts w:hint="eastAsia" w:eastAsia="仿宋_GB2312"/>
          <w:sz w:val="32"/>
          <w:szCs w:val="32"/>
          <w:highlight w:val="none"/>
          <w:lang w:val="en-US" w:eastAsia="zh-CN"/>
        </w:rPr>
        <w:t>和不</w:t>
      </w:r>
      <w:r>
        <w:rPr>
          <w:rFonts w:hint="default" w:eastAsia="仿宋_GB2312"/>
          <w:sz w:val="32"/>
          <w:szCs w:val="32"/>
          <w:highlight w:val="none"/>
          <w:lang w:val="en-US" w:eastAsia="zh-CN"/>
        </w:rPr>
        <w:t>易发区（Ⅳ）四级（附表1）</w:t>
      </w:r>
      <w:r>
        <w:rPr>
          <w:rFonts w:hint="eastAsia" w:eastAsia="仿宋_GB2312"/>
          <w:sz w:val="32"/>
          <w:szCs w:val="32"/>
          <w:highlight w:val="none"/>
          <w:lang w:val="en-US" w:eastAsia="zh-CN"/>
        </w:rPr>
        <w:t>。</w:t>
      </w:r>
    </w:p>
    <w:p w14:paraId="39379F76">
      <w:pPr>
        <w:adjustRightInd w:val="0"/>
        <w:snapToGrid w:val="0"/>
        <w:spacing w:line="560" w:lineRule="exact"/>
        <w:ind w:firstLine="643" w:firstLineChars="200"/>
        <w:outlineLvl w:val="2"/>
        <w:rPr>
          <w:rFonts w:hint="eastAsia" w:eastAsia="仿宋_GB2312"/>
          <w:b/>
          <w:sz w:val="32"/>
          <w:szCs w:val="32"/>
          <w:highlight w:val="none"/>
          <w:lang w:val="en-US" w:eastAsia="zh-CN"/>
        </w:rPr>
      </w:pPr>
      <w:r>
        <w:rPr>
          <w:rFonts w:hint="eastAsia" w:eastAsia="仿宋_GB2312"/>
          <w:b/>
          <w:sz w:val="32"/>
          <w:szCs w:val="32"/>
          <w:highlight w:val="none"/>
          <w:lang w:val="en-US" w:eastAsia="zh-CN"/>
        </w:rPr>
        <w:t>1、高易发区</w:t>
      </w:r>
    </w:p>
    <w:p w14:paraId="599EA775">
      <w:pPr>
        <w:spacing w:line="560" w:lineRule="exact"/>
        <w:ind w:firstLine="640" w:firstLineChars="200"/>
        <w:jc w:val="left"/>
        <w:rPr>
          <w:rFonts w:hint="eastAsia" w:eastAsia="仿宋_GB2312"/>
          <w:sz w:val="32"/>
          <w:szCs w:val="32"/>
          <w:highlight w:val="none"/>
          <w:lang w:val="en-US" w:eastAsia="zh-CN"/>
        </w:rPr>
      </w:pPr>
      <w:r>
        <w:rPr>
          <w:rFonts w:hint="eastAsia" w:eastAsia="仿宋_GB2312"/>
          <w:sz w:val="32"/>
          <w:szCs w:val="32"/>
          <w:highlight w:val="none"/>
          <w:lang w:val="en-US" w:eastAsia="zh-CN"/>
        </w:rPr>
        <w:t>高易发区面积3792.90平方千米，占全区总面积的15.13%，该区共有灾害点362处，其中崩塌156处，滑坡7处，泥石流199处，灾点密度为0.095处/平方千米。主要分布于县境内东南部的高中山区、中部314国道中巴公路国内段沿线。该区段内河流切割强烈，河岸边坡坡角一般大于35°，这里地形高低不平，没有地形较平坦的地方供人类居住，乡政府均驻扎在较大型支沟与主沟交汇处的洪积扇上，而其它村落均分散居住在沿河两岸堆积的高河漫滩之上或是较小支沟与主沟交汇处堆积平台之上；地层多由砾岩、砂岩、白云岩、泥岩、灰岩、页岩等组成，多数山体基岩裸露，构造裂隙及风化裂隙较为发育，地层岩石强烈挤压破碎，在局部地段，如特给乃其克达坂盘山公路段，两侧坡体表面覆盖2-5米厚的上更新统风积黄土；区段内人类工程经济活动较强，主要为牧业活动、切坡修路运输活动及小型矿山的开采活动。山区各大沟谷两侧的支沟发育，且支沟多为较典型的泥石流沟。</w:t>
      </w:r>
    </w:p>
    <w:p w14:paraId="05BEF5F1">
      <w:pPr>
        <w:adjustRightInd w:val="0"/>
        <w:snapToGrid w:val="0"/>
        <w:spacing w:line="560" w:lineRule="exact"/>
        <w:ind w:firstLine="643" w:firstLineChars="200"/>
        <w:outlineLvl w:val="2"/>
        <w:rPr>
          <w:rFonts w:hint="eastAsia" w:eastAsia="仿宋_GB2312"/>
          <w:b/>
          <w:sz w:val="32"/>
          <w:szCs w:val="32"/>
          <w:highlight w:val="none"/>
          <w:lang w:val="en-US" w:eastAsia="zh-CN"/>
        </w:rPr>
      </w:pPr>
      <w:r>
        <w:rPr>
          <w:rFonts w:hint="eastAsia" w:eastAsia="仿宋_GB2312"/>
          <w:b/>
          <w:sz w:val="32"/>
          <w:szCs w:val="32"/>
          <w:highlight w:val="none"/>
          <w:lang w:val="en-US" w:eastAsia="zh-CN"/>
        </w:rPr>
        <w:t>2、中易发区</w:t>
      </w:r>
    </w:p>
    <w:p w14:paraId="525C6D9D">
      <w:pPr>
        <w:spacing w:line="560" w:lineRule="exact"/>
        <w:ind w:firstLine="640" w:firstLineChars="200"/>
        <w:jc w:val="left"/>
        <w:rPr>
          <w:rFonts w:hint="eastAsia" w:eastAsia="仿宋_GB2312"/>
          <w:sz w:val="32"/>
          <w:szCs w:val="32"/>
          <w:highlight w:val="none"/>
          <w:lang w:val="en-US" w:eastAsia="zh-CN"/>
        </w:rPr>
      </w:pPr>
      <w:r>
        <w:rPr>
          <w:rFonts w:hint="eastAsia" w:eastAsia="仿宋_GB2312"/>
          <w:sz w:val="32"/>
          <w:szCs w:val="32"/>
          <w:highlight w:val="none"/>
          <w:lang w:val="en-US" w:eastAsia="zh-CN"/>
        </w:rPr>
        <w:t>中易发区面积6422.82平方千米，占全区总面积的25.63%，该区共有灾害点128处，其中崩塌39处，滑坡1处，泥石流88处，灾点密度为0.020处/平方千米。主要分布于克孜勒陶镇北部、中南部的314国道布伦口乡政府—苏巴什达坂段的高山谷盆地区、西北部木吉河流域的北部地区、中北部的奥依塔克河流域等区域。该区段横跨高山极高山区、中山区、低山丘陵区等三个地貌单元，海拔高程2000-7000m，地形高低起伏较大，河流切割强烈，地层岩性主要为砾岩、砂岩、白云岩、泥岩、灰岩、页岩等，村庄多分布在河流的两岸及支沟内，人类工程经济以牧业活动为主。</w:t>
      </w:r>
    </w:p>
    <w:p w14:paraId="780F2A8D">
      <w:pPr>
        <w:adjustRightInd w:val="0"/>
        <w:snapToGrid w:val="0"/>
        <w:spacing w:line="560" w:lineRule="exact"/>
        <w:ind w:firstLine="643" w:firstLineChars="200"/>
        <w:outlineLvl w:val="2"/>
        <w:rPr>
          <w:rFonts w:hint="eastAsia" w:eastAsia="仿宋_GB2312"/>
          <w:b/>
          <w:sz w:val="32"/>
          <w:szCs w:val="32"/>
          <w:highlight w:val="none"/>
          <w:lang w:val="en-US" w:eastAsia="zh-CN"/>
        </w:rPr>
      </w:pPr>
      <w:r>
        <w:rPr>
          <w:rFonts w:hint="eastAsia" w:eastAsia="仿宋_GB2312"/>
          <w:b/>
          <w:sz w:val="32"/>
          <w:szCs w:val="32"/>
          <w:highlight w:val="none"/>
          <w:lang w:val="en-US" w:eastAsia="zh-CN"/>
        </w:rPr>
        <w:t>3、低易发区</w:t>
      </w:r>
    </w:p>
    <w:p w14:paraId="1077698C">
      <w:pPr>
        <w:spacing w:line="560" w:lineRule="exact"/>
        <w:ind w:firstLine="640" w:firstLineChars="200"/>
        <w:jc w:val="left"/>
        <w:rPr>
          <w:rFonts w:hint="eastAsia" w:eastAsia="仿宋_GB2312"/>
          <w:sz w:val="32"/>
          <w:szCs w:val="32"/>
          <w:highlight w:val="none"/>
          <w:lang w:val="en-US" w:eastAsia="zh-CN"/>
        </w:rPr>
      </w:pPr>
      <w:r>
        <w:rPr>
          <w:rFonts w:hint="eastAsia" w:eastAsia="仿宋_GB2312"/>
          <w:sz w:val="32"/>
          <w:szCs w:val="32"/>
          <w:highlight w:val="none"/>
          <w:lang w:val="en-US" w:eastAsia="zh-CN"/>
        </w:rPr>
        <w:t>低易发区面积4165.35平方千米，占全区总面积的16.62%，该区共有灾害点20处，其中崩塌5处，泥石流15处，灾点密度为0.005处/平方千米。主要分布于中木吉河流域南部，克孜勒陶镇、阿克达拉牧场高山区等区域。该区域内地势险峻，自然环境恶劣，人类工程经济活动程度较低。</w:t>
      </w:r>
    </w:p>
    <w:p w14:paraId="6A70BEFE">
      <w:pPr>
        <w:adjustRightInd w:val="0"/>
        <w:snapToGrid w:val="0"/>
        <w:spacing w:line="560" w:lineRule="exact"/>
        <w:ind w:firstLine="643" w:firstLineChars="200"/>
        <w:outlineLvl w:val="2"/>
        <w:rPr>
          <w:rFonts w:hint="eastAsia" w:eastAsia="仿宋_GB2312"/>
          <w:b/>
          <w:sz w:val="32"/>
          <w:szCs w:val="32"/>
          <w:highlight w:val="none"/>
          <w:lang w:val="en-US" w:eastAsia="zh-CN"/>
        </w:rPr>
      </w:pPr>
      <w:r>
        <w:rPr>
          <w:rFonts w:hint="eastAsia" w:eastAsia="仿宋_GB2312"/>
          <w:b/>
          <w:sz w:val="32"/>
          <w:szCs w:val="32"/>
          <w:highlight w:val="none"/>
          <w:lang w:val="en-US" w:eastAsia="zh-CN"/>
        </w:rPr>
        <w:t>4、不易发区</w:t>
      </w:r>
    </w:p>
    <w:p w14:paraId="7BE3924E">
      <w:pPr>
        <w:spacing w:line="560" w:lineRule="exact"/>
        <w:ind w:firstLine="640" w:firstLineChars="200"/>
        <w:rPr>
          <w:rFonts w:hint="eastAsia" w:eastAsia="仿宋_GB2312"/>
          <w:b w:val="0"/>
          <w:bCs/>
          <w:sz w:val="32"/>
          <w:szCs w:val="32"/>
          <w:highlight w:val="none"/>
        </w:rPr>
      </w:pPr>
      <w:r>
        <w:rPr>
          <w:rFonts w:hint="eastAsia" w:eastAsia="仿宋_GB2312"/>
          <w:sz w:val="32"/>
          <w:szCs w:val="32"/>
          <w:highlight w:val="none"/>
          <w:lang w:val="en-US" w:eastAsia="zh-CN"/>
        </w:rPr>
        <w:t>不易发区面积10681.10平方千米，占全区总面积的42.62%，该区无地质灾害点，位于县境内中南部的极高山区，该区域内常年冰雪覆盖，无人类活动；东北部的冲洪积平原区，这里地形平坦开阔，出露地层主要为第四系冲洪积物，不具备崩塌、滑坡、泥石流等灾害发生的地质环境背景条件。</w:t>
      </w:r>
    </w:p>
    <w:p w14:paraId="07393AFF">
      <w:pPr>
        <w:pStyle w:val="3"/>
        <w:spacing w:after="0" w:afterLines="0" w:line="560" w:lineRule="exact"/>
        <w:ind w:firstLine="643"/>
        <w:rPr>
          <w:rFonts w:ascii="楷体" w:hAnsi="楷体" w:eastAsia="楷体" w:cs="黑体"/>
          <w:sz w:val="32"/>
          <w:highlight w:val="none"/>
        </w:rPr>
      </w:pPr>
      <w:bookmarkStart w:id="32" w:name="_Toc9681"/>
      <w:r>
        <w:rPr>
          <w:rFonts w:hint="eastAsia" w:ascii="楷体" w:hAnsi="楷体" w:eastAsia="楷体" w:cs="黑体"/>
          <w:sz w:val="32"/>
          <w:highlight w:val="none"/>
        </w:rPr>
        <w:t>（二）重点防治区</w:t>
      </w:r>
      <w:bookmarkEnd w:id="32"/>
    </w:p>
    <w:p w14:paraId="677BAA3B">
      <w:pPr>
        <w:spacing w:line="560" w:lineRule="exact"/>
        <w:ind w:firstLine="640" w:firstLineChars="200"/>
        <w:jc w:val="left"/>
        <w:rPr>
          <w:rFonts w:hint="eastAsia" w:eastAsia="仿宋_GB2312"/>
          <w:sz w:val="32"/>
          <w:szCs w:val="32"/>
          <w:highlight w:val="none"/>
          <w:lang w:val="en-US" w:eastAsia="zh-CN"/>
        </w:rPr>
      </w:pPr>
      <w:r>
        <w:rPr>
          <w:rFonts w:hint="eastAsia" w:eastAsia="仿宋_GB2312"/>
          <w:sz w:val="32"/>
          <w:szCs w:val="32"/>
          <w:highlight w:val="none"/>
          <w:lang w:val="en-US" w:eastAsia="zh-CN"/>
        </w:rPr>
        <w:t>根据区内地质环境条件、人口及工程设施分布、地质灾害发育分布现状及地质灾害易发程度、风险分区进行地质灾害防治分区，将全县划分为重点防治区、次重点防治区、一般防治区来进行对应防治。分区突出以人为本，尽可能地减少地质灾害造成人员伤亡和财产损失，并结合地方经济发展现状及规划进行。各防治分区基本情况叙述如下（基本情况见附表2）：</w:t>
      </w:r>
    </w:p>
    <w:p w14:paraId="2165E00E">
      <w:pPr>
        <w:adjustRightInd w:val="0"/>
        <w:snapToGrid w:val="0"/>
        <w:spacing w:line="560" w:lineRule="exact"/>
        <w:ind w:firstLine="643" w:firstLineChars="200"/>
        <w:outlineLvl w:val="2"/>
        <w:rPr>
          <w:rFonts w:hint="eastAsia" w:eastAsia="仿宋_GB2312"/>
          <w:b/>
          <w:sz w:val="32"/>
          <w:szCs w:val="32"/>
          <w:highlight w:val="none"/>
          <w:lang w:val="en-US" w:eastAsia="zh-CN"/>
        </w:rPr>
      </w:pPr>
      <w:bookmarkStart w:id="33" w:name="_Toc100583978"/>
      <w:bookmarkStart w:id="34" w:name="_Hlk91001244"/>
      <w:r>
        <w:rPr>
          <w:rFonts w:hint="eastAsia" w:eastAsia="仿宋_GB2312"/>
          <w:b/>
          <w:sz w:val="32"/>
          <w:szCs w:val="32"/>
          <w:highlight w:val="none"/>
          <w:lang w:val="en-US" w:eastAsia="zh-CN"/>
        </w:rPr>
        <w:t>1、重点防治区</w:t>
      </w:r>
      <w:bookmarkEnd w:id="33"/>
      <w:bookmarkEnd w:id="34"/>
    </w:p>
    <w:p w14:paraId="18204B8F">
      <w:pPr>
        <w:spacing w:line="560" w:lineRule="exact"/>
        <w:ind w:firstLine="640" w:firstLineChars="200"/>
        <w:rPr>
          <w:rFonts w:hint="eastAsia" w:eastAsia="仿宋_GB2312"/>
          <w:sz w:val="32"/>
          <w:szCs w:val="32"/>
          <w:highlight w:val="none"/>
          <w:lang w:val="en-US" w:eastAsia="zh-CN"/>
        </w:rPr>
      </w:pPr>
      <w:r>
        <w:rPr>
          <w:rFonts w:hint="eastAsia" w:eastAsia="仿宋_GB2312"/>
          <w:sz w:val="32"/>
          <w:szCs w:val="32"/>
          <w:highlight w:val="none"/>
          <w:lang w:val="en-US" w:eastAsia="zh-CN"/>
        </w:rPr>
        <w:t>阿克陶县地质灾害重点防治区为风险评价中的极高风险区与高风险区，主要分布在</w:t>
      </w:r>
      <w:bookmarkStart w:id="35" w:name="_Hlk91007726"/>
      <w:r>
        <w:rPr>
          <w:rFonts w:hint="eastAsia" w:eastAsia="仿宋_GB2312"/>
          <w:sz w:val="32"/>
          <w:szCs w:val="32"/>
          <w:highlight w:val="none"/>
          <w:lang w:val="en-US" w:eastAsia="zh-CN"/>
        </w:rPr>
        <w:t>中巴公路奥依塔克镇-布伦口段</w:t>
      </w:r>
      <w:bookmarkEnd w:id="35"/>
      <w:r>
        <w:rPr>
          <w:rFonts w:hint="eastAsia" w:eastAsia="仿宋_GB2312"/>
          <w:sz w:val="32"/>
          <w:szCs w:val="32"/>
          <w:highlight w:val="none"/>
          <w:lang w:val="en-US" w:eastAsia="zh-CN"/>
        </w:rPr>
        <w:t>沿线（国道G314）、县域西北部玛尔坎苏河流域、西南部的木吉河流域、中部的盖孜河流域（盖孜河，奥依塔克河，康西瓦尔河）、东部的汗铁力克河、卡拉塔什河流域以及东南部的恰尔隆河流域，该区分布面积6535.16km</w:t>
      </w:r>
      <w:r>
        <w:rPr>
          <w:rFonts w:hint="eastAsia" w:eastAsia="仿宋_GB2312"/>
          <w:sz w:val="32"/>
          <w:szCs w:val="32"/>
          <w:highlight w:val="none"/>
          <w:vertAlign w:val="superscript"/>
          <w:lang w:val="en-US" w:eastAsia="zh-CN"/>
        </w:rPr>
        <w:t>2</w:t>
      </w:r>
      <w:r>
        <w:rPr>
          <w:rFonts w:hint="eastAsia" w:eastAsia="仿宋_GB2312"/>
          <w:sz w:val="32"/>
          <w:szCs w:val="32"/>
          <w:highlight w:val="none"/>
          <w:lang w:val="en-US" w:eastAsia="zh-CN"/>
        </w:rPr>
        <w:t>，占全县行政区总面积的26.08%。该区域内山体陡峭，岩体风化破碎，河流切割严重，地质灾害较为发育，人类工程活动程度较为强烈，一旦发生地质灾害造成的后果也最为严重。区内共分布地质灾害点441处，占县境内地质灾害总数的86.47%，其中崩塌点177处、泥石流点256处、滑坡8处；重点防治点56处，次重点防治点74处，一般防治点311处；近期防治点40处，中期防治点90处，远期防治点311处。</w:t>
      </w:r>
    </w:p>
    <w:p w14:paraId="215E8EAE">
      <w:pPr>
        <w:spacing w:line="560" w:lineRule="exact"/>
        <w:ind w:firstLine="640" w:firstLineChars="200"/>
        <w:jc w:val="left"/>
        <w:rPr>
          <w:rFonts w:hint="eastAsia" w:eastAsia="仿宋_GB2312"/>
          <w:sz w:val="32"/>
          <w:szCs w:val="32"/>
          <w:highlight w:val="none"/>
          <w:lang w:val="en-US" w:eastAsia="zh-CN"/>
        </w:rPr>
      </w:pPr>
      <w:bookmarkStart w:id="36" w:name="_Hlk91003110"/>
      <w:r>
        <w:rPr>
          <w:rFonts w:hint="eastAsia" w:eastAsia="仿宋_GB2312"/>
          <w:sz w:val="32"/>
          <w:szCs w:val="32"/>
          <w:highlight w:val="none"/>
          <w:lang w:val="en-US" w:eastAsia="zh-CN"/>
        </w:rPr>
        <w:t>重点防治区中的国道G314公路，总体呈自东北向西南走向布设，公路全程在盖孜河谷中穿行，两岸为高差达千余米的高山峻岭，基岩裸露、岩石破碎，地质环境条件差，人类工程活动强烈，导致崩塌灾害十分发育；同时由于特殊的地形、地貌、地质、构造及气候条件，形成沟谷两侧地表及沟谷内松散物质充足，一遇暴雨或连续降水，极易发生泥石流灾害，这也使得中巴公路奥依塔克-布伦口段因频繁的泥石流灾害而闻名新疆内外。</w:t>
      </w:r>
    </w:p>
    <w:bookmarkEnd w:id="36"/>
    <w:p w14:paraId="6AE60CA1">
      <w:pPr>
        <w:adjustRightInd w:val="0"/>
        <w:snapToGrid w:val="0"/>
        <w:spacing w:line="560" w:lineRule="exact"/>
        <w:ind w:firstLine="643" w:firstLineChars="200"/>
        <w:outlineLvl w:val="2"/>
        <w:rPr>
          <w:rFonts w:hint="eastAsia" w:eastAsia="仿宋_GB2312"/>
          <w:b/>
          <w:sz w:val="32"/>
          <w:szCs w:val="32"/>
          <w:highlight w:val="none"/>
          <w:lang w:val="en-US" w:eastAsia="zh-CN"/>
        </w:rPr>
      </w:pPr>
      <w:bookmarkStart w:id="37" w:name="_Hlk91007928"/>
      <w:bookmarkStart w:id="38" w:name="_Toc100583979"/>
      <w:r>
        <w:rPr>
          <w:rFonts w:hint="eastAsia" w:eastAsia="仿宋_GB2312"/>
          <w:b/>
          <w:sz w:val="32"/>
          <w:szCs w:val="32"/>
          <w:highlight w:val="none"/>
          <w:lang w:val="en-US" w:eastAsia="zh-CN"/>
        </w:rPr>
        <w:t>2、次重点防治区</w:t>
      </w:r>
      <w:bookmarkEnd w:id="37"/>
      <w:bookmarkEnd w:id="38"/>
    </w:p>
    <w:p w14:paraId="681FCDB9">
      <w:pPr>
        <w:spacing w:line="560" w:lineRule="exact"/>
        <w:ind w:firstLine="640" w:firstLineChars="200"/>
        <w:jc w:val="left"/>
        <w:rPr>
          <w:rFonts w:hint="eastAsia" w:eastAsia="仿宋_GB2312"/>
          <w:sz w:val="32"/>
          <w:szCs w:val="32"/>
          <w:highlight w:val="none"/>
          <w:lang w:val="en-US" w:eastAsia="zh-CN"/>
        </w:rPr>
      </w:pPr>
      <w:bookmarkStart w:id="39" w:name="_Hlk91004320"/>
      <w:r>
        <w:rPr>
          <w:rFonts w:hint="eastAsia" w:eastAsia="仿宋_GB2312"/>
          <w:sz w:val="32"/>
          <w:szCs w:val="32"/>
          <w:highlight w:val="none"/>
          <w:lang w:val="en-US" w:eastAsia="zh-CN"/>
        </w:rPr>
        <w:t>阿克陶县地质灾害次重点防治区为风险评价中的中风险区，主要分布在西南部木吉河流域南部地区、北部奥依塔克和克州种羊场大部区域、东部除重点防治区以外的区域，该区分布面积7845.91km</w:t>
      </w:r>
      <w:r>
        <w:rPr>
          <w:rFonts w:hint="eastAsia" w:eastAsia="仿宋_GB2312"/>
          <w:sz w:val="32"/>
          <w:szCs w:val="32"/>
          <w:highlight w:val="none"/>
          <w:vertAlign w:val="superscript"/>
          <w:lang w:val="en-US" w:eastAsia="zh-CN"/>
        </w:rPr>
        <w:t>2</w:t>
      </w:r>
      <w:r>
        <w:rPr>
          <w:rFonts w:hint="eastAsia" w:eastAsia="仿宋_GB2312"/>
          <w:sz w:val="32"/>
          <w:szCs w:val="32"/>
          <w:highlight w:val="none"/>
          <w:lang w:val="en-US" w:eastAsia="zh-CN"/>
        </w:rPr>
        <w:t>，占全县行政区总面积的31.31%。该区域内地势险峻，自然环境恶劣，人类工程经济活动程度较低。区内共分布地质灾害点69处，占县境内地质灾害总数的13.53%，其中崩塌点23处、泥石流点46处；重点防治点0处，次重点防治点8处，一般防治点61处；近期防治点1处，中期防治点7处，远期防治点61处。</w:t>
      </w:r>
    </w:p>
    <w:bookmarkEnd w:id="39"/>
    <w:p w14:paraId="6461823B">
      <w:pPr>
        <w:adjustRightInd w:val="0"/>
        <w:snapToGrid w:val="0"/>
        <w:spacing w:line="560" w:lineRule="exact"/>
        <w:ind w:firstLine="643" w:firstLineChars="200"/>
        <w:outlineLvl w:val="2"/>
        <w:rPr>
          <w:rFonts w:hint="eastAsia" w:eastAsia="仿宋_GB2312"/>
          <w:b/>
          <w:sz w:val="32"/>
          <w:szCs w:val="32"/>
          <w:highlight w:val="none"/>
          <w:lang w:val="en-US" w:eastAsia="zh-CN"/>
        </w:rPr>
      </w:pPr>
      <w:bookmarkStart w:id="40" w:name="_Hlk91004949"/>
      <w:bookmarkStart w:id="41" w:name="_Toc100583980"/>
      <w:bookmarkStart w:id="42" w:name="_Hlk91004362"/>
      <w:r>
        <w:rPr>
          <w:rFonts w:hint="eastAsia" w:eastAsia="仿宋_GB2312"/>
          <w:b/>
          <w:sz w:val="32"/>
          <w:szCs w:val="32"/>
          <w:highlight w:val="none"/>
          <w:lang w:val="en-US" w:eastAsia="zh-CN"/>
        </w:rPr>
        <w:t>3、一般防治区</w:t>
      </w:r>
      <w:bookmarkEnd w:id="40"/>
      <w:bookmarkEnd w:id="41"/>
      <w:bookmarkEnd w:id="42"/>
    </w:p>
    <w:p w14:paraId="4A758453">
      <w:pPr>
        <w:spacing w:line="560" w:lineRule="exact"/>
        <w:ind w:firstLine="640" w:firstLineChars="200"/>
        <w:rPr>
          <w:rFonts w:hint="eastAsia" w:eastAsia="仿宋_GB2312"/>
          <w:sz w:val="32"/>
          <w:szCs w:val="32"/>
          <w:highlight w:val="none"/>
          <w:lang w:val="en-US" w:eastAsia="zh-CN"/>
        </w:rPr>
      </w:pPr>
      <w:r>
        <w:rPr>
          <w:rFonts w:hint="eastAsia" w:eastAsia="仿宋_GB2312"/>
          <w:sz w:val="32"/>
          <w:szCs w:val="32"/>
          <w:highlight w:val="none"/>
          <w:lang w:val="en-US" w:eastAsia="zh-CN"/>
        </w:rPr>
        <w:t>阿克陶县地质灾害一般防治区为风险评价中的低风险区，主要分布在县境内中南部的公格尔山、公格尔九别峰、慕士塔格山、西北部的昆盖山、西南部的萨勒库勒岭等极高山峰一带、</w:t>
      </w:r>
      <w:bookmarkStart w:id="43" w:name="_Hlk91004901"/>
      <w:r>
        <w:rPr>
          <w:rFonts w:hint="eastAsia" w:eastAsia="仿宋_GB2312"/>
          <w:sz w:val="32"/>
          <w:szCs w:val="32"/>
          <w:highlight w:val="none"/>
          <w:lang w:val="en-US" w:eastAsia="zh-CN"/>
        </w:rPr>
        <w:t>县境内东北部的冲洪积平原区</w:t>
      </w:r>
      <w:bookmarkEnd w:id="43"/>
      <w:r>
        <w:rPr>
          <w:rFonts w:hint="eastAsia" w:eastAsia="仿宋_GB2312"/>
          <w:sz w:val="32"/>
          <w:szCs w:val="32"/>
          <w:highlight w:val="none"/>
          <w:lang w:val="en-US" w:eastAsia="zh-CN"/>
        </w:rPr>
        <w:t>，该区分布面积10681.09km</w:t>
      </w:r>
      <w:r>
        <w:rPr>
          <w:rFonts w:hint="eastAsia" w:eastAsia="仿宋_GB2312"/>
          <w:sz w:val="32"/>
          <w:szCs w:val="32"/>
          <w:highlight w:val="none"/>
          <w:vertAlign w:val="superscript"/>
          <w:lang w:val="en-US" w:eastAsia="zh-CN"/>
        </w:rPr>
        <w:t>2</w:t>
      </w:r>
      <w:r>
        <w:rPr>
          <w:rFonts w:hint="eastAsia" w:eastAsia="仿宋_GB2312"/>
          <w:sz w:val="32"/>
          <w:szCs w:val="32"/>
          <w:highlight w:val="none"/>
          <w:lang w:val="en-US" w:eastAsia="zh-CN"/>
        </w:rPr>
        <w:t>，占全县行政区总面积的42.62%。区内无地质灾害点分布。县境内东北部的冲洪积平原区地质灾害不发育，但是人类工程活动集中，建设有工、农业重要设施。</w:t>
      </w:r>
    </w:p>
    <w:p w14:paraId="39C16505">
      <w:pPr>
        <w:pStyle w:val="2"/>
        <w:spacing w:after="0" w:afterLines="0" w:line="560" w:lineRule="exact"/>
        <w:ind w:firstLine="640" w:firstLineChars="200"/>
        <w:jc w:val="both"/>
        <w:rPr>
          <w:rFonts w:ascii="黑体" w:hAnsi="黑体" w:eastAsia="黑体"/>
          <w:b w:val="0"/>
          <w:szCs w:val="32"/>
          <w:highlight w:val="none"/>
        </w:rPr>
      </w:pPr>
      <w:bookmarkStart w:id="44" w:name="_Toc9322"/>
      <w:bookmarkStart w:id="45" w:name="_Toc345874456"/>
      <w:bookmarkStart w:id="46" w:name="_Toc349826195"/>
      <w:r>
        <w:rPr>
          <w:rFonts w:hint="eastAsia" w:ascii="黑体" w:hAnsi="黑体" w:eastAsia="黑体"/>
          <w:b w:val="0"/>
          <w:szCs w:val="32"/>
          <w:highlight w:val="none"/>
        </w:rPr>
        <w:t>四、防治工作任务</w:t>
      </w:r>
      <w:bookmarkEnd w:id="44"/>
    </w:p>
    <w:p w14:paraId="5DF3ABB9">
      <w:pPr>
        <w:adjustRightInd w:val="0"/>
        <w:snapToGrid w:val="0"/>
        <w:spacing w:line="560" w:lineRule="exact"/>
        <w:ind w:firstLine="664" w:firstLineChars="200"/>
        <w:rPr>
          <w:rFonts w:hint="eastAsia" w:eastAsia="仿宋_GB2312"/>
          <w:snapToGrid w:val="0"/>
          <w:spacing w:val="6"/>
          <w:kern w:val="0"/>
          <w:sz w:val="32"/>
          <w:szCs w:val="32"/>
          <w:highlight w:val="none"/>
        </w:rPr>
      </w:pPr>
      <w:r>
        <w:rPr>
          <w:rFonts w:hint="eastAsia" w:eastAsia="仿宋_GB2312"/>
          <w:snapToGrid w:val="0"/>
          <w:spacing w:val="6"/>
          <w:kern w:val="0"/>
          <w:sz w:val="32"/>
          <w:szCs w:val="32"/>
          <w:highlight w:val="none"/>
        </w:rPr>
        <w:t>依据规划指导思想和目标，结合</w:t>
      </w:r>
      <w:r>
        <w:rPr>
          <w:rFonts w:hint="eastAsia" w:eastAsia="仿宋_GB2312"/>
          <w:snapToGrid w:val="0"/>
          <w:spacing w:val="6"/>
          <w:kern w:val="0"/>
          <w:sz w:val="32"/>
          <w:szCs w:val="32"/>
          <w:highlight w:val="none"/>
          <w:lang w:val="en-US" w:eastAsia="zh-CN"/>
        </w:rPr>
        <w:t>阿克陶</w:t>
      </w:r>
      <w:r>
        <w:rPr>
          <w:rFonts w:hint="eastAsia" w:eastAsia="仿宋_GB2312"/>
          <w:snapToGrid w:val="0"/>
          <w:spacing w:val="6"/>
          <w:kern w:val="0"/>
          <w:sz w:val="32"/>
          <w:szCs w:val="32"/>
          <w:highlight w:val="none"/>
        </w:rPr>
        <w:t>县实际情况，规划期内</w:t>
      </w:r>
      <w:r>
        <w:rPr>
          <w:rFonts w:hint="eastAsia" w:eastAsia="仿宋_GB2312"/>
          <w:snapToGrid w:val="0"/>
          <w:spacing w:val="6"/>
          <w:kern w:val="0"/>
          <w:sz w:val="32"/>
          <w:szCs w:val="32"/>
          <w:highlight w:val="none"/>
          <w:lang w:val="en-US" w:eastAsia="zh-CN"/>
        </w:rPr>
        <w:t>阿克陶</w:t>
      </w:r>
      <w:r>
        <w:rPr>
          <w:rFonts w:hint="eastAsia" w:eastAsia="仿宋_GB2312"/>
          <w:snapToGrid w:val="0"/>
          <w:spacing w:val="6"/>
          <w:kern w:val="0"/>
          <w:sz w:val="32"/>
          <w:szCs w:val="32"/>
          <w:highlight w:val="none"/>
        </w:rPr>
        <w:t>县地质灾害防治任务重点安排以下工作：地质灾害调查评价工作、提升完善地质灾害监测预警体系建设、地质灾害综合治理工程、地质灾害应急能力建设等。</w:t>
      </w:r>
    </w:p>
    <w:p w14:paraId="140873F4">
      <w:pPr>
        <w:pStyle w:val="3"/>
        <w:spacing w:after="0" w:afterLines="0" w:line="560" w:lineRule="exact"/>
        <w:ind w:firstLine="643"/>
        <w:rPr>
          <w:rFonts w:hint="eastAsia" w:ascii="楷体" w:hAnsi="楷体" w:eastAsia="楷体" w:cs="黑体"/>
          <w:sz w:val="32"/>
          <w:highlight w:val="none"/>
        </w:rPr>
      </w:pPr>
      <w:bookmarkStart w:id="47" w:name="_Toc28564"/>
      <w:r>
        <w:rPr>
          <w:rFonts w:hint="eastAsia" w:ascii="楷体" w:hAnsi="楷体" w:eastAsia="楷体" w:cs="黑体"/>
          <w:sz w:val="32"/>
          <w:highlight w:val="none"/>
        </w:rPr>
        <w:t>（一）地质灾害调查评价工作</w:t>
      </w:r>
      <w:bookmarkEnd w:id="47"/>
    </w:p>
    <w:p w14:paraId="520E80F1">
      <w:pPr>
        <w:spacing w:line="560" w:lineRule="exact"/>
        <w:ind w:firstLine="643" w:firstLineChars="200"/>
        <w:rPr>
          <w:rFonts w:hint="eastAsia" w:eastAsia="仿宋_GB2312"/>
          <w:b w:val="0"/>
          <w:bCs/>
          <w:sz w:val="32"/>
          <w:szCs w:val="32"/>
          <w:highlight w:val="none"/>
        </w:rPr>
      </w:pPr>
      <w:r>
        <w:rPr>
          <w:rFonts w:hint="eastAsia" w:eastAsia="仿宋_GB2312"/>
          <w:b/>
          <w:bCs w:val="0"/>
          <w:sz w:val="32"/>
          <w:szCs w:val="32"/>
          <w:highlight w:val="none"/>
        </w:rPr>
        <w:t>1</w:t>
      </w:r>
      <w:r>
        <w:rPr>
          <w:rFonts w:hint="eastAsia" w:eastAsia="仿宋_GB2312"/>
          <w:b/>
          <w:bCs w:val="0"/>
          <w:sz w:val="32"/>
          <w:szCs w:val="32"/>
          <w:highlight w:val="none"/>
          <w:lang w:val="en-US" w:eastAsia="zh-CN"/>
        </w:rPr>
        <w:t>、地质灾害排查工作</w:t>
      </w:r>
      <w:r>
        <w:rPr>
          <w:rFonts w:hint="eastAsia" w:eastAsia="仿宋_GB2312"/>
          <w:b/>
          <w:bCs w:val="0"/>
          <w:sz w:val="32"/>
          <w:szCs w:val="32"/>
          <w:highlight w:val="none"/>
        </w:rPr>
        <w:t>。</w:t>
      </w:r>
      <w:r>
        <w:rPr>
          <w:rFonts w:hint="eastAsia" w:eastAsia="仿宋_GB2312"/>
          <w:b w:val="0"/>
          <w:bCs/>
          <w:sz w:val="32"/>
          <w:szCs w:val="32"/>
          <w:highlight w:val="none"/>
        </w:rPr>
        <w:t>持续开展易发区地质灾害隐患“三查”制度，即汛前排查、汛中巡查、汛后核查，实施地质灾害隐患点的动态更新管理。有关地质灾害防治责任单位对其所负责的领域开展地质灾害隐患排查整治工作，有效防范人为活动造成的地质灾害危害。</w:t>
      </w:r>
    </w:p>
    <w:p w14:paraId="3FAAECA8">
      <w:pPr>
        <w:spacing w:line="560" w:lineRule="exact"/>
        <w:ind w:firstLine="643" w:firstLineChars="200"/>
        <w:rPr>
          <w:rFonts w:hint="eastAsia" w:eastAsia="仿宋_GB2312"/>
          <w:b w:val="0"/>
          <w:bCs/>
          <w:sz w:val="32"/>
          <w:szCs w:val="32"/>
          <w:highlight w:val="none"/>
          <w:lang w:eastAsia="zh-CN"/>
        </w:rPr>
      </w:pPr>
      <w:r>
        <w:rPr>
          <w:rFonts w:hint="eastAsia" w:eastAsia="仿宋_GB2312"/>
          <w:b/>
          <w:bCs w:val="0"/>
          <w:sz w:val="32"/>
          <w:szCs w:val="32"/>
          <w:highlight w:val="none"/>
        </w:rPr>
        <w:t>2</w:t>
      </w:r>
      <w:r>
        <w:rPr>
          <w:rFonts w:hint="eastAsia" w:eastAsia="仿宋_GB2312"/>
          <w:b/>
          <w:bCs w:val="0"/>
          <w:sz w:val="32"/>
          <w:szCs w:val="32"/>
          <w:highlight w:val="none"/>
          <w:lang w:val="en-US" w:eastAsia="zh-CN"/>
        </w:rPr>
        <w:t>.地质灾害更新调查及精细化调查</w:t>
      </w:r>
      <w:r>
        <w:rPr>
          <w:rFonts w:hint="eastAsia" w:eastAsia="仿宋_GB2312"/>
          <w:b/>
          <w:bCs w:val="0"/>
          <w:sz w:val="32"/>
          <w:szCs w:val="32"/>
          <w:highlight w:val="none"/>
        </w:rPr>
        <w:t>。</w:t>
      </w:r>
      <w:r>
        <w:rPr>
          <w:rFonts w:hint="eastAsia" w:eastAsia="仿宋_GB2312"/>
          <w:b w:val="0"/>
          <w:bCs/>
          <w:sz w:val="32"/>
          <w:szCs w:val="32"/>
          <w:highlight w:val="none"/>
          <w:lang w:eastAsia="zh-CN"/>
        </w:rPr>
        <w:t>在已完成的地质灾害风险调查评价基础上，开展全县域1:5万地质灾害更新调查，掌握地质灾害风险底数，查明地质灾害分布规律、孕灾机理，进行易发性、危险性评价，更新地质灾害数据库。围绕地质灾害高易发区及重点灾害点分布，分别在克孜勒陶乡和阿克塔拉牧场，布伦口乡开展重点乡镇1:10000地质灾害精细化调查。在前期地质灾害调查及风险区划成果的基础上，以乡镇中、高、极高风险区为重点工作区开展山地斜坡以及滑坡、崩塌、泥石流灾害精细调查，识别地质灾害危险源，总结地质灾害发育分布规律，分析地质灾害形成机理和成灾模式，识别评价斜坡发生地质灾害的风险，提出风险管控对策措施，为组织开展地质灾害群测群防、监测预警和应急避险，地质灾害综合治理提供依据，全面支撑阿克陶县的地质灾害防治管理工作。</w:t>
      </w:r>
    </w:p>
    <w:p w14:paraId="48A35D11">
      <w:pPr>
        <w:spacing w:line="560" w:lineRule="exact"/>
        <w:ind w:firstLine="640" w:firstLineChars="200"/>
        <w:rPr>
          <w:rFonts w:hint="eastAsia" w:eastAsia="仿宋_GB2312"/>
          <w:b w:val="0"/>
          <w:bCs/>
          <w:sz w:val="32"/>
          <w:szCs w:val="32"/>
          <w:highlight w:val="none"/>
          <w:lang w:eastAsia="zh-CN"/>
        </w:rPr>
      </w:pPr>
    </w:p>
    <w:p w14:paraId="240A7F88">
      <w:pPr>
        <w:spacing w:line="560" w:lineRule="exact"/>
        <w:ind w:firstLine="640" w:firstLineChars="200"/>
        <w:rPr>
          <w:rFonts w:hint="eastAsia" w:eastAsia="仿宋_GB2312"/>
          <w:b w:val="0"/>
          <w:bCs/>
          <w:sz w:val="32"/>
          <w:szCs w:val="32"/>
          <w:highlight w:val="none"/>
          <w:lang w:eastAsia="zh-CN"/>
        </w:rPr>
      </w:pPr>
    </w:p>
    <w:tbl>
      <w:tblPr>
        <w:tblStyle w:val="32"/>
        <w:tblW w:w="5020" w:type="pct"/>
        <w:tblInd w:w="0" w:type="dxa"/>
        <w:tblLayout w:type="fixed"/>
        <w:tblCellMar>
          <w:top w:w="0" w:type="dxa"/>
          <w:left w:w="0" w:type="dxa"/>
          <w:bottom w:w="0" w:type="dxa"/>
          <w:right w:w="0" w:type="dxa"/>
        </w:tblCellMar>
      </w:tblPr>
      <w:tblGrid>
        <w:gridCol w:w="9116"/>
      </w:tblGrid>
      <w:tr w14:paraId="09E378B1">
        <w:tblPrEx>
          <w:tblCellMar>
            <w:top w:w="0" w:type="dxa"/>
            <w:left w:w="0" w:type="dxa"/>
            <w:bottom w:w="0" w:type="dxa"/>
            <w:right w:w="0" w:type="dxa"/>
          </w:tblCellMar>
        </w:tblPrEx>
        <w:trPr>
          <w:trHeight w:val="475" w:hRule="atLeast"/>
        </w:trPr>
        <w:tc>
          <w:tcPr>
            <w:tcW w:w="50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4E12BC">
            <w:pPr>
              <w:adjustRightInd w:val="0"/>
              <w:snapToGrid w:val="0"/>
              <w:spacing w:line="240" w:lineRule="auto"/>
              <w:jc w:val="center"/>
              <w:rPr>
                <w:rFonts w:hint="default" w:eastAsia="仿宋_GB2312"/>
                <w:b/>
                <w:kern w:val="0"/>
                <w:sz w:val="24"/>
                <w:highlight w:val="none"/>
                <w:lang w:val="en-US" w:eastAsia="zh-CN"/>
              </w:rPr>
            </w:pPr>
            <w:r>
              <w:rPr>
                <w:rFonts w:hint="eastAsia" w:eastAsia="仿宋_GB2312"/>
                <w:b w:val="0"/>
                <w:bCs/>
                <w:kern w:val="0"/>
                <w:sz w:val="24"/>
                <w:highlight w:val="none"/>
                <w:lang w:val="en-US" w:eastAsia="zh-CN"/>
              </w:rPr>
              <w:t>专栏一       地质灾害调查评价工作部署</w:t>
            </w:r>
          </w:p>
        </w:tc>
      </w:tr>
      <w:tr w14:paraId="40669691">
        <w:tblPrEx>
          <w:tblCellMar>
            <w:top w:w="0" w:type="dxa"/>
            <w:left w:w="0" w:type="dxa"/>
            <w:bottom w:w="0" w:type="dxa"/>
            <w:right w:w="0" w:type="dxa"/>
          </w:tblCellMar>
        </w:tblPrEx>
        <w:trPr>
          <w:trHeight w:val="475" w:hRule="atLeast"/>
        </w:trPr>
        <w:tc>
          <w:tcPr>
            <w:tcW w:w="50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2B1FE5">
            <w:pPr>
              <w:widowControl/>
              <w:adjustRightInd w:val="0"/>
              <w:snapToGrid w:val="0"/>
              <w:spacing w:line="240" w:lineRule="auto"/>
              <w:jc w:val="both"/>
              <w:rPr>
                <w:rFonts w:hint="eastAsia" w:eastAsia="仿宋_GB2312"/>
                <w:kern w:val="0"/>
                <w:sz w:val="24"/>
                <w:highlight w:val="none"/>
                <w:lang w:val="en-US" w:eastAsia="zh-CN"/>
              </w:rPr>
            </w:pPr>
            <w:r>
              <w:rPr>
                <w:rFonts w:hint="eastAsia" w:eastAsia="仿宋_GB2312"/>
                <w:kern w:val="0"/>
                <w:sz w:val="24"/>
                <w:highlight w:val="none"/>
                <w:lang w:val="en-US" w:eastAsia="zh-CN"/>
              </w:rPr>
              <w:t>01 地质灾害隐患排查</w:t>
            </w:r>
          </w:p>
          <w:p w14:paraId="36A283BF">
            <w:pPr>
              <w:widowControl/>
              <w:adjustRightInd w:val="0"/>
              <w:snapToGrid w:val="0"/>
              <w:spacing w:line="240" w:lineRule="auto"/>
              <w:ind w:firstLine="480" w:firstLineChars="200"/>
              <w:jc w:val="both"/>
              <w:rPr>
                <w:rFonts w:hint="default" w:eastAsia="仿宋_GB2312"/>
                <w:kern w:val="0"/>
                <w:sz w:val="24"/>
                <w:highlight w:val="none"/>
                <w:lang w:val="en-US" w:eastAsia="zh-CN"/>
              </w:rPr>
            </w:pPr>
            <w:r>
              <w:rPr>
                <w:rFonts w:hint="eastAsia" w:eastAsia="仿宋_GB2312"/>
                <w:kern w:val="0"/>
                <w:sz w:val="24"/>
                <w:highlight w:val="none"/>
                <w:lang w:val="en-US" w:eastAsia="zh-CN"/>
              </w:rPr>
              <w:t>地质灾害隐患年度汛前排查、汛中巡查、汛后核查，县域内动态排查</w:t>
            </w:r>
          </w:p>
        </w:tc>
      </w:tr>
      <w:tr w14:paraId="07FC81B8">
        <w:tblPrEx>
          <w:tblCellMar>
            <w:top w:w="0" w:type="dxa"/>
            <w:left w:w="0" w:type="dxa"/>
            <w:bottom w:w="0" w:type="dxa"/>
            <w:right w:w="0" w:type="dxa"/>
          </w:tblCellMar>
        </w:tblPrEx>
        <w:trPr>
          <w:trHeight w:val="475" w:hRule="atLeast"/>
        </w:trPr>
        <w:tc>
          <w:tcPr>
            <w:tcW w:w="50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888381">
            <w:pPr>
              <w:widowControl/>
              <w:adjustRightInd w:val="0"/>
              <w:snapToGrid w:val="0"/>
              <w:spacing w:line="240" w:lineRule="auto"/>
              <w:jc w:val="both"/>
              <w:rPr>
                <w:rFonts w:hint="default" w:eastAsia="仿宋_GB2312"/>
                <w:kern w:val="0"/>
                <w:sz w:val="24"/>
                <w:highlight w:val="none"/>
                <w:lang w:val="en-US" w:eastAsia="zh-CN"/>
              </w:rPr>
            </w:pPr>
            <w:r>
              <w:rPr>
                <w:rFonts w:hint="eastAsia" w:eastAsia="仿宋_GB2312"/>
                <w:kern w:val="0"/>
                <w:sz w:val="24"/>
                <w:highlight w:val="none"/>
                <w:lang w:val="en-US" w:eastAsia="zh-CN"/>
              </w:rPr>
              <w:t>02 地质灾害更新调查及精细化调查</w:t>
            </w:r>
          </w:p>
          <w:p w14:paraId="14ACF6E2">
            <w:pPr>
              <w:widowControl/>
              <w:adjustRightInd w:val="0"/>
              <w:snapToGrid w:val="0"/>
              <w:spacing w:line="240" w:lineRule="auto"/>
              <w:ind w:firstLine="480" w:firstLineChars="200"/>
              <w:jc w:val="both"/>
              <w:rPr>
                <w:rFonts w:hint="default" w:eastAsia="仿宋_GB2312"/>
                <w:kern w:val="0"/>
                <w:sz w:val="24"/>
                <w:highlight w:val="none"/>
                <w:lang w:val="en-US" w:eastAsia="zh-CN"/>
              </w:rPr>
            </w:pPr>
            <w:r>
              <w:rPr>
                <w:rFonts w:hint="eastAsia" w:eastAsia="仿宋_GB2312"/>
                <w:kern w:val="0"/>
                <w:sz w:val="24"/>
                <w:highlight w:val="none"/>
                <w:lang w:val="en-US" w:eastAsia="zh-CN"/>
              </w:rPr>
              <w:t>规划期内完成1:5万</w:t>
            </w:r>
            <w:r>
              <w:rPr>
                <w:rFonts w:hint="default" w:eastAsia="仿宋_GB2312"/>
                <w:kern w:val="0"/>
                <w:sz w:val="24"/>
                <w:highlight w:val="none"/>
                <w:lang w:val="en-US" w:eastAsia="zh-CN"/>
              </w:rPr>
              <w:t>地质灾害</w:t>
            </w:r>
            <w:r>
              <w:rPr>
                <w:rFonts w:hint="eastAsia" w:eastAsia="仿宋_GB2312"/>
                <w:kern w:val="0"/>
                <w:sz w:val="24"/>
                <w:highlight w:val="none"/>
                <w:lang w:val="en-US" w:eastAsia="zh-CN"/>
              </w:rPr>
              <w:t>更新调查，调查面积25062.16km</w:t>
            </w:r>
            <w:r>
              <w:rPr>
                <w:rFonts w:hint="eastAsia" w:eastAsia="仿宋_GB2312"/>
                <w:kern w:val="0"/>
                <w:sz w:val="24"/>
                <w:highlight w:val="none"/>
                <w:vertAlign w:val="superscript"/>
                <w:lang w:val="en-US" w:eastAsia="zh-CN"/>
              </w:rPr>
              <w:t>2</w:t>
            </w:r>
            <w:r>
              <w:rPr>
                <w:rFonts w:hint="eastAsia" w:eastAsia="仿宋_GB2312"/>
                <w:kern w:val="0"/>
                <w:sz w:val="24"/>
                <w:highlight w:val="none"/>
                <w:lang w:val="en-US" w:eastAsia="zh-CN"/>
              </w:rPr>
              <w:t>。针对克孜勒陶乡-阿克塔拉牧场沿线（调查面积5936.11km</w:t>
            </w:r>
            <w:r>
              <w:rPr>
                <w:rFonts w:hint="eastAsia" w:eastAsia="仿宋_GB2312"/>
                <w:kern w:val="0"/>
                <w:sz w:val="24"/>
                <w:highlight w:val="none"/>
                <w:vertAlign w:val="superscript"/>
                <w:lang w:val="en-US" w:eastAsia="zh-CN"/>
              </w:rPr>
              <w:t>2</w:t>
            </w:r>
            <w:r>
              <w:rPr>
                <w:rFonts w:hint="eastAsia" w:eastAsia="仿宋_GB2312"/>
                <w:kern w:val="0"/>
                <w:sz w:val="24"/>
                <w:highlight w:val="none"/>
                <w:lang w:val="en-US" w:eastAsia="zh-CN"/>
              </w:rPr>
              <w:t>）、</w:t>
            </w:r>
            <w:r>
              <w:rPr>
                <w:rFonts w:hint="default" w:eastAsia="仿宋_GB2312"/>
                <w:kern w:val="0"/>
                <w:sz w:val="24"/>
                <w:highlight w:val="none"/>
                <w:lang w:val="en-US" w:eastAsia="zh-CN"/>
              </w:rPr>
              <w:t>布伦口乡</w:t>
            </w:r>
            <w:r>
              <w:rPr>
                <w:rFonts w:hint="eastAsia" w:eastAsia="仿宋_GB2312"/>
                <w:kern w:val="0"/>
                <w:sz w:val="24"/>
                <w:highlight w:val="none"/>
                <w:lang w:val="en-US" w:eastAsia="zh-CN"/>
              </w:rPr>
              <w:t>（调查面积5705.29km</w:t>
            </w:r>
            <w:r>
              <w:rPr>
                <w:rFonts w:hint="eastAsia" w:eastAsia="仿宋_GB2312"/>
                <w:kern w:val="0"/>
                <w:sz w:val="24"/>
                <w:highlight w:val="none"/>
                <w:vertAlign w:val="superscript"/>
                <w:lang w:val="en-US" w:eastAsia="zh-CN"/>
              </w:rPr>
              <w:t>2</w:t>
            </w:r>
            <w:r>
              <w:rPr>
                <w:rFonts w:hint="eastAsia" w:eastAsia="仿宋_GB2312"/>
                <w:kern w:val="0"/>
                <w:sz w:val="24"/>
                <w:highlight w:val="none"/>
                <w:lang w:val="en-US" w:eastAsia="zh-CN"/>
              </w:rPr>
              <w:t>）分别开展重点乡镇1:10000地质灾害精细化调查</w:t>
            </w:r>
          </w:p>
        </w:tc>
      </w:tr>
    </w:tbl>
    <w:p w14:paraId="040FE5F1">
      <w:pPr>
        <w:pStyle w:val="3"/>
        <w:spacing w:after="0" w:afterLines="0" w:line="560" w:lineRule="exact"/>
        <w:ind w:firstLine="643"/>
        <w:rPr>
          <w:rFonts w:ascii="楷体" w:hAnsi="楷体" w:eastAsia="楷体" w:cs="黑体"/>
          <w:sz w:val="32"/>
          <w:highlight w:val="none"/>
        </w:rPr>
      </w:pPr>
      <w:bookmarkStart w:id="48" w:name="_Toc9707"/>
      <w:r>
        <w:rPr>
          <w:rFonts w:hint="eastAsia" w:ascii="楷体" w:hAnsi="楷体" w:eastAsia="楷体" w:cs="黑体"/>
          <w:sz w:val="32"/>
          <w:highlight w:val="none"/>
        </w:rPr>
        <w:t>（二）提升完善地质灾害监测预警体系建设</w:t>
      </w:r>
      <w:bookmarkEnd w:id="48"/>
    </w:p>
    <w:p w14:paraId="5CA6D738">
      <w:pPr>
        <w:adjustRightInd w:val="0"/>
        <w:snapToGrid w:val="0"/>
        <w:spacing w:line="560" w:lineRule="exact"/>
        <w:ind w:firstLine="640" w:firstLineChars="200"/>
        <w:rPr>
          <w:rFonts w:hint="eastAsia" w:eastAsia="仿宋_GB2312"/>
          <w:sz w:val="32"/>
          <w:szCs w:val="32"/>
          <w:highlight w:val="none"/>
        </w:rPr>
      </w:pPr>
      <w:bookmarkStart w:id="49" w:name="_Toc77918405"/>
      <w:r>
        <w:rPr>
          <w:rFonts w:hint="eastAsia" w:eastAsia="仿宋_GB2312"/>
          <w:sz w:val="32"/>
          <w:szCs w:val="32"/>
          <w:highlight w:val="none"/>
        </w:rPr>
        <w:t>充分发挥地质灾害防治“第一道防线”作用，确保实现地质灾害隐患点群测群防全覆盖。完善地质灾害群测群防工作制度和机制，加强群测群防员遴选和激励机制，推行网格化管理模式，强化监测设备配备和技术培训，提高识灾、观测、辨灾、处置、自救、互救能力，健全群测群防资金保障机制和成功避险奖励机制，持续提升群测群防管理水平。</w:t>
      </w:r>
    </w:p>
    <w:p w14:paraId="781BA1FA">
      <w:pPr>
        <w:adjustRightInd w:val="0"/>
        <w:snapToGrid w:val="0"/>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强化预警信息平台，采取广播、电视、短信、传真、专报等方式，将预报信息发布到各成员单位、各级防灾责任人、受威胁对象，实现信息到乡、到村、到户、到人，建成统一的地质灾害预警预报体系。加强自然资源、应急、气象、水利等部门协作，畅通监测数据和预警信息共享渠道，进一步提高地质灾害预警工作的精准性和时效性，为政府和公众提供高质量的信息服务。</w:t>
      </w:r>
    </w:p>
    <w:p w14:paraId="6FB5369E">
      <w:pPr>
        <w:adjustRightInd w:val="0"/>
        <w:snapToGrid w:val="0"/>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继续加强地质灾害</w:t>
      </w:r>
      <w:r>
        <w:rPr>
          <w:rFonts w:hint="eastAsia" w:eastAsia="仿宋_GB2312"/>
          <w:sz w:val="32"/>
          <w:szCs w:val="32"/>
          <w:highlight w:val="none"/>
          <w:lang w:val="en-US" w:eastAsia="zh-CN"/>
        </w:rPr>
        <w:t>监测预警网点</w:t>
      </w:r>
      <w:r>
        <w:rPr>
          <w:rFonts w:hint="eastAsia" w:eastAsia="仿宋_GB2312"/>
          <w:sz w:val="32"/>
          <w:szCs w:val="32"/>
          <w:highlight w:val="none"/>
        </w:rPr>
        <w:t>建设，完善全县5</w:t>
      </w:r>
      <w:r>
        <w:rPr>
          <w:rFonts w:hint="eastAsia" w:eastAsia="仿宋_GB2312"/>
          <w:sz w:val="32"/>
          <w:szCs w:val="32"/>
          <w:highlight w:val="none"/>
          <w:lang w:val="en-US" w:eastAsia="zh-CN"/>
        </w:rPr>
        <w:t>6</w:t>
      </w:r>
      <w:r>
        <w:rPr>
          <w:rFonts w:hint="eastAsia" w:eastAsia="仿宋_GB2312"/>
          <w:sz w:val="32"/>
          <w:szCs w:val="32"/>
          <w:highlight w:val="none"/>
        </w:rPr>
        <w:t>处</w:t>
      </w:r>
      <w:r>
        <w:rPr>
          <w:rFonts w:hint="eastAsia" w:eastAsia="仿宋_GB2312"/>
          <w:sz w:val="32"/>
          <w:szCs w:val="32"/>
          <w:highlight w:val="none"/>
          <w:lang w:val="en-US" w:eastAsia="zh-CN"/>
        </w:rPr>
        <w:t>重要</w:t>
      </w:r>
      <w:r>
        <w:rPr>
          <w:rFonts w:hint="eastAsia" w:eastAsia="仿宋_GB2312"/>
          <w:sz w:val="32"/>
          <w:szCs w:val="32"/>
          <w:highlight w:val="none"/>
        </w:rPr>
        <w:t>地质灾害隐患点的</w:t>
      </w:r>
      <w:r>
        <w:rPr>
          <w:rFonts w:hint="eastAsia" w:eastAsia="仿宋_GB2312"/>
          <w:sz w:val="32"/>
          <w:szCs w:val="32"/>
          <w:highlight w:val="none"/>
          <w:lang w:val="en-US" w:eastAsia="zh-CN"/>
        </w:rPr>
        <w:t>监测预警建设</w:t>
      </w:r>
      <w:r>
        <w:rPr>
          <w:rFonts w:hint="eastAsia" w:eastAsia="仿宋_GB2312"/>
          <w:sz w:val="32"/>
          <w:szCs w:val="32"/>
          <w:highlight w:val="none"/>
        </w:rPr>
        <w:t>工作。</w:t>
      </w:r>
    </w:p>
    <w:tbl>
      <w:tblPr>
        <w:tblStyle w:val="32"/>
        <w:tblW w:w="5020" w:type="pct"/>
        <w:tblInd w:w="0" w:type="dxa"/>
        <w:tblLayout w:type="fixed"/>
        <w:tblCellMar>
          <w:top w:w="0" w:type="dxa"/>
          <w:left w:w="0" w:type="dxa"/>
          <w:bottom w:w="0" w:type="dxa"/>
          <w:right w:w="0" w:type="dxa"/>
        </w:tblCellMar>
      </w:tblPr>
      <w:tblGrid>
        <w:gridCol w:w="9116"/>
      </w:tblGrid>
      <w:tr w14:paraId="687F98A1">
        <w:tblPrEx>
          <w:tblCellMar>
            <w:top w:w="0" w:type="dxa"/>
            <w:left w:w="0" w:type="dxa"/>
            <w:bottom w:w="0" w:type="dxa"/>
            <w:right w:w="0" w:type="dxa"/>
          </w:tblCellMar>
        </w:tblPrEx>
        <w:trPr>
          <w:trHeight w:val="475" w:hRule="atLeast"/>
        </w:trPr>
        <w:tc>
          <w:tcPr>
            <w:tcW w:w="50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F9C6C2">
            <w:pPr>
              <w:adjustRightInd w:val="0"/>
              <w:snapToGrid w:val="0"/>
              <w:spacing w:line="240" w:lineRule="auto"/>
              <w:jc w:val="center"/>
              <w:rPr>
                <w:rFonts w:hint="default" w:eastAsia="仿宋_GB2312"/>
                <w:kern w:val="0"/>
                <w:sz w:val="24"/>
                <w:highlight w:val="none"/>
                <w:lang w:val="en-US" w:eastAsia="zh-CN"/>
              </w:rPr>
            </w:pPr>
            <w:r>
              <w:rPr>
                <w:rFonts w:hint="eastAsia" w:eastAsia="仿宋_GB2312"/>
                <w:b w:val="0"/>
                <w:bCs/>
                <w:kern w:val="0"/>
                <w:sz w:val="24"/>
                <w:highlight w:val="none"/>
                <w:lang w:val="en-US" w:eastAsia="zh-CN"/>
              </w:rPr>
              <w:t>专栏二       地质灾害监测预警体系建设工作部署</w:t>
            </w:r>
          </w:p>
        </w:tc>
      </w:tr>
      <w:tr w14:paraId="471F5420">
        <w:tblPrEx>
          <w:tblCellMar>
            <w:top w:w="0" w:type="dxa"/>
            <w:left w:w="0" w:type="dxa"/>
            <w:bottom w:w="0" w:type="dxa"/>
            <w:right w:w="0" w:type="dxa"/>
          </w:tblCellMar>
        </w:tblPrEx>
        <w:trPr>
          <w:trHeight w:val="475" w:hRule="atLeast"/>
        </w:trPr>
        <w:tc>
          <w:tcPr>
            <w:tcW w:w="50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8EDF1C">
            <w:pPr>
              <w:widowControl/>
              <w:adjustRightInd w:val="0"/>
              <w:snapToGrid w:val="0"/>
              <w:spacing w:line="240" w:lineRule="auto"/>
              <w:jc w:val="both"/>
              <w:rPr>
                <w:rFonts w:hint="eastAsia" w:eastAsia="仿宋_GB2312"/>
                <w:kern w:val="0"/>
                <w:sz w:val="24"/>
                <w:highlight w:val="none"/>
                <w:lang w:val="en-US" w:eastAsia="zh-CN"/>
              </w:rPr>
            </w:pPr>
            <w:r>
              <w:rPr>
                <w:rFonts w:hint="eastAsia" w:eastAsia="仿宋_GB2312"/>
                <w:kern w:val="0"/>
                <w:sz w:val="24"/>
                <w:highlight w:val="none"/>
                <w:lang w:val="en-US" w:eastAsia="zh-CN"/>
              </w:rPr>
              <w:t>01 重要地质灾害隐患监测预警网点建设</w:t>
            </w:r>
          </w:p>
          <w:p w14:paraId="2EC6A4E1">
            <w:pPr>
              <w:widowControl/>
              <w:adjustRightInd w:val="0"/>
              <w:snapToGrid w:val="0"/>
              <w:spacing w:line="240" w:lineRule="auto"/>
              <w:ind w:firstLine="480" w:firstLineChars="200"/>
              <w:jc w:val="both"/>
              <w:rPr>
                <w:rFonts w:hint="default" w:eastAsia="仿宋_GB2312"/>
                <w:kern w:val="0"/>
                <w:sz w:val="24"/>
                <w:highlight w:val="none"/>
                <w:lang w:val="en-US" w:eastAsia="zh-CN"/>
              </w:rPr>
            </w:pPr>
            <w:r>
              <w:rPr>
                <w:rFonts w:hint="eastAsia" w:eastAsia="仿宋_GB2312"/>
                <w:kern w:val="0"/>
                <w:sz w:val="24"/>
                <w:highlight w:val="none"/>
                <w:lang w:val="en-US" w:eastAsia="zh-CN"/>
              </w:rPr>
              <w:t>继续加强地质灾害监测预警网点建设，完善全县56处重要地质灾害隐患点的监测预警建设工作。</w:t>
            </w:r>
          </w:p>
        </w:tc>
      </w:tr>
      <w:tr w14:paraId="415D7F66">
        <w:tblPrEx>
          <w:tblCellMar>
            <w:top w:w="0" w:type="dxa"/>
            <w:left w:w="0" w:type="dxa"/>
            <w:bottom w:w="0" w:type="dxa"/>
            <w:right w:w="0" w:type="dxa"/>
          </w:tblCellMar>
        </w:tblPrEx>
        <w:trPr>
          <w:trHeight w:val="475" w:hRule="atLeast"/>
        </w:trPr>
        <w:tc>
          <w:tcPr>
            <w:tcW w:w="50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E03C44">
            <w:pPr>
              <w:widowControl/>
              <w:adjustRightInd w:val="0"/>
              <w:snapToGrid w:val="0"/>
              <w:spacing w:line="240" w:lineRule="auto"/>
              <w:jc w:val="both"/>
              <w:rPr>
                <w:rFonts w:hint="default" w:eastAsia="仿宋_GB2312"/>
                <w:kern w:val="0"/>
                <w:sz w:val="24"/>
                <w:highlight w:val="none"/>
                <w:lang w:val="en-US" w:eastAsia="zh-CN"/>
              </w:rPr>
            </w:pPr>
            <w:r>
              <w:rPr>
                <w:rFonts w:hint="eastAsia" w:eastAsia="仿宋_GB2312"/>
                <w:kern w:val="0"/>
                <w:sz w:val="24"/>
                <w:highlight w:val="none"/>
                <w:lang w:val="en-US" w:eastAsia="zh-CN"/>
              </w:rPr>
              <w:t>02 易发区地质灾害气象风险预警精准度、时效性、覆盖率</w:t>
            </w:r>
          </w:p>
          <w:p w14:paraId="4806933C">
            <w:pPr>
              <w:widowControl/>
              <w:adjustRightInd w:val="0"/>
              <w:snapToGrid w:val="0"/>
              <w:spacing w:line="240" w:lineRule="auto"/>
              <w:ind w:firstLine="480" w:firstLineChars="200"/>
              <w:jc w:val="both"/>
              <w:rPr>
                <w:rFonts w:hint="default" w:eastAsia="仿宋_GB2312"/>
                <w:kern w:val="0"/>
                <w:sz w:val="24"/>
                <w:highlight w:val="none"/>
                <w:lang w:val="en-US" w:eastAsia="zh-CN"/>
              </w:rPr>
            </w:pPr>
            <w:r>
              <w:rPr>
                <w:rFonts w:hint="eastAsia" w:eastAsia="仿宋_GB2312"/>
                <w:kern w:val="0"/>
                <w:sz w:val="24"/>
                <w:highlight w:val="none"/>
                <w:lang w:val="en-US" w:eastAsia="zh-CN"/>
              </w:rPr>
              <w:t>加强自然资源、应急、气象、水利等部门协作，畅通监测数据和预警信息共享渠道，进一步提高地质灾害预警工作的精准性和时效性，为政府和公众提供高质量的信息服务。</w:t>
            </w:r>
          </w:p>
        </w:tc>
      </w:tr>
    </w:tbl>
    <w:p w14:paraId="3AD6ED4D">
      <w:pPr>
        <w:adjustRightInd w:val="0"/>
        <w:snapToGrid w:val="0"/>
        <w:spacing w:line="560" w:lineRule="exact"/>
        <w:ind w:firstLine="640" w:firstLineChars="200"/>
        <w:rPr>
          <w:rFonts w:hint="eastAsia" w:ascii="仿宋_GB2312" w:hAnsi="仿宋_GB2312" w:eastAsia="仿宋_GB2312" w:cs="仿宋_GB2312"/>
          <w:b w:val="0"/>
          <w:bCs/>
          <w:sz w:val="32"/>
          <w:szCs w:val="32"/>
          <w:highlight w:val="none"/>
          <w:lang w:val="en-US" w:eastAsia="zh-CN"/>
        </w:rPr>
      </w:pPr>
    </w:p>
    <w:bookmarkEnd w:id="49"/>
    <w:p w14:paraId="305A3262">
      <w:pPr>
        <w:pStyle w:val="3"/>
        <w:spacing w:after="0" w:afterLines="0" w:line="560" w:lineRule="exact"/>
        <w:ind w:firstLine="643"/>
        <w:rPr>
          <w:rFonts w:hint="default" w:ascii="楷体" w:hAnsi="楷体" w:eastAsia="楷体" w:cs="黑体"/>
          <w:sz w:val="32"/>
          <w:highlight w:val="none"/>
          <w:lang w:val="en-US" w:eastAsia="zh-CN"/>
        </w:rPr>
      </w:pPr>
      <w:bookmarkStart w:id="50" w:name="_Toc13652"/>
      <w:r>
        <w:rPr>
          <w:rFonts w:hint="eastAsia" w:ascii="楷体" w:hAnsi="楷体" w:eastAsia="楷体" w:cs="黑体"/>
          <w:sz w:val="32"/>
          <w:highlight w:val="none"/>
        </w:rPr>
        <w:t>（三）地质灾害综合治理工程</w:t>
      </w:r>
      <w:bookmarkEnd w:id="50"/>
    </w:p>
    <w:p w14:paraId="27CDC705">
      <w:pPr>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依据“预防为主、突出重点的原则”，优先安排那些因自然因素形成的、危险性大、危害严重的地质灾害进行治理。对人为引发的地质灾害，按照“谁引发，谁治理”的原则，由责任单位承担治理责任。对受损或防治能力降低的地质灾害治理工程，及时采取清淤、加固、维修、修缮等措施进行维护，确保防治工程的长期安全运行。</w:t>
      </w:r>
    </w:p>
    <w:p w14:paraId="0AD0155E">
      <w:pPr>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规划实施中，根据当地社会经济发展现状和地质灾害危害情况，多方筹集资金，制定详细搬迁避让和工程治理方案，进行优化调整。若发现新的地质灾害重大危险点时，可根据具体情况，进行及时调整。</w:t>
      </w:r>
    </w:p>
    <w:p w14:paraId="4418045F">
      <w:pPr>
        <w:spacing w:line="560" w:lineRule="exact"/>
        <w:ind w:firstLine="640" w:firstLineChars="200"/>
        <w:rPr>
          <w:rFonts w:eastAsia="仿宋_GB2312"/>
          <w:sz w:val="32"/>
          <w:szCs w:val="32"/>
          <w:highlight w:val="none"/>
        </w:rPr>
      </w:pPr>
      <w:r>
        <w:rPr>
          <w:rFonts w:hint="eastAsia" w:eastAsia="仿宋_GB2312"/>
          <w:sz w:val="32"/>
          <w:szCs w:val="32"/>
          <w:highlight w:val="none"/>
        </w:rPr>
        <w:t>规划中的工程治理项目未消除隐患前，仍需常态化监测，做好群测群防工作。</w:t>
      </w:r>
    </w:p>
    <w:p w14:paraId="716C432B">
      <w:pPr>
        <w:spacing w:line="560" w:lineRule="exact"/>
        <w:ind w:firstLine="643" w:firstLineChars="200"/>
        <w:rPr>
          <w:rFonts w:eastAsia="仿宋_GB2312"/>
          <w:sz w:val="32"/>
          <w:szCs w:val="32"/>
          <w:highlight w:val="none"/>
        </w:rPr>
      </w:pPr>
      <w:r>
        <w:rPr>
          <w:rFonts w:hint="eastAsia" w:eastAsia="仿宋_GB2312"/>
          <w:b/>
          <w:sz w:val="32"/>
          <w:szCs w:val="32"/>
          <w:highlight w:val="none"/>
        </w:rPr>
        <w:t>1</w:t>
      </w:r>
      <w:r>
        <w:rPr>
          <w:rFonts w:hint="eastAsia" w:eastAsia="仿宋_GB2312"/>
          <w:b/>
          <w:sz w:val="32"/>
          <w:szCs w:val="32"/>
          <w:highlight w:val="none"/>
          <w:lang w:eastAsia="zh-CN"/>
        </w:rPr>
        <w:t>、</w:t>
      </w:r>
      <w:r>
        <w:rPr>
          <w:rFonts w:hint="eastAsia" w:eastAsia="仿宋_GB2312"/>
          <w:b/>
          <w:sz w:val="32"/>
          <w:szCs w:val="32"/>
          <w:highlight w:val="none"/>
        </w:rPr>
        <w:t>重要地质灾害隐患专项勘查</w:t>
      </w:r>
      <w:r>
        <w:rPr>
          <w:rFonts w:hint="eastAsia" w:eastAsia="仿宋_GB2312"/>
          <w:b/>
          <w:sz w:val="32"/>
          <w:szCs w:val="32"/>
          <w:highlight w:val="none"/>
          <w:lang w:val="en-US" w:eastAsia="zh-CN"/>
        </w:rPr>
        <w:t>与工程治理</w:t>
      </w:r>
      <w:r>
        <w:rPr>
          <w:rFonts w:hint="eastAsia" w:eastAsia="仿宋_GB2312"/>
          <w:b/>
          <w:sz w:val="32"/>
          <w:szCs w:val="32"/>
          <w:highlight w:val="none"/>
        </w:rPr>
        <w:t>。</w:t>
      </w:r>
      <w:r>
        <w:rPr>
          <w:rFonts w:hint="eastAsia" w:eastAsia="仿宋_GB2312"/>
          <w:sz w:val="32"/>
          <w:szCs w:val="32"/>
          <w:highlight w:val="none"/>
        </w:rPr>
        <w:t>依据轻重缓急，对威胁县城、集镇、学校、景区、重要基础设施，可能造成人员大量伤亡和财产重大损失且治理费用又远小于预期损失值的地质灾害隐患点，和经识别、调查新发现的稳定性较差、风险等级高、不宜避险移民搬迁的地质灾害隐患点，依据其危害性、危险性、稳定性，有计划地分期进行专项勘查，查明地质环境条件和地质灾害成因、特征、危害程度及危险性，提出地质灾害防治方案建议，依据防治工程设计分批实施治理工程。</w:t>
      </w:r>
    </w:p>
    <w:p w14:paraId="36431107">
      <w:pPr>
        <w:spacing w:line="560" w:lineRule="exact"/>
        <w:ind w:firstLine="643" w:firstLineChars="200"/>
        <w:rPr>
          <w:rFonts w:hint="eastAsia" w:eastAsia="仿宋_GB2312"/>
          <w:b/>
          <w:sz w:val="32"/>
          <w:szCs w:val="32"/>
          <w:highlight w:val="none"/>
        </w:rPr>
      </w:pPr>
      <w:r>
        <w:rPr>
          <w:rFonts w:hint="eastAsia" w:eastAsia="仿宋_GB2312"/>
          <w:b/>
          <w:sz w:val="32"/>
          <w:szCs w:val="32"/>
          <w:highlight w:val="none"/>
          <w:lang w:val="en-US" w:eastAsia="zh-CN"/>
        </w:rPr>
        <w:t>2、地质灾害治理工程维护</w:t>
      </w:r>
    </w:p>
    <w:p w14:paraId="75382776">
      <w:pPr>
        <w:spacing w:line="560" w:lineRule="exact"/>
        <w:ind w:firstLine="640" w:firstLineChars="200"/>
        <w:rPr>
          <w:rFonts w:hint="eastAsia" w:eastAsia="仿宋_GB2312"/>
          <w:b w:val="0"/>
          <w:bCs/>
          <w:sz w:val="32"/>
          <w:szCs w:val="32"/>
          <w:highlight w:val="none"/>
        </w:rPr>
      </w:pPr>
      <w:r>
        <w:rPr>
          <w:rFonts w:hint="eastAsia" w:eastAsia="仿宋_GB2312"/>
          <w:b w:val="0"/>
          <w:bCs/>
          <w:sz w:val="32"/>
          <w:szCs w:val="32"/>
          <w:highlight w:val="none"/>
        </w:rPr>
        <w:t>对受损或防治能力降低的地质灾害治理工程，及时采取清淤、加固、维修、修缮等措施进行维护，确保防治工程的长期安全运行。</w:t>
      </w:r>
    </w:p>
    <w:p w14:paraId="6D24BC24">
      <w:pPr>
        <w:spacing w:line="560" w:lineRule="exact"/>
        <w:ind w:firstLine="640" w:firstLineChars="200"/>
        <w:rPr>
          <w:rFonts w:hint="eastAsia" w:eastAsia="仿宋_GB2312"/>
          <w:b w:val="0"/>
          <w:bCs/>
          <w:sz w:val="32"/>
          <w:szCs w:val="32"/>
          <w:highlight w:val="none"/>
        </w:rPr>
      </w:pPr>
    </w:p>
    <w:tbl>
      <w:tblPr>
        <w:tblStyle w:val="32"/>
        <w:tblW w:w="5020" w:type="pct"/>
        <w:tblInd w:w="0" w:type="dxa"/>
        <w:tblLayout w:type="fixed"/>
        <w:tblCellMar>
          <w:top w:w="0" w:type="dxa"/>
          <w:left w:w="0" w:type="dxa"/>
          <w:bottom w:w="0" w:type="dxa"/>
          <w:right w:w="0" w:type="dxa"/>
        </w:tblCellMar>
      </w:tblPr>
      <w:tblGrid>
        <w:gridCol w:w="9116"/>
      </w:tblGrid>
      <w:tr w14:paraId="21AB1571">
        <w:tblPrEx>
          <w:tblCellMar>
            <w:top w:w="0" w:type="dxa"/>
            <w:left w:w="0" w:type="dxa"/>
            <w:bottom w:w="0" w:type="dxa"/>
            <w:right w:w="0" w:type="dxa"/>
          </w:tblCellMar>
        </w:tblPrEx>
        <w:trPr>
          <w:trHeight w:val="475" w:hRule="atLeast"/>
        </w:trPr>
        <w:tc>
          <w:tcPr>
            <w:tcW w:w="50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2CEEDA">
            <w:pPr>
              <w:adjustRightInd w:val="0"/>
              <w:snapToGrid w:val="0"/>
              <w:spacing w:line="240" w:lineRule="auto"/>
              <w:jc w:val="center"/>
              <w:rPr>
                <w:rFonts w:hint="default" w:eastAsia="仿宋_GB2312"/>
                <w:kern w:val="0"/>
                <w:sz w:val="24"/>
                <w:highlight w:val="none"/>
                <w:lang w:val="en-US" w:eastAsia="zh-CN"/>
              </w:rPr>
            </w:pPr>
            <w:r>
              <w:rPr>
                <w:rFonts w:hint="eastAsia" w:eastAsia="仿宋_GB2312"/>
                <w:b w:val="0"/>
                <w:bCs/>
                <w:kern w:val="0"/>
                <w:sz w:val="24"/>
                <w:highlight w:val="none"/>
                <w:lang w:val="en-US" w:eastAsia="zh-CN"/>
              </w:rPr>
              <w:t>专栏三       地质灾害综合治理工程</w:t>
            </w:r>
          </w:p>
        </w:tc>
      </w:tr>
      <w:tr w14:paraId="12032A95">
        <w:tblPrEx>
          <w:tblCellMar>
            <w:top w:w="0" w:type="dxa"/>
            <w:left w:w="0" w:type="dxa"/>
            <w:bottom w:w="0" w:type="dxa"/>
            <w:right w:w="0" w:type="dxa"/>
          </w:tblCellMar>
        </w:tblPrEx>
        <w:trPr>
          <w:trHeight w:val="475" w:hRule="atLeast"/>
        </w:trPr>
        <w:tc>
          <w:tcPr>
            <w:tcW w:w="50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DE210B">
            <w:pPr>
              <w:widowControl/>
              <w:adjustRightInd w:val="0"/>
              <w:snapToGrid w:val="0"/>
              <w:spacing w:line="240" w:lineRule="auto"/>
              <w:jc w:val="both"/>
              <w:rPr>
                <w:rFonts w:hint="default" w:eastAsia="仿宋_GB2312"/>
                <w:kern w:val="0"/>
                <w:sz w:val="24"/>
                <w:highlight w:val="none"/>
                <w:lang w:val="en-US" w:eastAsia="zh-CN"/>
              </w:rPr>
            </w:pPr>
            <w:r>
              <w:rPr>
                <w:rFonts w:hint="eastAsia" w:eastAsia="仿宋_GB2312"/>
                <w:kern w:val="0"/>
                <w:sz w:val="24"/>
                <w:highlight w:val="none"/>
                <w:lang w:val="en-US" w:eastAsia="zh-CN"/>
              </w:rPr>
              <w:t>01 重要地质灾害隐患专项勘查（10处）</w:t>
            </w:r>
          </w:p>
        </w:tc>
      </w:tr>
      <w:tr w14:paraId="78303C97">
        <w:tblPrEx>
          <w:tblCellMar>
            <w:top w:w="0" w:type="dxa"/>
            <w:left w:w="0" w:type="dxa"/>
            <w:bottom w:w="0" w:type="dxa"/>
            <w:right w:w="0" w:type="dxa"/>
          </w:tblCellMar>
        </w:tblPrEx>
        <w:trPr>
          <w:trHeight w:val="475" w:hRule="atLeast"/>
        </w:trPr>
        <w:tc>
          <w:tcPr>
            <w:tcW w:w="50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1AD338">
            <w:pPr>
              <w:widowControl/>
              <w:adjustRightInd w:val="0"/>
              <w:snapToGrid w:val="0"/>
              <w:spacing w:line="240" w:lineRule="auto"/>
              <w:jc w:val="both"/>
              <w:rPr>
                <w:rFonts w:hint="default" w:eastAsia="仿宋_GB2312"/>
                <w:kern w:val="0"/>
                <w:sz w:val="24"/>
                <w:highlight w:val="none"/>
                <w:lang w:val="en-US" w:eastAsia="zh-CN"/>
              </w:rPr>
            </w:pPr>
            <w:r>
              <w:rPr>
                <w:rFonts w:hint="eastAsia" w:eastAsia="仿宋_GB2312"/>
                <w:kern w:val="0"/>
                <w:sz w:val="24"/>
                <w:highlight w:val="none"/>
                <w:lang w:val="en-US" w:eastAsia="zh-CN"/>
              </w:rPr>
              <w:t>02 重要地质灾害隐患治理工程（12处）</w:t>
            </w:r>
          </w:p>
        </w:tc>
      </w:tr>
      <w:tr w14:paraId="72BCD166">
        <w:tblPrEx>
          <w:tblCellMar>
            <w:top w:w="0" w:type="dxa"/>
            <w:left w:w="0" w:type="dxa"/>
            <w:bottom w:w="0" w:type="dxa"/>
            <w:right w:w="0" w:type="dxa"/>
          </w:tblCellMar>
        </w:tblPrEx>
        <w:trPr>
          <w:trHeight w:val="475" w:hRule="atLeast"/>
        </w:trPr>
        <w:tc>
          <w:tcPr>
            <w:tcW w:w="50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FD7A0C">
            <w:pPr>
              <w:widowControl/>
              <w:adjustRightInd w:val="0"/>
              <w:snapToGrid w:val="0"/>
              <w:spacing w:line="240" w:lineRule="auto"/>
              <w:jc w:val="both"/>
              <w:rPr>
                <w:rFonts w:hint="eastAsia" w:eastAsia="仿宋_GB2312"/>
                <w:kern w:val="0"/>
                <w:sz w:val="24"/>
                <w:highlight w:val="none"/>
                <w:lang w:val="en-US" w:eastAsia="zh-CN"/>
              </w:rPr>
            </w:pPr>
            <w:r>
              <w:rPr>
                <w:rFonts w:hint="eastAsia" w:eastAsia="仿宋_GB2312"/>
                <w:kern w:val="0"/>
                <w:sz w:val="24"/>
                <w:highlight w:val="none"/>
                <w:lang w:val="en-US" w:eastAsia="zh-CN"/>
              </w:rPr>
              <w:t>03 专勘与治理工程主要涉及灾害点</w:t>
            </w:r>
          </w:p>
          <w:p w14:paraId="0FA4D0D5">
            <w:pPr>
              <w:widowControl/>
              <w:adjustRightInd w:val="0"/>
              <w:snapToGrid w:val="0"/>
              <w:spacing w:line="240" w:lineRule="auto"/>
              <w:ind w:firstLine="480" w:firstLineChars="200"/>
              <w:jc w:val="both"/>
              <w:rPr>
                <w:rFonts w:hint="eastAsia" w:eastAsia="仿宋_GB2312"/>
                <w:kern w:val="0"/>
                <w:sz w:val="24"/>
                <w:highlight w:val="none"/>
                <w:lang w:val="en-US" w:eastAsia="zh-CN"/>
              </w:rPr>
            </w:pPr>
            <w:r>
              <w:rPr>
                <w:rFonts w:hint="eastAsia" w:eastAsia="仿宋_GB2312"/>
                <w:kern w:val="0"/>
                <w:sz w:val="24"/>
                <w:highlight w:val="none"/>
                <w:lang w:val="en-US" w:eastAsia="zh-CN"/>
              </w:rPr>
              <w:t>布伦口乡盖孜新村泥石流灾害治理工程</w:t>
            </w:r>
          </w:p>
          <w:p w14:paraId="409431A3">
            <w:pPr>
              <w:widowControl/>
              <w:adjustRightInd w:val="0"/>
              <w:snapToGrid w:val="0"/>
              <w:spacing w:line="240" w:lineRule="auto"/>
              <w:ind w:firstLine="480" w:firstLineChars="200"/>
              <w:jc w:val="both"/>
              <w:rPr>
                <w:rFonts w:hint="eastAsia" w:eastAsia="仿宋_GB2312"/>
                <w:kern w:val="0"/>
                <w:sz w:val="24"/>
                <w:highlight w:val="none"/>
                <w:lang w:val="en-US" w:eastAsia="zh-CN"/>
              </w:rPr>
            </w:pPr>
            <w:r>
              <w:rPr>
                <w:rFonts w:hint="eastAsia" w:eastAsia="仿宋_GB2312"/>
                <w:kern w:val="0"/>
                <w:sz w:val="24"/>
                <w:highlight w:val="none"/>
                <w:lang w:val="en-US" w:eastAsia="zh-CN"/>
              </w:rPr>
              <w:t>塔尔乡1-5村泥石流灾害治理工程</w:t>
            </w:r>
          </w:p>
          <w:p w14:paraId="646E0C9D">
            <w:pPr>
              <w:widowControl/>
              <w:adjustRightInd w:val="0"/>
              <w:snapToGrid w:val="0"/>
              <w:spacing w:line="240" w:lineRule="auto"/>
              <w:ind w:firstLine="480" w:firstLineChars="200"/>
              <w:jc w:val="both"/>
              <w:rPr>
                <w:rFonts w:hint="default" w:eastAsia="仿宋_GB2312"/>
                <w:kern w:val="0"/>
                <w:sz w:val="24"/>
                <w:highlight w:val="none"/>
                <w:lang w:val="en-US" w:eastAsia="zh-CN"/>
              </w:rPr>
            </w:pPr>
            <w:r>
              <w:rPr>
                <w:rFonts w:hint="default" w:eastAsia="仿宋_GB2312"/>
                <w:kern w:val="0"/>
                <w:sz w:val="24"/>
                <w:highlight w:val="none"/>
                <w:lang w:val="en-US" w:eastAsia="zh-CN"/>
              </w:rPr>
              <w:t>布伦口乡恰克拉克村泥石流灾害</w:t>
            </w:r>
            <w:r>
              <w:rPr>
                <w:rFonts w:hint="eastAsia" w:eastAsia="仿宋_GB2312"/>
                <w:kern w:val="0"/>
                <w:sz w:val="24"/>
                <w:highlight w:val="none"/>
                <w:lang w:val="en-US" w:eastAsia="zh-CN"/>
              </w:rPr>
              <w:t>专勘及</w:t>
            </w:r>
            <w:r>
              <w:rPr>
                <w:rFonts w:hint="default" w:eastAsia="仿宋_GB2312"/>
                <w:kern w:val="0"/>
                <w:sz w:val="24"/>
                <w:highlight w:val="none"/>
                <w:lang w:val="en-US" w:eastAsia="zh-CN"/>
              </w:rPr>
              <w:t>治理工程</w:t>
            </w:r>
          </w:p>
          <w:p w14:paraId="39D50B99">
            <w:pPr>
              <w:widowControl/>
              <w:adjustRightInd w:val="0"/>
              <w:snapToGrid w:val="0"/>
              <w:spacing w:line="240" w:lineRule="auto"/>
              <w:ind w:firstLine="480" w:firstLineChars="200"/>
              <w:jc w:val="both"/>
              <w:rPr>
                <w:rFonts w:hint="default" w:eastAsia="仿宋_GB2312"/>
                <w:kern w:val="0"/>
                <w:sz w:val="24"/>
                <w:highlight w:val="none"/>
                <w:lang w:val="en-US" w:eastAsia="zh-CN"/>
              </w:rPr>
            </w:pPr>
            <w:r>
              <w:rPr>
                <w:rFonts w:hint="default" w:eastAsia="仿宋_GB2312"/>
                <w:kern w:val="0"/>
                <w:sz w:val="24"/>
                <w:highlight w:val="none"/>
                <w:lang w:val="en-US" w:eastAsia="zh-CN"/>
              </w:rPr>
              <w:t>G314国道盖孜检查站崩塌灾害</w:t>
            </w:r>
            <w:r>
              <w:rPr>
                <w:rFonts w:hint="eastAsia" w:eastAsia="仿宋_GB2312"/>
                <w:kern w:val="0"/>
                <w:sz w:val="24"/>
                <w:highlight w:val="none"/>
                <w:lang w:val="en-US" w:eastAsia="zh-CN"/>
              </w:rPr>
              <w:t>专勘及</w:t>
            </w:r>
            <w:r>
              <w:rPr>
                <w:rFonts w:hint="default" w:eastAsia="仿宋_GB2312"/>
                <w:kern w:val="0"/>
                <w:sz w:val="24"/>
                <w:highlight w:val="none"/>
                <w:lang w:val="en-US" w:eastAsia="zh-CN"/>
              </w:rPr>
              <w:t>治理工程</w:t>
            </w:r>
          </w:p>
          <w:p w14:paraId="20464C88">
            <w:pPr>
              <w:widowControl/>
              <w:adjustRightInd w:val="0"/>
              <w:snapToGrid w:val="0"/>
              <w:spacing w:line="240" w:lineRule="auto"/>
              <w:ind w:firstLine="480" w:firstLineChars="200"/>
              <w:jc w:val="both"/>
              <w:rPr>
                <w:rFonts w:hint="default" w:eastAsia="仿宋_GB2312"/>
                <w:kern w:val="0"/>
                <w:sz w:val="24"/>
                <w:highlight w:val="none"/>
                <w:lang w:val="en-US" w:eastAsia="zh-CN"/>
              </w:rPr>
            </w:pPr>
            <w:r>
              <w:rPr>
                <w:rFonts w:hint="default" w:eastAsia="仿宋_GB2312"/>
                <w:kern w:val="0"/>
                <w:sz w:val="24"/>
                <w:highlight w:val="none"/>
                <w:lang w:val="en-US" w:eastAsia="zh-CN"/>
              </w:rPr>
              <w:t>布伦口乡托喀依村泥石流灾害</w:t>
            </w:r>
            <w:r>
              <w:rPr>
                <w:rFonts w:hint="eastAsia" w:eastAsia="仿宋_GB2312"/>
                <w:kern w:val="0"/>
                <w:sz w:val="24"/>
                <w:highlight w:val="none"/>
                <w:lang w:val="en-US" w:eastAsia="zh-CN"/>
              </w:rPr>
              <w:t>专勘及</w:t>
            </w:r>
            <w:r>
              <w:rPr>
                <w:rFonts w:hint="default" w:eastAsia="仿宋_GB2312"/>
                <w:kern w:val="0"/>
                <w:sz w:val="24"/>
                <w:highlight w:val="none"/>
                <w:lang w:val="en-US" w:eastAsia="zh-CN"/>
              </w:rPr>
              <w:t>治理工程</w:t>
            </w:r>
          </w:p>
          <w:p w14:paraId="02BC58A7">
            <w:pPr>
              <w:widowControl/>
              <w:adjustRightInd w:val="0"/>
              <w:snapToGrid w:val="0"/>
              <w:spacing w:line="240" w:lineRule="auto"/>
              <w:ind w:firstLine="480" w:firstLineChars="200"/>
              <w:jc w:val="both"/>
              <w:rPr>
                <w:rFonts w:hint="default" w:eastAsia="仿宋_GB2312"/>
                <w:kern w:val="0"/>
                <w:sz w:val="24"/>
                <w:highlight w:val="none"/>
                <w:lang w:val="en-US" w:eastAsia="zh-CN"/>
              </w:rPr>
            </w:pPr>
            <w:r>
              <w:rPr>
                <w:rFonts w:hint="default" w:eastAsia="仿宋_GB2312"/>
                <w:kern w:val="0"/>
                <w:sz w:val="24"/>
                <w:highlight w:val="none"/>
                <w:lang w:val="en-US" w:eastAsia="zh-CN"/>
              </w:rPr>
              <w:t>乌尔都隆窝孜村2处泥石流</w:t>
            </w:r>
            <w:r>
              <w:rPr>
                <w:rFonts w:hint="eastAsia" w:eastAsia="仿宋_GB2312"/>
                <w:kern w:val="0"/>
                <w:sz w:val="24"/>
                <w:highlight w:val="none"/>
                <w:lang w:val="en-US" w:eastAsia="zh-CN"/>
              </w:rPr>
              <w:t>专勘及</w:t>
            </w:r>
            <w:r>
              <w:rPr>
                <w:rFonts w:hint="default" w:eastAsia="仿宋_GB2312"/>
                <w:kern w:val="0"/>
                <w:sz w:val="24"/>
                <w:highlight w:val="none"/>
                <w:lang w:val="en-US" w:eastAsia="zh-CN"/>
              </w:rPr>
              <w:t>综合治理工程</w:t>
            </w:r>
          </w:p>
          <w:p w14:paraId="561EA1CA">
            <w:pPr>
              <w:widowControl/>
              <w:adjustRightInd w:val="0"/>
              <w:snapToGrid w:val="0"/>
              <w:spacing w:line="240" w:lineRule="auto"/>
              <w:ind w:firstLine="480" w:firstLineChars="200"/>
              <w:jc w:val="both"/>
              <w:rPr>
                <w:rFonts w:hint="default" w:eastAsia="仿宋_GB2312"/>
                <w:kern w:val="0"/>
                <w:sz w:val="24"/>
                <w:highlight w:val="none"/>
                <w:lang w:val="en-US" w:eastAsia="zh-CN"/>
              </w:rPr>
            </w:pPr>
            <w:r>
              <w:rPr>
                <w:rFonts w:hint="default" w:eastAsia="仿宋_GB2312"/>
                <w:kern w:val="0"/>
                <w:sz w:val="24"/>
                <w:highlight w:val="none"/>
                <w:lang w:val="en-US" w:eastAsia="zh-CN"/>
              </w:rPr>
              <w:t>阿黑买特西沟4处泥石流</w:t>
            </w:r>
            <w:r>
              <w:rPr>
                <w:rFonts w:hint="eastAsia" w:eastAsia="仿宋_GB2312"/>
                <w:kern w:val="0"/>
                <w:sz w:val="24"/>
                <w:highlight w:val="none"/>
                <w:lang w:val="en-US" w:eastAsia="zh-CN"/>
              </w:rPr>
              <w:t>专勘及</w:t>
            </w:r>
            <w:r>
              <w:rPr>
                <w:rFonts w:hint="default" w:eastAsia="仿宋_GB2312"/>
                <w:kern w:val="0"/>
                <w:sz w:val="24"/>
                <w:highlight w:val="none"/>
                <w:lang w:val="en-US" w:eastAsia="zh-CN"/>
              </w:rPr>
              <w:t>综合治理工程</w:t>
            </w:r>
          </w:p>
          <w:p w14:paraId="79FE0071">
            <w:pPr>
              <w:widowControl/>
              <w:adjustRightInd w:val="0"/>
              <w:snapToGrid w:val="0"/>
              <w:spacing w:line="240" w:lineRule="auto"/>
              <w:ind w:firstLine="480" w:firstLineChars="200"/>
              <w:jc w:val="both"/>
              <w:rPr>
                <w:rFonts w:hint="default" w:eastAsia="仿宋_GB2312"/>
                <w:kern w:val="0"/>
                <w:sz w:val="24"/>
                <w:highlight w:val="none"/>
                <w:lang w:val="en-US" w:eastAsia="zh-CN"/>
              </w:rPr>
            </w:pPr>
            <w:r>
              <w:rPr>
                <w:rFonts w:hint="default" w:eastAsia="仿宋_GB2312"/>
                <w:kern w:val="0"/>
                <w:sz w:val="24"/>
                <w:highlight w:val="none"/>
                <w:lang w:val="en-US" w:eastAsia="zh-CN"/>
              </w:rPr>
              <w:t>喀尔乌勒村村委会东北500m处泥石流</w:t>
            </w:r>
            <w:r>
              <w:rPr>
                <w:rFonts w:hint="eastAsia" w:eastAsia="仿宋_GB2312"/>
                <w:kern w:val="0"/>
                <w:sz w:val="24"/>
                <w:highlight w:val="none"/>
                <w:lang w:val="en-US" w:eastAsia="zh-CN"/>
              </w:rPr>
              <w:t>专勘及</w:t>
            </w:r>
            <w:r>
              <w:rPr>
                <w:rFonts w:hint="default" w:eastAsia="仿宋_GB2312"/>
                <w:kern w:val="0"/>
                <w:sz w:val="24"/>
                <w:highlight w:val="none"/>
                <w:lang w:val="en-US" w:eastAsia="zh-CN"/>
              </w:rPr>
              <w:t>治理工程</w:t>
            </w:r>
          </w:p>
        </w:tc>
      </w:tr>
    </w:tbl>
    <w:p w14:paraId="6FF9DED4">
      <w:pPr>
        <w:pStyle w:val="3"/>
        <w:adjustRightInd w:val="0"/>
        <w:snapToGrid w:val="0"/>
        <w:spacing w:after="120"/>
        <w:ind w:firstLine="643"/>
        <w:rPr>
          <w:rFonts w:ascii="楷体" w:hAnsi="楷体" w:eastAsia="楷体" w:cs="黑体"/>
          <w:sz w:val="32"/>
          <w:highlight w:val="none"/>
        </w:rPr>
      </w:pPr>
      <w:bookmarkStart w:id="51" w:name="_Toc16893"/>
      <w:r>
        <w:rPr>
          <w:rFonts w:hint="eastAsia" w:ascii="楷体" w:hAnsi="楷体" w:eastAsia="楷体" w:cs="黑体"/>
          <w:sz w:val="32"/>
          <w:highlight w:val="none"/>
        </w:rPr>
        <w:t>（四）</w:t>
      </w:r>
      <w:r>
        <w:rPr>
          <w:rFonts w:hint="eastAsia" w:ascii="楷体" w:hAnsi="楷体" w:eastAsia="楷体" w:cs="黑体"/>
          <w:sz w:val="32"/>
          <w:highlight w:val="none"/>
          <w:lang w:val="en-US" w:eastAsia="zh-CN"/>
        </w:rPr>
        <w:t>持续提升</w:t>
      </w:r>
      <w:r>
        <w:rPr>
          <w:rFonts w:hint="eastAsia" w:ascii="楷体" w:hAnsi="楷体" w:eastAsia="楷体" w:cs="黑体"/>
          <w:sz w:val="32"/>
          <w:highlight w:val="none"/>
        </w:rPr>
        <w:t>地质灾害能力建设</w:t>
      </w:r>
      <w:bookmarkEnd w:id="51"/>
    </w:p>
    <w:p w14:paraId="2919D8D2">
      <w:pPr>
        <w:adjustRightInd w:val="0"/>
        <w:snapToGrid w:val="0"/>
        <w:spacing w:line="560" w:lineRule="exact"/>
        <w:ind w:firstLine="643" w:firstLineChars="200"/>
        <w:outlineLvl w:val="2"/>
        <w:rPr>
          <w:rFonts w:hint="eastAsia" w:eastAsia="仿宋_GB2312"/>
          <w:b/>
          <w:sz w:val="32"/>
          <w:szCs w:val="32"/>
          <w:highlight w:val="none"/>
          <w:lang w:val="en-US" w:eastAsia="zh-CN"/>
        </w:rPr>
      </w:pPr>
      <w:r>
        <w:rPr>
          <w:rFonts w:hint="eastAsia" w:eastAsia="仿宋_GB2312"/>
          <w:b/>
          <w:sz w:val="32"/>
          <w:szCs w:val="32"/>
          <w:highlight w:val="none"/>
          <w:lang w:val="en-US" w:eastAsia="zh-CN"/>
        </w:rPr>
        <w:t>1、加强风险管控体制机制建设，提高多部门协同配合能力</w:t>
      </w:r>
    </w:p>
    <w:p w14:paraId="045D1933">
      <w:pPr>
        <w:adjustRightInd w:val="0"/>
        <w:snapToGrid w:val="0"/>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县自然资源局在县政府的统一领导下，做好全县地质灾害防治的组织、协调、指导、监督工作，加强与应急部门、气象部门、水利部门、交通部门等地质灾害防治成员单位间的信息共享、协同配合，开展多部门综合联动互助训练、演练。完善地质灾害远程会商系统，提升对突发性地质灾害应急调查的快速响应能力。</w:t>
      </w:r>
    </w:p>
    <w:p w14:paraId="7D38CC8C">
      <w:pPr>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明确地质灾害风险管控责任主体</w:t>
      </w:r>
      <w:r>
        <w:rPr>
          <w:rFonts w:hint="eastAsia" w:eastAsia="仿宋_GB2312"/>
          <w:sz w:val="32"/>
          <w:szCs w:val="32"/>
          <w:highlight w:val="none"/>
          <w:lang w:eastAsia="zh-CN"/>
        </w:rPr>
        <w:t>，</w:t>
      </w:r>
      <w:r>
        <w:rPr>
          <w:rFonts w:hint="eastAsia" w:eastAsia="仿宋_GB2312"/>
          <w:sz w:val="32"/>
          <w:szCs w:val="32"/>
          <w:highlight w:val="none"/>
        </w:rPr>
        <w:t>进一步落实各级各部门在地质灾害风险管控工作中的职能职责。建立地质灾害风险动态管控机制，根据地质环境条件和诱发因素变化，及时开展风险等级控制效果反馈与修正。建立地质灾害风险源头管控机制，强化地质灾害高易发区和高风险区国土空间规划和用途管控。</w:t>
      </w:r>
    </w:p>
    <w:p w14:paraId="37B1B56B">
      <w:pPr>
        <w:adjustRightInd w:val="0"/>
        <w:snapToGrid w:val="0"/>
        <w:spacing w:line="560" w:lineRule="exact"/>
        <w:ind w:firstLine="643" w:firstLineChars="200"/>
        <w:outlineLvl w:val="2"/>
        <w:rPr>
          <w:rFonts w:hint="eastAsia" w:eastAsia="仿宋_GB2312"/>
          <w:b/>
          <w:sz w:val="32"/>
          <w:szCs w:val="32"/>
          <w:highlight w:val="none"/>
          <w:lang w:val="en-US" w:eastAsia="zh-CN"/>
        </w:rPr>
      </w:pPr>
      <w:r>
        <w:rPr>
          <w:rFonts w:hint="eastAsia" w:eastAsia="仿宋_GB2312"/>
          <w:b/>
          <w:sz w:val="32"/>
          <w:szCs w:val="32"/>
          <w:highlight w:val="none"/>
          <w:lang w:val="en-US" w:eastAsia="zh-CN"/>
        </w:rPr>
        <w:t>2、进一步提升地质灾害防治技术装备现代化建设</w:t>
      </w:r>
    </w:p>
    <w:p w14:paraId="4DA916C5">
      <w:pPr>
        <w:adjustRightInd w:val="0"/>
        <w:snapToGrid w:val="0"/>
        <w:spacing w:line="560" w:lineRule="exact"/>
        <w:ind w:firstLine="640" w:firstLineChars="200"/>
        <w:rPr>
          <w:rFonts w:hint="eastAsia" w:eastAsia="仿宋_GB2312"/>
          <w:sz w:val="32"/>
          <w:szCs w:val="32"/>
          <w:highlight w:val="none"/>
        </w:rPr>
      </w:pPr>
      <w:r>
        <w:rPr>
          <w:rFonts w:hint="eastAsia" w:eastAsia="仿宋_GB2312"/>
          <w:sz w:val="32"/>
          <w:szCs w:val="32"/>
          <w:highlight w:val="none"/>
        </w:rPr>
        <w:t>加大资金保障力度，将地质灾害防治装备纳入政府采购购买服务范围，提升地质灾害防治智能化装备设备，推进地质灾害防治设备迭代升级，加强空天地一体化的地质灾害隐患早期识别技术的应用，推广隐患智能计算与识别装备应用，提高我县地质灾害防治技术装备水平。</w:t>
      </w:r>
    </w:p>
    <w:p w14:paraId="6F1D5F4C">
      <w:pPr>
        <w:adjustRightInd w:val="0"/>
        <w:snapToGrid w:val="0"/>
        <w:spacing w:line="560" w:lineRule="exact"/>
        <w:ind w:firstLine="643" w:firstLineChars="200"/>
        <w:outlineLvl w:val="2"/>
        <w:rPr>
          <w:rFonts w:hint="eastAsia" w:eastAsia="仿宋_GB2312"/>
          <w:b/>
          <w:sz w:val="32"/>
          <w:szCs w:val="32"/>
          <w:highlight w:val="none"/>
          <w:lang w:val="en-US" w:eastAsia="zh-CN"/>
        </w:rPr>
      </w:pPr>
      <w:r>
        <w:rPr>
          <w:rFonts w:hint="eastAsia" w:eastAsia="仿宋_GB2312"/>
          <w:b/>
          <w:sz w:val="32"/>
          <w:szCs w:val="32"/>
          <w:highlight w:val="none"/>
          <w:lang w:val="en-US" w:eastAsia="zh-CN"/>
        </w:rPr>
        <w:t>3、加强地质灾害防治宣传培训和避险演练</w:t>
      </w:r>
    </w:p>
    <w:p w14:paraId="202280DA">
      <w:pPr>
        <w:adjustRightInd w:val="0"/>
        <w:snapToGrid w:val="0"/>
        <w:spacing w:line="560" w:lineRule="exact"/>
        <w:ind w:firstLine="640" w:firstLineChars="200"/>
        <w:rPr>
          <w:rFonts w:eastAsia="仿宋_GB2312"/>
          <w:b/>
          <w:sz w:val="32"/>
          <w:szCs w:val="32"/>
          <w:highlight w:val="none"/>
        </w:rPr>
      </w:pPr>
      <w:r>
        <w:rPr>
          <w:rFonts w:hint="eastAsia" w:eastAsia="仿宋_GB2312"/>
          <w:sz w:val="32"/>
          <w:szCs w:val="32"/>
          <w:highlight w:val="none"/>
        </w:rPr>
        <w:t>加大地质灾害防治宣传、培训和演练力度。</w:t>
      </w:r>
      <w:r>
        <w:rPr>
          <w:rFonts w:hint="eastAsia" w:eastAsia="仿宋_GB2312"/>
          <w:b w:val="0"/>
          <w:bCs/>
          <w:sz w:val="32"/>
          <w:szCs w:val="32"/>
          <w:highlight w:val="none"/>
        </w:rPr>
        <w:t>分层级、分批次组织对“四重”网格员和受威胁群众定期进行地质灾害防灾、卫生健康和心理健康方面的培训辅导</w:t>
      </w:r>
      <w:r>
        <w:rPr>
          <w:rFonts w:hint="eastAsia" w:eastAsia="仿宋_GB2312"/>
          <w:b w:val="0"/>
          <w:bCs/>
          <w:sz w:val="32"/>
          <w:szCs w:val="32"/>
          <w:highlight w:val="none"/>
          <w:lang w:eastAsia="zh-CN"/>
        </w:rPr>
        <w:t>；</w:t>
      </w:r>
      <w:r>
        <w:rPr>
          <w:rFonts w:hint="eastAsia" w:eastAsia="仿宋_GB2312"/>
          <w:b w:val="0"/>
          <w:bCs/>
          <w:sz w:val="32"/>
          <w:szCs w:val="32"/>
          <w:highlight w:val="none"/>
        </w:rPr>
        <w:t>对专业技术人员和群测群防监测人员定期开展地质灾害风险评估方法和身心健康相关演练和辅导培训。每年对地质灾害防治区内的乡（镇、场）地质灾害防治人员进行不少于1次的地质灾害防治知识培训，每年至少开展1次重要地质灾害隐患点和风险区应急演练。</w:t>
      </w:r>
      <w:r>
        <w:rPr>
          <w:rFonts w:hint="eastAsia" w:eastAsia="仿宋_GB2312"/>
          <w:sz w:val="32"/>
          <w:szCs w:val="32"/>
          <w:highlight w:val="none"/>
        </w:rPr>
        <w:t>加强地质灾害专业人才培养，推进基层地质灾害防治队伍建设，持续开展专业技术队伍“一对一”技术支撑服务，发挥地质灾害防治专家指导作用，提升基层防灾能力。</w:t>
      </w:r>
    </w:p>
    <w:bookmarkEnd w:id="45"/>
    <w:bookmarkEnd w:id="46"/>
    <w:p w14:paraId="001CE075">
      <w:pPr>
        <w:pStyle w:val="2"/>
        <w:spacing w:after="0" w:afterLines="0" w:line="560" w:lineRule="exact"/>
        <w:ind w:firstLine="640" w:firstLineChars="200"/>
        <w:jc w:val="both"/>
        <w:rPr>
          <w:rFonts w:ascii="黑体" w:hAnsi="黑体" w:eastAsia="黑体"/>
          <w:b w:val="0"/>
          <w:szCs w:val="32"/>
          <w:highlight w:val="none"/>
        </w:rPr>
      </w:pPr>
      <w:bookmarkStart w:id="52" w:name="_Toc13511"/>
      <w:bookmarkStart w:id="53" w:name="_Toc349132980"/>
      <w:r>
        <w:rPr>
          <w:rFonts w:hint="eastAsia" w:ascii="黑体" w:hAnsi="黑体" w:eastAsia="黑体"/>
          <w:b w:val="0"/>
          <w:szCs w:val="32"/>
          <w:highlight w:val="none"/>
        </w:rPr>
        <w:t>五、保障措施</w:t>
      </w:r>
      <w:bookmarkEnd w:id="52"/>
    </w:p>
    <w:p w14:paraId="3DEEC940">
      <w:pPr>
        <w:pStyle w:val="3"/>
        <w:spacing w:after="0" w:afterLines="0" w:line="560" w:lineRule="exact"/>
        <w:ind w:firstLine="643"/>
        <w:rPr>
          <w:rFonts w:ascii="楷体" w:hAnsi="楷体" w:eastAsia="楷体" w:cs="黑体"/>
          <w:sz w:val="32"/>
          <w:highlight w:val="none"/>
        </w:rPr>
      </w:pPr>
      <w:bookmarkStart w:id="54" w:name="_Toc16525"/>
      <w:bookmarkStart w:id="55" w:name="_Toc30154"/>
      <w:r>
        <w:rPr>
          <w:rFonts w:hint="eastAsia" w:ascii="楷体" w:hAnsi="楷体" w:eastAsia="楷体" w:cs="黑体"/>
          <w:sz w:val="32"/>
          <w:highlight w:val="none"/>
        </w:rPr>
        <w:t>（一）组织保障</w:t>
      </w:r>
      <w:bookmarkEnd w:id="54"/>
      <w:bookmarkEnd w:id="55"/>
    </w:p>
    <w:p w14:paraId="5F3ADEF8">
      <w:pPr>
        <w:widowControl/>
        <w:adjustRightInd w:val="0"/>
        <w:snapToGrid w:val="0"/>
        <w:spacing w:line="560" w:lineRule="exact"/>
        <w:ind w:firstLine="498" w:firstLineChars="150"/>
        <w:jc w:val="left"/>
        <w:rPr>
          <w:rFonts w:hint="eastAsia" w:eastAsia="仿宋_GB2312"/>
          <w:snapToGrid w:val="0"/>
          <w:spacing w:val="6"/>
          <w:kern w:val="0"/>
          <w:sz w:val="32"/>
          <w:szCs w:val="32"/>
          <w:highlight w:val="none"/>
        </w:rPr>
      </w:pPr>
      <w:r>
        <w:rPr>
          <w:rFonts w:hint="eastAsia" w:eastAsia="仿宋_GB2312"/>
          <w:snapToGrid w:val="0"/>
          <w:spacing w:val="6"/>
          <w:kern w:val="0"/>
          <w:sz w:val="32"/>
          <w:szCs w:val="32"/>
          <w:highlight w:val="none"/>
        </w:rPr>
        <w:t>各级政府的重视是实现地质灾害防治目标的关键。为此，各级政府要深入贯彻落实党的十九大和十九届历次全会精神，加强组织领导，坚持以人民为中心的发展思想，切实做好全县地质灾害防治工作。</w:t>
      </w:r>
    </w:p>
    <w:p w14:paraId="1D56F1BE">
      <w:pPr>
        <w:widowControl/>
        <w:adjustRightInd w:val="0"/>
        <w:snapToGrid w:val="0"/>
        <w:spacing w:line="560" w:lineRule="exact"/>
        <w:ind w:firstLine="498" w:firstLineChars="150"/>
        <w:jc w:val="left"/>
        <w:rPr>
          <w:rFonts w:hint="eastAsia" w:eastAsia="仿宋_GB2312"/>
          <w:snapToGrid w:val="0"/>
          <w:spacing w:val="6"/>
          <w:kern w:val="0"/>
          <w:sz w:val="32"/>
          <w:szCs w:val="32"/>
          <w:highlight w:val="none"/>
        </w:rPr>
      </w:pPr>
      <w:r>
        <w:rPr>
          <w:rFonts w:hint="eastAsia" w:eastAsia="仿宋_GB2312"/>
          <w:snapToGrid w:val="0"/>
          <w:spacing w:val="6"/>
          <w:kern w:val="0"/>
          <w:sz w:val="32"/>
          <w:szCs w:val="32"/>
          <w:highlight w:val="none"/>
        </w:rPr>
        <w:t>自然资源主管部门要认真履行地质灾害防治的组织、协调、指导和监督职能。建设、水利、交通、气象、应急等部门要按照职责分工，负责指导本行业、本部门地质灾害防治相关工作，同时要密切协作、齐抓共管，切实抓好监测、巡查、预警、应急处置等各个环节的地质灾害防治工作。</w:t>
      </w:r>
    </w:p>
    <w:p w14:paraId="0CD117B7">
      <w:pPr>
        <w:widowControl/>
        <w:adjustRightInd w:val="0"/>
        <w:snapToGrid w:val="0"/>
        <w:spacing w:line="560" w:lineRule="exact"/>
        <w:ind w:firstLine="498" w:firstLineChars="150"/>
        <w:jc w:val="left"/>
        <w:rPr>
          <w:rFonts w:hint="eastAsia" w:eastAsia="仿宋_GB2312"/>
          <w:snapToGrid w:val="0"/>
          <w:spacing w:val="6"/>
          <w:kern w:val="0"/>
          <w:sz w:val="32"/>
          <w:szCs w:val="32"/>
          <w:highlight w:val="none"/>
        </w:rPr>
      </w:pPr>
      <w:r>
        <w:rPr>
          <w:rFonts w:hint="eastAsia" w:eastAsia="仿宋_GB2312"/>
          <w:snapToGrid w:val="0"/>
          <w:spacing w:val="6"/>
          <w:kern w:val="0"/>
          <w:sz w:val="32"/>
          <w:szCs w:val="32"/>
          <w:highlight w:val="none"/>
        </w:rPr>
        <w:t>乡（镇、场）各级政府要加强对地质灾害防治工作的统一领导建立完善逐级负责制，各级部门要依据职责分工，各司其职，做好本部门地质灾害防治工作。要以高度的政治责任心，敢于担当、勇于负责、切实加强组织领导，认真履行职责，明确责任分工，实行逐级主要领导目标责任制，建立并完善责任追究机制，严格落实防治责任，确保按时保质完成各项工作任务。</w:t>
      </w:r>
    </w:p>
    <w:p w14:paraId="695CAAE1">
      <w:pPr>
        <w:pStyle w:val="3"/>
        <w:spacing w:after="0" w:afterLines="0" w:line="560" w:lineRule="exact"/>
        <w:ind w:firstLine="643"/>
        <w:rPr>
          <w:rFonts w:ascii="楷体" w:hAnsi="楷体" w:eastAsia="楷体" w:cs="黑体"/>
          <w:sz w:val="32"/>
          <w:highlight w:val="none"/>
        </w:rPr>
      </w:pPr>
      <w:bookmarkStart w:id="56" w:name="_Toc31629"/>
      <w:bookmarkStart w:id="57" w:name="_Toc31352"/>
      <w:r>
        <w:rPr>
          <w:rFonts w:hint="eastAsia" w:ascii="楷体" w:hAnsi="楷体" w:eastAsia="楷体" w:cs="黑体"/>
          <w:sz w:val="32"/>
          <w:highlight w:val="none"/>
        </w:rPr>
        <w:t>（二）制度保障</w:t>
      </w:r>
      <w:bookmarkEnd w:id="56"/>
      <w:bookmarkEnd w:id="57"/>
    </w:p>
    <w:p w14:paraId="3490FC13">
      <w:pPr>
        <w:widowControl/>
        <w:adjustRightInd w:val="0"/>
        <w:snapToGrid w:val="0"/>
        <w:spacing w:line="560" w:lineRule="exact"/>
        <w:ind w:firstLine="498" w:firstLineChars="150"/>
        <w:jc w:val="left"/>
        <w:rPr>
          <w:rFonts w:eastAsia="仿宋_GB2312"/>
          <w:snapToGrid w:val="0"/>
          <w:spacing w:val="6"/>
          <w:kern w:val="0"/>
          <w:sz w:val="32"/>
          <w:szCs w:val="32"/>
          <w:highlight w:val="none"/>
        </w:rPr>
      </w:pPr>
      <w:r>
        <w:rPr>
          <w:rFonts w:eastAsia="仿宋_GB2312"/>
          <w:snapToGrid w:val="0"/>
          <w:spacing w:val="6"/>
          <w:kern w:val="0"/>
          <w:sz w:val="32"/>
          <w:szCs w:val="32"/>
          <w:highlight w:val="none"/>
        </w:rPr>
        <w:t>全面贯彻落实《地质灾害防治条例》</w:t>
      </w:r>
      <w:r>
        <w:rPr>
          <w:rFonts w:hint="eastAsia" w:eastAsia="仿宋_GB2312"/>
          <w:snapToGrid w:val="0"/>
          <w:spacing w:val="6"/>
          <w:kern w:val="0"/>
          <w:sz w:val="32"/>
          <w:szCs w:val="32"/>
          <w:highlight w:val="none"/>
        </w:rPr>
        <w:t>、</w:t>
      </w:r>
      <w:r>
        <w:rPr>
          <w:rFonts w:eastAsia="仿宋_GB2312"/>
          <w:snapToGrid w:val="0"/>
          <w:spacing w:val="6"/>
          <w:kern w:val="0"/>
          <w:sz w:val="32"/>
          <w:szCs w:val="32"/>
          <w:highlight w:val="none"/>
        </w:rPr>
        <w:t>《国务院关于加强地质灾害防治工作的决定》、《新疆维吾尔自治区地质灾害防治条例》等法律法规</w:t>
      </w:r>
      <w:r>
        <w:rPr>
          <w:rFonts w:hint="eastAsia" w:eastAsia="仿宋_GB2312"/>
          <w:snapToGrid w:val="0"/>
          <w:spacing w:val="6"/>
          <w:kern w:val="0"/>
          <w:sz w:val="32"/>
          <w:szCs w:val="32"/>
          <w:highlight w:val="none"/>
        </w:rPr>
        <w:t>；在自治区、州发布地质灾害防治工程的技术标准体系后，依相关技术要求和规范标准实施工作。进一步完善地质灾害防治制度和体制</w:t>
      </w:r>
      <w:r>
        <w:rPr>
          <w:rFonts w:hint="eastAsia" w:eastAsia="仿宋_GB2312"/>
          <w:snapToGrid w:val="0"/>
          <w:spacing w:val="6"/>
          <w:kern w:val="0"/>
          <w:sz w:val="32"/>
          <w:szCs w:val="32"/>
          <w:highlight w:val="none"/>
          <w:lang w:eastAsia="zh-CN"/>
        </w:rPr>
        <w:t>，</w:t>
      </w:r>
      <w:r>
        <w:rPr>
          <w:rFonts w:hint="eastAsia" w:eastAsia="仿宋_GB2312"/>
          <w:snapToGrid w:val="0"/>
          <w:spacing w:val="6"/>
          <w:kern w:val="0"/>
          <w:sz w:val="32"/>
          <w:szCs w:val="32"/>
          <w:highlight w:val="none"/>
        </w:rPr>
        <w:t>为规划的实施提供根本保证。继续夯实“党委政府领导、自然资源牵头、部门协作、</w:t>
      </w:r>
      <w:r>
        <w:rPr>
          <w:rFonts w:hint="eastAsia" w:eastAsia="仿宋_GB2312"/>
          <w:snapToGrid w:val="0"/>
          <w:spacing w:val="6"/>
          <w:kern w:val="0"/>
          <w:sz w:val="32"/>
          <w:szCs w:val="32"/>
          <w:highlight w:val="none"/>
          <w:lang w:val="en-US" w:eastAsia="zh-CN"/>
        </w:rPr>
        <w:t>技术</w:t>
      </w:r>
      <w:r>
        <w:rPr>
          <w:rFonts w:hint="eastAsia" w:eastAsia="仿宋_GB2312"/>
          <w:snapToGrid w:val="0"/>
          <w:spacing w:val="6"/>
          <w:kern w:val="0"/>
          <w:sz w:val="32"/>
          <w:szCs w:val="32"/>
          <w:highlight w:val="none"/>
        </w:rPr>
        <w:t>支撑、基层组织、全民参与”的地质灾害共同防治责任机制。加强部门协调沟通，完善多跨协同联动机制。完善绩效评估、考核、责任追究制度，确保规划目标落到实处。研究制定避险搬迁新政策新办法，确保地质灾害避险搬迁工作的顺利开展，加强工程建设等人为活动的地质灾害风险评估，从源头上防范和控制地质灾害的发生。</w:t>
      </w:r>
    </w:p>
    <w:p w14:paraId="4E8ADB44">
      <w:pPr>
        <w:pStyle w:val="3"/>
        <w:spacing w:after="0" w:afterLines="0" w:line="560" w:lineRule="exact"/>
        <w:ind w:firstLine="643"/>
        <w:rPr>
          <w:rFonts w:ascii="楷体" w:hAnsi="楷体" w:eastAsia="楷体" w:cs="黑体"/>
          <w:sz w:val="32"/>
          <w:highlight w:val="none"/>
        </w:rPr>
      </w:pPr>
      <w:bookmarkStart w:id="58" w:name="_Toc32745"/>
      <w:bookmarkStart w:id="59" w:name="_Toc4361"/>
      <w:r>
        <w:rPr>
          <w:rFonts w:hint="eastAsia" w:ascii="楷体" w:hAnsi="楷体" w:eastAsia="楷体" w:cs="黑体"/>
          <w:sz w:val="32"/>
          <w:highlight w:val="none"/>
        </w:rPr>
        <w:t>（三）资金保障</w:t>
      </w:r>
      <w:bookmarkEnd w:id="58"/>
      <w:bookmarkEnd w:id="59"/>
    </w:p>
    <w:p w14:paraId="7F94CDEA">
      <w:pPr>
        <w:widowControl/>
        <w:adjustRightInd w:val="0"/>
        <w:snapToGrid w:val="0"/>
        <w:spacing w:line="560" w:lineRule="exact"/>
        <w:ind w:firstLine="498" w:firstLineChars="150"/>
        <w:jc w:val="left"/>
        <w:rPr>
          <w:rFonts w:eastAsia="仿宋_GB2312"/>
          <w:snapToGrid w:val="0"/>
          <w:spacing w:val="6"/>
          <w:kern w:val="0"/>
          <w:sz w:val="32"/>
          <w:szCs w:val="32"/>
          <w:highlight w:val="none"/>
        </w:rPr>
      </w:pPr>
      <w:r>
        <w:rPr>
          <w:rFonts w:hint="eastAsia" w:eastAsia="仿宋_GB2312"/>
          <w:snapToGrid w:val="0"/>
          <w:spacing w:val="6"/>
          <w:kern w:val="0"/>
          <w:sz w:val="32"/>
          <w:szCs w:val="32"/>
          <w:highlight w:val="none"/>
        </w:rPr>
        <w:t>县人民政府应做好地质灾害防治工作的财政保障工作，将地质灾害防治经费纳入年度财政预算，建立地质灾害防治专项资金。</w:t>
      </w:r>
      <w:r>
        <w:rPr>
          <w:rFonts w:eastAsia="仿宋_GB2312"/>
          <w:snapToGrid w:val="0"/>
          <w:spacing w:val="6"/>
          <w:kern w:val="0"/>
          <w:sz w:val="32"/>
          <w:szCs w:val="32"/>
          <w:highlight w:val="none"/>
        </w:rPr>
        <w:t>将地质灾害防治工作纳入</w:t>
      </w:r>
      <w:r>
        <w:rPr>
          <w:rFonts w:hint="eastAsia" w:eastAsia="仿宋_GB2312"/>
          <w:snapToGrid w:val="0"/>
          <w:spacing w:val="6"/>
          <w:kern w:val="0"/>
          <w:sz w:val="32"/>
          <w:szCs w:val="32"/>
          <w:highlight w:val="none"/>
        </w:rPr>
        <w:t>县</w:t>
      </w:r>
      <w:r>
        <w:rPr>
          <w:rFonts w:eastAsia="仿宋_GB2312"/>
          <w:snapToGrid w:val="0"/>
          <w:spacing w:val="6"/>
          <w:kern w:val="0"/>
          <w:sz w:val="32"/>
          <w:szCs w:val="32"/>
          <w:highlight w:val="none"/>
        </w:rPr>
        <w:t>国民经济和社会发展规划，地质灾害防治所需经费</w:t>
      </w:r>
      <w:r>
        <w:rPr>
          <w:rFonts w:hint="eastAsia" w:eastAsia="仿宋_GB2312"/>
          <w:snapToGrid w:val="0"/>
          <w:spacing w:val="6"/>
          <w:kern w:val="0"/>
          <w:sz w:val="32"/>
          <w:szCs w:val="32"/>
          <w:highlight w:val="none"/>
        </w:rPr>
        <w:t>及时上报</w:t>
      </w:r>
      <w:r>
        <w:rPr>
          <w:rFonts w:eastAsia="仿宋_GB2312"/>
          <w:snapToGrid w:val="0"/>
          <w:spacing w:val="6"/>
          <w:kern w:val="0"/>
          <w:sz w:val="32"/>
          <w:szCs w:val="32"/>
          <w:highlight w:val="none"/>
        </w:rPr>
        <w:t>，建立健全防治工作责任制。按照</w:t>
      </w:r>
      <w:r>
        <w:rPr>
          <w:rFonts w:hint="eastAsia" w:eastAsia="仿宋_GB2312"/>
          <w:snapToGrid w:val="0"/>
          <w:spacing w:val="6"/>
          <w:kern w:val="0"/>
          <w:sz w:val="32"/>
          <w:szCs w:val="32"/>
          <w:highlight w:val="none"/>
        </w:rPr>
        <w:t>“</w:t>
      </w:r>
      <w:r>
        <w:rPr>
          <w:rFonts w:eastAsia="仿宋_GB2312"/>
          <w:snapToGrid w:val="0"/>
          <w:spacing w:val="6"/>
          <w:kern w:val="0"/>
          <w:sz w:val="32"/>
          <w:szCs w:val="32"/>
          <w:highlight w:val="none"/>
        </w:rPr>
        <w:t>谁引发、谁治理</w:t>
      </w:r>
      <w:r>
        <w:rPr>
          <w:rFonts w:hint="eastAsia" w:eastAsia="仿宋_GB2312"/>
          <w:snapToGrid w:val="0"/>
          <w:spacing w:val="6"/>
          <w:kern w:val="0"/>
          <w:sz w:val="32"/>
          <w:szCs w:val="32"/>
          <w:highlight w:val="none"/>
        </w:rPr>
        <w:t>”</w:t>
      </w:r>
      <w:r>
        <w:rPr>
          <w:rFonts w:eastAsia="仿宋_GB2312"/>
          <w:snapToGrid w:val="0"/>
          <w:spacing w:val="6"/>
          <w:kern w:val="0"/>
          <w:sz w:val="32"/>
          <w:szCs w:val="32"/>
          <w:highlight w:val="none"/>
        </w:rPr>
        <w:t>的原则，由地质灾害责任单位和受益单位承担治理费用。由自然因素造成的地质灾害防治经费，积极争取国家资金或列入自治区各级人民政府年度财政预算，专款专用。探索重大工程与生态保障市场化建设、运营和管理工作机制，鼓励社会资金参与，坚持共享发展理念，探索</w:t>
      </w:r>
      <w:r>
        <w:rPr>
          <w:rFonts w:hint="eastAsia" w:eastAsia="仿宋_GB2312"/>
          <w:snapToGrid w:val="0"/>
          <w:spacing w:val="6"/>
          <w:kern w:val="0"/>
          <w:sz w:val="32"/>
          <w:szCs w:val="32"/>
          <w:highlight w:val="none"/>
        </w:rPr>
        <w:t>“</w:t>
      </w:r>
      <w:r>
        <w:rPr>
          <w:rFonts w:eastAsia="仿宋_GB2312"/>
          <w:snapToGrid w:val="0"/>
          <w:spacing w:val="6"/>
          <w:kern w:val="0"/>
          <w:sz w:val="32"/>
          <w:szCs w:val="32"/>
          <w:highlight w:val="none"/>
        </w:rPr>
        <w:t>政府主导、政策扶持、社会参与、开发式治理、市场化运作</w:t>
      </w:r>
      <w:r>
        <w:rPr>
          <w:rFonts w:hint="eastAsia" w:eastAsia="仿宋_GB2312"/>
          <w:snapToGrid w:val="0"/>
          <w:spacing w:val="6"/>
          <w:kern w:val="0"/>
          <w:sz w:val="32"/>
          <w:szCs w:val="32"/>
          <w:highlight w:val="none"/>
        </w:rPr>
        <w:t>”</w:t>
      </w:r>
      <w:r>
        <w:rPr>
          <w:rFonts w:eastAsia="仿宋_GB2312"/>
          <w:snapToGrid w:val="0"/>
          <w:spacing w:val="6"/>
          <w:kern w:val="0"/>
          <w:sz w:val="32"/>
          <w:szCs w:val="32"/>
          <w:highlight w:val="none"/>
        </w:rPr>
        <w:t>的地质灾害防治新模式。</w:t>
      </w:r>
    </w:p>
    <w:p w14:paraId="4F6D53FF">
      <w:pPr>
        <w:pStyle w:val="3"/>
        <w:spacing w:after="0" w:afterLines="0" w:line="560" w:lineRule="exact"/>
        <w:ind w:firstLine="643"/>
        <w:rPr>
          <w:rFonts w:ascii="楷体" w:hAnsi="楷体" w:eastAsia="楷体" w:cs="黑体"/>
          <w:sz w:val="32"/>
          <w:highlight w:val="none"/>
        </w:rPr>
      </w:pPr>
      <w:bookmarkStart w:id="60" w:name="_Toc6328"/>
      <w:bookmarkStart w:id="61" w:name="_Toc11694"/>
      <w:r>
        <w:rPr>
          <w:rFonts w:hint="eastAsia" w:ascii="楷体" w:hAnsi="楷体" w:eastAsia="楷体" w:cs="黑体"/>
          <w:sz w:val="32"/>
          <w:highlight w:val="none"/>
        </w:rPr>
        <w:t>（四）人才保障</w:t>
      </w:r>
      <w:bookmarkEnd w:id="60"/>
      <w:bookmarkEnd w:id="61"/>
    </w:p>
    <w:p w14:paraId="6ECE60BC">
      <w:pPr>
        <w:widowControl/>
        <w:adjustRightInd w:val="0"/>
        <w:snapToGrid w:val="0"/>
        <w:spacing w:line="560" w:lineRule="exact"/>
        <w:ind w:firstLine="498" w:firstLineChars="150"/>
        <w:jc w:val="left"/>
        <w:rPr>
          <w:rFonts w:eastAsia="仿宋_GB2312"/>
          <w:snapToGrid w:val="0"/>
          <w:spacing w:val="6"/>
          <w:kern w:val="0"/>
          <w:sz w:val="32"/>
          <w:szCs w:val="32"/>
          <w:highlight w:val="none"/>
        </w:rPr>
      </w:pPr>
      <w:r>
        <w:rPr>
          <w:rFonts w:hint="eastAsia" w:eastAsia="仿宋_GB2312"/>
          <w:snapToGrid w:val="0"/>
          <w:spacing w:val="6"/>
          <w:kern w:val="0"/>
          <w:sz w:val="32"/>
          <w:szCs w:val="32"/>
          <w:highlight w:val="none"/>
        </w:rPr>
        <w:t>建立完善地灾防治人才政策和人才培养机制</w:t>
      </w:r>
      <w:r>
        <w:rPr>
          <w:rFonts w:hint="eastAsia" w:eastAsia="仿宋_GB2312"/>
          <w:snapToGrid w:val="0"/>
          <w:spacing w:val="6"/>
          <w:kern w:val="0"/>
          <w:sz w:val="32"/>
          <w:szCs w:val="32"/>
          <w:highlight w:val="none"/>
          <w:lang w:eastAsia="zh-CN"/>
        </w:rPr>
        <w:t>，</w:t>
      </w:r>
      <w:r>
        <w:rPr>
          <w:rFonts w:eastAsia="仿宋_GB2312"/>
          <w:snapToGrid w:val="0"/>
          <w:spacing w:val="6"/>
          <w:kern w:val="0"/>
          <w:sz w:val="32"/>
          <w:szCs w:val="32"/>
          <w:highlight w:val="none"/>
        </w:rPr>
        <w:t>吸收先进的地质灾害防治理论和技术，提高地质灾害专业管理人员技术水平和应对突发性地质灾害的技术保障能力</w:t>
      </w:r>
      <w:r>
        <w:rPr>
          <w:rFonts w:hint="eastAsia" w:eastAsia="仿宋_GB2312"/>
          <w:snapToGrid w:val="0"/>
          <w:spacing w:val="6"/>
          <w:kern w:val="0"/>
          <w:sz w:val="32"/>
          <w:szCs w:val="32"/>
          <w:highlight w:val="none"/>
        </w:rPr>
        <w:t>，加强地质灾害防治队伍建设，促进地灾防治干部人才横向交流</w:t>
      </w:r>
      <w:r>
        <w:rPr>
          <w:rFonts w:eastAsia="仿宋_GB2312"/>
          <w:snapToGrid w:val="0"/>
          <w:spacing w:val="6"/>
          <w:kern w:val="0"/>
          <w:sz w:val="32"/>
          <w:szCs w:val="32"/>
          <w:highlight w:val="none"/>
        </w:rPr>
        <w:t>。持续加强基层管理队伍建设，提高基层管理服务能力。</w:t>
      </w:r>
      <w:r>
        <w:rPr>
          <w:rFonts w:hint="eastAsia" w:eastAsia="仿宋_GB2312"/>
          <w:snapToGrid w:val="0"/>
          <w:spacing w:val="6"/>
          <w:kern w:val="0"/>
          <w:sz w:val="32"/>
          <w:szCs w:val="32"/>
          <w:highlight w:val="none"/>
        </w:rPr>
        <w:t>建设一批高素质、梯队化专业地灾防治服务团队，激发人才科技创新生机和活力</w:t>
      </w:r>
      <w:r>
        <w:rPr>
          <w:rFonts w:hint="eastAsia" w:eastAsia="仿宋_GB2312"/>
          <w:snapToGrid w:val="0"/>
          <w:spacing w:val="6"/>
          <w:kern w:val="0"/>
          <w:sz w:val="32"/>
          <w:szCs w:val="32"/>
          <w:highlight w:val="none"/>
          <w:lang w:eastAsia="zh-CN"/>
        </w:rPr>
        <w:t>，</w:t>
      </w:r>
      <w:r>
        <w:rPr>
          <w:rFonts w:hint="eastAsia" w:eastAsia="仿宋_GB2312"/>
          <w:snapToGrid w:val="0"/>
          <w:spacing w:val="6"/>
          <w:kern w:val="0"/>
          <w:sz w:val="32"/>
          <w:szCs w:val="32"/>
          <w:highlight w:val="none"/>
        </w:rPr>
        <w:t>为地质灾害防治事业发展注入新的动力。</w:t>
      </w:r>
    </w:p>
    <w:p w14:paraId="2E7C05DA">
      <w:pPr>
        <w:pStyle w:val="3"/>
        <w:spacing w:after="0" w:afterLines="0" w:line="560" w:lineRule="exact"/>
        <w:ind w:firstLine="643"/>
        <w:rPr>
          <w:rFonts w:ascii="楷体" w:hAnsi="楷体" w:eastAsia="楷体" w:cs="黑体"/>
          <w:sz w:val="32"/>
          <w:highlight w:val="none"/>
        </w:rPr>
      </w:pPr>
      <w:bookmarkStart w:id="62" w:name="_Toc8962"/>
      <w:bookmarkStart w:id="63" w:name="_Toc13298"/>
      <w:r>
        <w:rPr>
          <w:rFonts w:hint="eastAsia" w:ascii="楷体" w:hAnsi="楷体" w:eastAsia="楷体" w:cs="黑体"/>
          <w:sz w:val="32"/>
          <w:highlight w:val="none"/>
        </w:rPr>
        <w:t>（五）社会保障</w:t>
      </w:r>
      <w:bookmarkEnd w:id="62"/>
      <w:bookmarkEnd w:id="63"/>
    </w:p>
    <w:p w14:paraId="1BCB0924">
      <w:pPr>
        <w:widowControl/>
        <w:adjustRightInd w:val="0"/>
        <w:snapToGrid w:val="0"/>
        <w:spacing w:line="560" w:lineRule="exact"/>
        <w:ind w:firstLine="498" w:firstLineChars="150"/>
        <w:jc w:val="left"/>
        <w:rPr>
          <w:rFonts w:hint="eastAsia" w:ascii="Times New Roman" w:hAnsi="Times New Roman" w:eastAsia="宋体"/>
          <w:sz w:val="32"/>
          <w:highlight w:val="none"/>
          <w:lang w:eastAsia="zh-CN"/>
        </w:rPr>
      </w:pPr>
      <w:r>
        <w:rPr>
          <w:rFonts w:hint="eastAsia" w:eastAsia="仿宋_GB2312"/>
          <w:snapToGrid w:val="0"/>
          <w:spacing w:val="6"/>
          <w:kern w:val="0"/>
          <w:sz w:val="32"/>
          <w:szCs w:val="32"/>
          <w:highlight w:val="none"/>
        </w:rPr>
        <w:t>广泛发动社会各方面力量参与地质灾害防治工作，鼓励公民、法人和其它社会组织共同关心、支持地质灾害防治事业。</w:t>
      </w:r>
      <w:r>
        <w:rPr>
          <w:rFonts w:eastAsia="仿宋_GB2312"/>
          <w:snapToGrid w:val="0"/>
          <w:spacing w:val="6"/>
          <w:kern w:val="0"/>
          <w:sz w:val="32"/>
          <w:szCs w:val="32"/>
          <w:highlight w:val="none"/>
        </w:rPr>
        <w:t>引导和支持社会力量参与地质灾害防灾减灾，加强从业人员专业素质和能力培训，提高地质灾害防治工作水平。</w:t>
      </w:r>
      <w:r>
        <w:rPr>
          <w:rFonts w:hint="eastAsia" w:eastAsia="仿宋_GB2312"/>
          <w:snapToGrid w:val="0"/>
          <w:spacing w:val="6"/>
          <w:kern w:val="0"/>
          <w:sz w:val="32"/>
          <w:szCs w:val="32"/>
          <w:highlight w:val="none"/>
        </w:rPr>
        <w:t>搭建不同层次的地质灾害防治研究合作交流平台</w:t>
      </w:r>
      <w:r>
        <w:rPr>
          <w:rFonts w:hint="eastAsia" w:eastAsia="仿宋_GB2312"/>
          <w:snapToGrid w:val="0"/>
          <w:spacing w:val="6"/>
          <w:kern w:val="0"/>
          <w:sz w:val="32"/>
          <w:szCs w:val="32"/>
          <w:highlight w:val="none"/>
          <w:lang w:eastAsia="zh-CN"/>
        </w:rPr>
        <w:t>，</w:t>
      </w:r>
      <w:r>
        <w:rPr>
          <w:rFonts w:hint="eastAsia" w:eastAsia="仿宋_GB2312"/>
          <w:snapToGrid w:val="0"/>
          <w:spacing w:val="6"/>
          <w:kern w:val="0"/>
          <w:sz w:val="32"/>
          <w:szCs w:val="32"/>
          <w:highlight w:val="none"/>
        </w:rPr>
        <w:t>切实解决地质灾害防治工作中的难题。</w:t>
      </w:r>
      <w:r>
        <w:rPr>
          <w:rFonts w:eastAsia="仿宋_GB2312"/>
          <w:snapToGrid w:val="0"/>
          <w:spacing w:val="6"/>
          <w:kern w:val="0"/>
          <w:sz w:val="32"/>
          <w:szCs w:val="32"/>
          <w:highlight w:val="none"/>
        </w:rPr>
        <w:t>充分利用</w:t>
      </w:r>
      <w:r>
        <w:rPr>
          <w:rFonts w:hint="eastAsia" w:eastAsia="仿宋_GB2312"/>
          <w:snapToGrid w:val="0"/>
          <w:spacing w:val="6"/>
          <w:kern w:val="0"/>
          <w:sz w:val="32"/>
          <w:szCs w:val="32"/>
          <w:highlight w:val="none"/>
        </w:rPr>
        <w:t>“</w:t>
      </w:r>
      <w:r>
        <w:rPr>
          <w:rFonts w:eastAsia="仿宋_GB2312"/>
          <w:snapToGrid w:val="0"/>
          <w:spacing w:val="6"/>
          <w:kern w:val="0"/>
          <w:sz w:val="32"/>
          <w:szCs w:val="32"/>
          <w:highlight w:val="none"/>
        </w:rPr>
        <w:t>防灾减灾</w:t>
      </w:r>
      <w:r>
        <w:rPr>
          <w:rFonts w:hint="eastAsia" w:eastAsia="仿宋_GB2312"/>
          <w:snapToGrid w:val="0"/>
          <w:spacing w:val="6"/>
          <w:kern w:val="0"/>
          <w:sz w:val="32"/>
          <w:szCs w:val="32"/>
          <w:highlight w:val="none"/>
        </w:rPr>
        <w:t>”</w:t>
      </w:r>
      <w:r>
        <w:rPr>
          <w:rFonts w:eastAsia="仿宋_GB2312"/>
          <w:snapToGrid w:val="0"/>
          <w:spacing w:val="6"/>
          <w:kern w:val="0"/>
          <w:sz w:val="32"/>
          <w:szCs w:val="32"/>
          <w:highlight w:val="none"/>
        </w:rPr>
        <w:t>宣传日等开展形式多样、内容丰富的宣传培训和应急避险演练，加强民众识灾防灾意识。</w:t>
      </w:r>
      <w:r>
        <w:rPr>
          <w:rFonts w:hint="eastAsia" w:eastAsia="仿宋_GB2312"/>
          <w:snapToGrid w:val="0"/>
          <w:spacing w:val="6"/>
          <w:kern w:val="0"/>
          <w:sz w:val="32"/>
          <w:szCs w:val="32"/>
          <w:highlight w:val="none"/>
        </w:rPr>
        <w:t>通过多形式、多途径，加强地质灾害防灾减灾、避险自救知识宣传培训和避险演练，普及地质灾害防灾知识，提高社会各界及广大干部群众防灾减灾意识和自救互救能力。</w:t>
      </w:r>
      <w:bookmarkEnd w:id="53"/>
    </w:p>
    <w:sectPr>
      <w:pgSz w:w="11906" w:h="16838"/>
      <w:pgMar w:top="1418" w:right="1418" w:bottom="1418" w:left="1418"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65238">
    <w:pPr>
      <w:pStyle w:val="18"/>
      <w:framePr w:wrap="around" w:vAnchor="text" w:hAnchor="page" w:x="6032" w:y="-38"/>
      <w:rPr>
        <w:rStyle w:val="36"/>
      </w:rPr>
    </w:pPr>
  </w:p>
  <w:p w14:paraId="7F274A5C">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2471F">
    <w:pPr>
      <w:pStyle w:val="18"/>
      <w:framePr w:wrap="around" w:vAnchor="text" w:hAnchor="margin" w:xAlign="center" w:y="1"/>
      <w:rPr>
        <w:rStyle w:val="36"/>
      </w:rPr>
    </w:pPr>
    <w:r>
      <w:fldChar w:fldCharType="begin"/>
    </w:r>
    <w:r>
      <w:rPr>
        <w:rStyle w:val="36"/>
      </w:rPr>
      <w:instrText xml:space="preserve">PAGE  </w:instrText>
    </w:r>
    <w:r>
      <w:fldChar w:fldCharType="end"/>
    </w:r>
  </w:p>
  <w:p w14:paraId="5384367D">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805D7">
    <w:pPr>
      <w:pStyle w:val="1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40AEF">
    <w:pPr>
      <w:pStyle w:val="18"/>
      <w:framePr w:wrap="around" w:vAnchor="text" w:hAnchor="margin" w:xAlign="center" w:y="1"/>
      <w:rPr>
        <w:rStyle w:val="36"/>
      </w:rPr>
    </w:pPr>
    <w:r>
      <w:rPr>
        <w:rStyle w:val="36"/>
      </w:rPr>
      <w:fldChar w:fldCharType="begin"/>
    </w:r>
    <w:r>
      <w:rPr>
        <w:rStyle w:val="36"/>
      </w:rPr>
      <w:instrText xml:space="preserve">PAGE  </w:instrText>
    </w:r>
    <w:r>
      <w:rPr>
        <w:rStyle w:val="36"/>
      </w:rPr>
      <w:fldChar w:fldCharType="end"/>
    </w:r>
  </w:p>
  <w:p w14:paraId="03F4256E">
    <w:pPr>
      <w:pStyle w:val="1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13913">
    <w:pPr>
      <w:pStyle w:val="18"/>
      <w:framePr w:wrap="around" w:vAnchor="text" w:hAnchor="margin" w:xAlign="center" w:y="1"/>
      <w:jc w:val="center"/>
      <w:rPr>
        <w:rStyle w:val="36"/>
      </w:rPr>
    </w:pPr>
    <w:r>
      <w:rPr>
        <w:rStyle w:val="36"/>
      </w:rPr>
      <w:fldChar w:fldCharType="begin"/>
    </w:r>
    <w:r>
      <w:rPr>
        <w:rStyle w:val="36"/>
      </w:rPr>
      <w:instrText xml:space="preserve">PAGE  </w:instrText>
    </w:r>
    <w:r>
      <w:rPr>
        <w:rStyle w:val="36"/>
      </w:rPr>
      <w:fldChar w:fldCharType="separate"/>
    </w:r>
    <w:r>
      <w:rPr>
        <w:rStyle w:val="36"/>
      </w:rPr>
      <w:t>35</w:t>
    </w:r>
    <w:r>
      <w:rPr>
        <w:rStyle w:val="36"/>
      </w:rPr>
      <w:fldChar w:fldCharType="end"/>
    </w:r>
  </w:p>
  <w:p w14:paraId="44BFF057">
    <w:pPr>
      <w:pStyle w:val="18"/>
      <w:ind w:right="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FF9F0">
    <w:pPr>
      <w:pStyle w:val="19"/>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7437E">
    <w:pPr>
      <w:pStyle w:val="19"/>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28A"/>
    <w:rsid w:val="00002B4C"/>
    <w:rsid w:val="00016B70"/>
    <w:rsid w:val="00057D88"/>
    <w:rsid w:val="00061CBD"/>
    <w:rsid w:val="00075A46"/>
    <w:rsid w:val="000806B5"/>
    <w:rsid w:val="000C1220"/>
    <w:rsid w:val="000D0FC1"/>
    <w:rsid w:val="000E2D62"/>
    <w:rsid w:val="000F3701"/>
    <w:rsid w:val="001170FE"/>
    <w:rsid w:val="00117CD5"/>
    <w:rsid w:val="00131058"/>
    <w:rsid w:val="00163524"/>
    <w:rsid w:val="001637B6"/>
    <w:rsid w:val="00170BE2"/>
    <w:rsid w:val="0019388A"/>
    <w:rsid w:val="00195C75"/>
    <w:rsid w:val="001A2659"/>
    <w:rsid w:val="001C2179"/>
    <w:rsid w:val="001D0D60"/>
    <w:rsid w:val="001D7538"/>
    <w:rsid w:val="001E7CBF"/>
    <w:rsid w:val="001F28B9"/>
    <w:rsid w:val="001F48CE"/>
    <w:rsid w:val="00221938"/>
    <w:rsid w:val="00231548"/>
    <w:rsid w:val="0025409E"/>
    <w:rsid w:val="002541AA"/>
    <w:rsid w:val="00266B36"/>
    <w:rsid w:val="0027534E"/>
    <w:rsid w:val="0028090D"/>
    <w:rsid w:val="0028378E"/>
    <w:rsid w:val="00293B27"/>
    <w:rsid w:val="00294819"/>
    <w:rsid w:val="0029556E"/>
    <w:rsid w:val="003016D2"/>
    <w:rsid w:val="0030776C"/>
    <w:rsid w:val="00316A45"/>
    <w:rsid w:val="0034228A"/>
    <w:rsid w:val="003435DB"/>
    <w:rsid w:val="00353AEC"/>
    <w:rsid w:val="00363E3F"/>
    <w:rsid w:val="00375B58"/>
    <w:rsid w:val="0037701B"/>
    <w:rsid w:val="00384E50"/>
    <w:rsid w:val="003B686F"/>
    <w:rsid w:val="003C338C"/>
    <w:rsid w:val="003D47B9"/>
    <w:rsid w:val="003E297F"/>
    <w:rsid w:val="00420EDE"/>
    <w:rsid w:val="0042234E"/>
    <w:rsid w:val="00455106"/>
    <w:rsid w:val="00481491"/>
    <w:rsid w:val="00485C4B"/>
    <w:rsid w:val="00490B30"/>
    <w:rsid w:val="00491DFE"/>
    <w:rsid w:val="004A25DE"/>
    <w:rsid w:val="004F3FC7"/>
    <w:rsid w:val="00507ED9"/>
    <w:rsid w:val="00512F78"/>
    <w:rsid w:val="00543EE6"/>
    <w:rsid w:val="00544802"/>
    <w:rsid w:val="00544CDB"/>
    <w:rsid w:val="00551C3C"/>
    <w:rsid w:val="00554B33"/>
    <w:rsid w:val="00560552"/>
    <w:rsid w:val="00562442"/>
    <w:rsid w:val="005643B0"/>
    <w:rsid w:val="00580C53"/>
    <w:rsid w:val="00595CCC"/>
    <w:rsid w:val="005A5B8D"/>
    <w:rsid w:val="005C1428"/>
    <w:rsid w:val="005C5256"/>
    <w:rsid w:val="005D783E"/>
    <w:rsid w:val="005E5AF8"/>
    <w:rsid w:val="00614E5D"/>
    <w:rsid w:val="00623F5C"/>
    <w:rsid w:val="00627CC1"/>
    <w:rsid w:val="00630D6B"/>
    <w:rsid w:val="00652B49"/>
    <w:rsid w:val="00680492"/>
    <w:rsid w:val="00696D3F"/>
    <w:rsid w:val="006F3A87"/>
    <w:rsid w:val="00702F3C"/>
    <w:rsid w:val="0071220E"/>
    <w:rsid w:val="00742236"/>
    <w:rsid w:val="00744CDB"/>
    <w:rsid w:val="007653B3"/>
    <w:rsid w:val="00766E3C"/>
    <w:rsid w:val="00782334"/>
    <w:rsid w:val="007A67E7"/>
    <w:rsid w:val="007B29D7"/>
    <w:rsid w:val="007B2C68"/>
    <w:rsid w:val="007C205E"/>
    <w:rsid w:val="007D6985"/>
    <w:rsid w:val="007E4F9E"/>
    <w:rsid w:val="007E52C3"/>
    <w:rsid w:val="007F6EA9"/>
    <w:rsid w:val="00800C2C"/>
    <w:rsid w:val="00803472"/>
    <w:rsid w:val="008048E5"/>
    <w:rsid w:val="008240B4"/>
    <w:rsid w:val="008304ED"/>
    <w:rsid w:val="0083249E"/>
    <w:rsid w:val="008357B5"/>
    <w:rsid w:val="00853091"/>
    <w:rsid w:val="008617D4"/>
    <w:rsid w:val="00870269"/>
    <w:rsid w:val="00875383"/>
    <w:rsid w:val="008B2927"/>
    <w:rsid w:val="008C006E"/>
    <w:rsid w:val="008C1A40"/>
    <w:rsid w:val="008D5F34"/>
    <w:rsid w:val="009112CF"/>
    <w:rsid w:val="009261DF"/>
    <w:rsid w:val="00934A8D"/>
    <w:rsid w:val="00963735"/>
    <w:rsid w:val="00972F7A"/>
    <w:rsid w:val="00976805"/>
    <w:rsid w:val="00976F1F"/>
    <w:rsid w:val="009815F1"/>
    <w:rsid w:val="00982E24"/>
    <w:rsid w:val="00984299"/>
    <w:rsid w:val="00996D4D"/>
    <w:rsid w:val="009B3AD1"/>
    <w:rsid w:val="009B7255"/>
    <w:rsid w:val="009C3900"/>
    <w:rsid w:val="00A04E54"/>
    <w:rsid w:val="00A16C7B"/>
    <w:rsid w:val="00A212AF"/>
    <w:rsid w:val="00A2769E"/>
    <w:rsid w:val="00A53AED"/>
    <w:rsid w:val="00A57D3C"/>
    <w:rsid w:val="00A7179E"/>
    <w:rsid w:val="00A800F5"/>
    <w:rsid w:val="00AB1E53"/>
    <w:rsid w:val="00AB45C0"/>
    <w:rsid w:val="00AC449A"/>
    <w:rsid w:val="00AE39BE"/>
    <w:rsid w:val="00B03A5A"/>
    <w:rsid w:val="00B049F4"/>
    <w:rsid w:val="00B05CB3"/>
    <w:rsid w:val="00B32FF6"/>
    <w:rsid w:val="00B7018B"/>
    <w:rsid w:val="00BB01BC"/>
    <w:rsid w:val="00BC10BD"/>
    <w:rsid w:val="00BC6D61"/>
    <w:rsid w:val="00BD1F87"/>
    <w:rsid w:val="00BF514B"/>
    <w:rsid w:val="00C125E0"/>
    <w:rsid w:val="00C16EF7"/>
    <w:rsid w:val="00C20887"/>
    <w:rsid w:val="00C30960"/>
    <w:rsid w:val="00C6113B"/>
    <w:rsid w:val="00C62CD5"/>
    <w:rsid w:val="00C72416"/>
    <w:rsid w:val="00C832DA"/>
    <w:rsid w:val="00CA211D"/>
    <w:rsid w:val="00CA2898"/>
    <w:rsid w:val="00CA5A0E"/>
    <w:rsid w:val="00CB228F"/>
    <w:rsid w:val="00CC16DA"/>
    <w:rsid w:val="00CC2858"/>
    <w:rsid w:val="00CC3042"/>
    <w:rsid w:val="00CD31B5"/>
    <w:rsid w:val="00CE3B26"/>
    <w:rsid w:val="00CF0001"/>
    <w:rsid w:val="00CF583F"/>
    <w:rsid w:val="00D00AF3"/>
    <w:rsid w:val="00D15FE8"/>
    <w:rsid w:val="00D23EBA"/>
    <w:rsid w:val="00D30552"/>
    <w:rsid w:val="00D33829"/>
    <w:rsid w:val="00D371CF"/>
    <w:rsid w:val="00D64146"/>
    <w:rsid w:val="00D7259C"/>
    <w:rsid w:val="00DA3DC6"/>
    <w:rsid w:val="00DA485C"/>
    <w:rsid w:val="00DB0DA4"/>
    <w:rsid w:val="00DC65B1"/>
    <w:rsid w:val="00DF4CC6"/>
    <w:rsid w:val="00E02DA9"/>
    <w:rsid w:val="00E06B1F"/>
    <w:rsid w:val="00E12BD8"/>
    <w:rsid w:val="00E16E7F"/>
    <w:rsid w:val="00E17297"/>
    <w:rsid w:val="00E40D1E"/>
    <w:rsid w:val="00E415BC"/>
    <w:rsid w:val="00E51A44"/>
    <w:rsid w:val="00E54284"/>
    <w:rsid w:val="00E60680"/>
    <w:rsid w:val="00E87D03"/>
    <w:rsid w:val="00E93518"/>
    <w:rsid w:val="00E97688"/>
    <w:rsid w:val="00EC15B2"/>
    <w:rsid w:val="00EF4056"/>
    <w:rsid w:val="00F154E3"/>
    <w:rsid w:val="00F16293"/>
    <w:rsid w:val="00F26500"/>
    <w:rsid w:val="00F32F8E"/>
    <w:rsid w:val="00F46C41"/>
    <w:rsid w:val="00F67D12"/>
    <w:rsid w:val="00F758C9"/>
    <w:rsid w:val="00F82063"/>
    <w:rsid w:val="00F879FE"/>
    <w:rsid w:val="00F9314F"/>
    <w:rsid w:val="00FB5A37"/>
    <w:rsid w:val="00FC00AA"/>
    <w:rsid w:val="00FC45B9"/>
    <w:rsid w:val="00FD6C4E"/>
    <w:rsid w:val="00FE75F2"/>
    <w:rsid w:val="012F06F0"/>
    <w:rsid w:val="01CE1437"/>
    <w:rsid w:val="02D93283"/>
    <w:rsid w:val="03144DDE"/>
    <w:rsid w:val="035166A0"/>
    <w:rsid w:val="039667A9"/>
    <w:rsid w:val="03F11C32"/>
    <w:rsid w:val="0438006D"/>
    <w:rsid w:val="04425FE9"/>
    <w:rsid w:val="04803136"/>
    <w:rsid w:val="05D16848"/>
    <w:rsid w:val="05D979E4"/>
    <w:rsid w:val="063A5578"/>
    <w:rsid w:val="06450BAC"/>
    <w:rsid w:val="068E6F7C"/>
    <w:rsid w:val="06D338C5"/>
    <w:rsid w:val="07E354FD"/>
    <w:rsid w:val="08115956"/>
    <w:rsid w:val="0836224A"/>
    <w:rsid w:val="090E6B5C"/>
    <w:rsid w:val="097249CA"/>
    <w:rsid w:val="098A22EA"/>
    <w:rsid w:val="09C35E1E"/>
    <w:rsid w:val="09F064E7"/>
    <w:rsid w:val="0A342EA1"/>
    <w:rsid w:val="0B5605CC"/>
    <w:rsid w:val="0CA65E3A"/>
    <w:rsid w:val="0CCA2778"/>
    <w:rsid w:val="0DAD2FA0"/>
    <w:rsid w:val="0E303356"/>
    <w:rsid w:val="0E3F24FE"/>
    <w:rsid w:val="0E515F49"/>
    <w:rsid w:val="0E952062"/>
    <w:rsid w:val="0ED97846"/>
    <w:rsid w:val="0EE76B4E"/>
    <w:rsid w:val="0F5E5506"/>
    <w:rsid w:val="0F645EBE"/>
    <w:rsid w:val="0F953689"/>
    <w:rsid w:val="0F9C29B1"/>
    <w:rsid w:val="0FCD43AF"/>
    <w:rsid w:val="10D1490E"/>
    <w:rsid w:val="114E421F"/>
    <w:rsid w:val="119F2CCD"/>
    <w:rsid w:val="12E0534B"/>
    <w:rsid w:val="13FB7F63"/>
    <w:rsid w:val="142676D5"/>
    <w:rsid w:val="14467F1C"/>
    <w:rsid w:val="14A052E2"/>
    <w:rsid w:val="14A66E04"/>
    <w:rsid w:val="14D964F6"/>
    <w:rsid w:val="14FF68C9"/>
    <w:rsid w:val="151E215B"/>
    <w:rsid w:val="15373433"/>
    <w:rsid w:val="156D6384"/>
    <w:rsid w:val="160D07D9"/>
    <w:rsid w:val="162858ED"/>
    <w:rsid w:val="17C32AE8"/>
    <w:rsid w:val="18DC5813"/>
    <w:rsid w:val="19A8687F"/>
    <w:rsid w:val="19AA66B3"/>
    <w:rsid w:val="19E54829"/>
    <w:rsid w:val="1A8509E3"/>
    <w:rsid w:val="1B094638"/>
    <w:rsid w:val="1C422ECC"/>
    <w:rsid w:val="1D1F1D81"/>
    <w:rsid w:val="1E4E20E4"/>
    <w:rsid w:val="1E632EDD"/>
    <w:rsid w:val="1EFA3A95"/>
    <w:rsid w:val="1F947BE9"/>
    <w:rsid w:val="20531852"/>
    <w:rsid w:val="20751FA3"/>
    <w:rsid w:val="218C0D69"/>
    <w:rsid w:val="21ED538F"/>
    <w:rsid w:val="22046B16"/>
    <w:rsid w:val="22602004"/>
    <w:rsid w:val="22B13088"/>
    <w:rsid w:val="239570C5"/>
    <w:rsid w:val="247C70E2"/>
    <w:rsid w:val="249B5E51"/>
    <w:rsid w:val="24D55FD9"/>
    <w:rsid w:val="25207DCD"/>
    <w:rsid w:val="25793D41"/>
    <w:rsid w:val="25A86641"/>
    <w:rsid w:val="25E92311"/>
    <w:rsid w:val="265D59B8"/>
    <w:rsid w:val="26663961"/>
    <w:rsid w:val="26A12BEB"/>
    <w:rsid w:val="26B11FA0"/>
    <w:rsid w:val="26CD0C1B"/>
    <w:rsid w:val="26E01966"/>
    <w:rsid w:val="27632BB2"/>
    <w:rsid w:val="27E965B3"/>
    <w:rsid w:val="28BC65A1"/>
    <w:rsid w:val="28C25188"/>
    <w:rsid w:val="28D1725E"/>
    <w:rsid w:val="29887747"/>
    <w:rsid w:val="29915096"/>
    <w:rsid w:val="2A0969BD"/>
    <w:rsid w:val="2B193EDC"/>
    <w:rsid w:val="2C32091E"/>
    <w:rsid w:val="2C3A5674"/>
    <w:rsid w:val="2C414C55"/>
    <w:rsid w:val="2CA92052"/>
    <w:rsid w:val="2CE12732"/>
    <w:rsid w:val="2CF40CE2"/>
    <w:rsid w:val="2D142369"/>
    <w:rsid w:val="2D184F3E"/>
    <w:rsid w:val="2D406217"/>
    <w:rsid w:val="2D43338B"/>
    <w:rsid w:val="2DC74097"/>
    <w:rsid w:val="2DCA2A28"/>
    <w:rsid w:val="2E690493"/>
    <w:rsid w:val="2EAB170E"/>
    <w:rsid w:val="2EE769C4"/>
    <w:rsid w:val="3051435C"/>
    <w:rsid w:val="3075311F"/>
    <w:rsid w:val="30BD2BC4"/>
    <w:rsid w:val="317C6EE4"/>
    <w:rsid w:val="32355B94"/>
    <w:rsid w:val="328533C1"/>
    <w:rsid w:val="33A04957"/>
    <w:rsid w:val="33BB2AAF"/>
    <w:rsid w:val="33C33711"/>
    <w:rsid w:val="33C67BC7"/>
    <w:rsid w:val="340F6AE4"/>
    <w:rsid w:val="346E05B1"/>
    <w:rsid w:val="357F059C"/>
    <w:rsid w:val="359E23A5"/>
    <w:rsid w:val="35F6473E"/>
    <w:rsid w:val="36621823"/>
    <w:rsid w:val="36D65F02"/>
    <w:rsid w:val="37402EE3"/>
    <w:rsid w:val="37FC5E4B"/>
    <w:rsid w:val="3826627C"/>
    <w:rsid w:val="38585BBA"/>
    <w:rsid w:val="387120A2"/>
    <w:rsid w:val="38F80D91"/>
    <w:rsid w:val="39AD0584"/>
    <w:rsid w:val="3BC27434"/>
    <w:rsid w:val="3BD93255"/>
    <w:rsid w:val="3C1E0B0E"/>
    <w:rsid w:val="3C3E2452"/>
    <w:rsid w:val="3D3B5DE5"/>
    <w:rsid w:val="3EDA7082"/>
    <w:rsid w:val="3F734D26"/>
    <w:rsid w:val="3F8C3FE1"/>
    <w:rsid w:val="3FF725DD"/>
    <w:rsid w:val="400A2904"/>
    <w:rsid w:val="404B3E9C"/>
    <w:rsid w:val="40A86BF9"/>
    <w:rsid w:val="40E57E4D"/>
    <w:rsid w:val="40EE2CDA"/>
    <w:rsid w:val="42022339"/>
    <w:rsid w:val="42E04750"/>
    <w:rsid w:val="43F10B20"/>
    <w:rsid w:val="43FF4961"/>
    <w:rsid w:val="445B21D4"/>
    <w:rsid w:val="448A1896"/>
    <w:rsid w:val="44FB7A1B"/>
    <w:rsid w:val="456D6663"/>
    <w:rsid w:val="45E5559A"/>
    <w:rsid w:val="45F468CD"/>
    <w:rsid w:val="46396545"/>
    <w:rsid w:val="463D72BF"/>
    <w:rsid w:val="46852872"/>
    <w:rsid w:val="46F46C96"/>
    <w:rsid w:val="470628CB"/>
    <w:rsid w:val="473E655E"/>
    <w:rsid w:val="48082673"/>
    <w:rsid w:val="48137EDD"/>
    <w:rsid w:val="48601E59"/>
    <w:rsid w:val="48867AAB"/>
    <w:rsid w:val="492E7EB7"/>
    <w:rsid w:val="49481BD9"/>
    <w:rsid w:val="494D6318"/>
    <w:rsid w:val="49802F75"/>
    <w:rsid w:val="49891591"/>
    <w:rsid w:val="49FC1D63"/>
    <w:rsid w:val="4A0C170B"/>
    <w:rsid w:val="4AD77089"/>
    <w:rsid w:val="4B122AE7"/>
    <w:rsid w:val="4B53235D"/>
    <w:rsid w:val="4B71593E"/>
    <w:rsid w:val="4BC82EDF"/>
    <w:rsid w:val="4C0B7195"/>
    <w:rsid w:val="4C107A86"/>
    <w:rsid w:val="4CEB5CF9"/>
    <w:rsid w:val="4D047F4E"/>
    <w:rsid w:val="4D4D54B0"/>
    <w:rsid w:val="4D8A4135"/>
    <w:rsid w:val="4DBD215C"/>
    <w:rsid w:val="4DD52F57"/>
    <w:rsid w:val="4DF826FD"/>
    <w:rsid w:val="4E263853"/>
    <w:rsid w:val="4E3D5CA8"/>
    <w:rsid w:val="4E4D0DDF"/>
    <w:rsid w:val="4E58415E"/>
    <w:rsid w:val="4E7B188C"/>
    <w:rsid w:val="4EEA6837"/>
    <w:rsid w:val="4F602D94"/>
    <w:rsid w:val="4F9547EC"/>
    <w:rsid w:val="4FB56C3C"/>
    <w:rsid w:val="507C64A1"/>
    <w:rsid w:val="50E27694"/>
    <w:rsid w:val="5104202D"/>
    <w:rsid w:val="513B14AD"/>
    <w:rsid w:val="51402E7D"/>
    <w:rsid w:val="514429C2"/>
    <w:rsid w:val="51542F82"/>
    <w:rsid w:val="51C5264A"/>
    <w:rsid w:val="51EA0E62"/>
    <w:rsid w:val="51F15F26"/>
    <w:rsid w:val="527D462F"/>
    <w:rsid w:val="54CC1A7D"/>
    <w:rsid w:val="54D47413"/>
    <w:rsid w:val="57146C6F"/>
    <w:rsid w:val="57387B6B"/>
    <w:rsid w:val="576F1DC6"/>
    <w:rsid w:val="578D66F1"/>
    <w:rsid w:val="57B1251C"/>
    <w:rsid w:val="57C87729"/>
    <w:rsid w:val="57E412E1"/>
    <w:rsid w:val="57E9128B"/>
    <w:rsid w:val="583059FA"/>
    <w:rsid w:val="58981662"/>
    <w:rsid w:val="59633EF8"/>
    <w:rsid w:val="59AB1EEB"/>
    <w:rsid w:val="59E22D24"/>
    <w:rsid w:val="59F95B63"/>
    <w:rsid w:val="5A20384C"/>
    <w:rsid w:val="5AAD22B0"/>
    <w:rsid w:val="5AED41C2"/>
    <w:rsid w:val="5AF249AC"/>
    <w:rsid w:val="5B5D20A9"/>
    <w:rsid w:val="5B6724EE"/>
    <w:rsid w:val="5B841BB9"/>
    <w:rsid w:val="5C8C341B"/>
    <w:rsid w:val="5D00718A"/>
    <w:rsid w:val="5D245E38"/>
    <w:rsid w:val="5D2E4F5F"/>
    <w:rsid w:val="5DA83D90"/>
    <w:rsid w:val="5E1727EB"/>
    <w:rsid w:val="5F132A89"/>
    <w:rsid w:val="5F3062DF"/>
    <w:rsid w:val="5F6146B0"/>
    <w:rsid w:val="60150B9A"/>
    <w:rsid w:val="610877FA"/>
    <w:rsid w:val="6142054C"/>
    <w:rsid w:val="61A62889"/>
    <w:rsid w:val="62041A57"/>
    <w:rsid w:val="62071C47"/>
    <w:rsid w:val="6232236E"/>
    <w:rsid w:val="62950FB1"/>
    <w:rsid w:val="62A41216"/>
    <w:rsid w:val="633A0B18"/>
    <w:rsid w:val="63B57DEC"/>
    <w:rsid w:val="644C2F7E"/>
    <w:rsid w:val="64664551"/>
    <w:rsid w:val="652310DA"/>
    <w:rsid w:val="65B455A1"/>
    <w:rsid w:val="660A212C"/>
    <w:rsid w:val="660E238F"/>
    <w:rsid w:val="661A40EC"/>
    <w:rsid w:val="66AC3F2B"/>
    <w:rsid w:val="670C13E0"/>
    <w:rsid w:val="67BF28F6"/>
    <w:rsid w:val="67EA4439"/>
    <w:rsid w:val="67FF7197"/>
    <w:rsid w:val="681F3087"/>
    <w:rsid w:val="6885769C"/>
    <w:rsid w:val="69260F7E"/>
    <w:rsid w:val="6A9D04D2"/>
    <w:rsid w:val="6B364A06"/>
    <w:rsid w:val="6B696778"/>
    <w:rsid w:val="6BE86563"/>
    <w:rsid w:val="6C5A74BB"/>
    <w:rsid w:val="6C731465"/>
    <w:rsid w:val="6CAC5654"/>
    <w:rsid w:val="6D140FEE"/>
    <w:rsid w:val="6D9A7550"/>
    <w:rsid w:val="6DF807AC"/>
    <w:rsid w:val="6F345978"/>
    <w:rsid w:val="6F3E5BA3"/>
    <w:rsid w:val="6FA348AB"/>
    <w:rsid w:val="6FEF32A1"/>
    <w:rsid w:val="6FFE7D34"/>
    <w:rsid w:val="705F07D2"/>
    <w:rsid w:val="70C7280E"/>
    <w:rsid w:val="70D32610"/>
    <w:rsid w:val="70F133F4"/>
    <w:rsid w:val="720262C9"/>
    <w:rsid w:val="72785B7B"/>
    <w:rsid w:val="72A03324"/>
    <w:rsid w:val="72AB139A"/>
    <w:rsid w:val="72C83D89"/>
    <w:rsid w:val="74880EBD"/>
    <w:rsid w:val="74E33BB3"/>
    <w:rsid w:val="74EF066E"/>
    <w:rsid w:val="752351BD"/>
    <w:rsid w:val="754E58BB"/>
    <w:rsid w:val="75D422BB"/>
    <w:rsid w:val="76487F5B"/>
    <w:rsid w:val="76514AC5"/>
    <w:rsid w:val="76A333E3"/>
    <w:rsid w:val="76EB2D85"/>
    <w:rsid w:val="770454A6"/>
    <w:rsid w:val="7713446B"/>
    <w:rsid w:val="77495ED6"/>
    <w:rsid w:val="77862AE9"/>
    <w:rsid w:val="78222BDF"/>
    <w:rsid w:val="786A1DB1"/>
    <w:rsid w:val="78805FEE"/>
    <w:rsid w:val="789008F3"/>
    <w:rsid w:val="78A51694"/>
    <w:rsid w:val="78E90E66"/>
    <w:rsid w:val="79297BCF"/>
    <w:rsid w:val="794C7D62"/>
    <w:rsid w:val="7A6515C6"/>
    <w:rsid w:val="7BDC717B"/>
    <w:rsid w:val="7C760619"/>
    <w:rsid w:val="7C8969CE"/>
    <w:rsid w:val="7CAA19CC"/>
    <w:rsid w:val="7CBB2EC6"/>
    <w:rsid w:val="7D781EE5"/>
    <w:rsid w:val="7DC4191F"/>
    <w:rsid w:val="7E631789"/>
    <w:rsid w:val="7EB268B9"/>
    <w:rsid w:val="7EFE2C41"/>
    <w:rsid w:val="7F6D2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name="annotation text"/>
    <w:lsdException w:qFormat="1" w:uiPriority="0" w:semiHidden="0" w:name="header"/>
    <w:lsdException w:qFormat="1" w:uiPriority="0" w:semiHidden="0" w:name="footer"/>
    <w:lsdException w:qFormat="1" w:unhideWhenUsed="0" w:uiPriority="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2"/>
    <w:qFormat/>
    <w:uiPriority w:val="9"/>
    <w:pPr>
      <w:keepNext/>
      <w:keepLines/>
      <w:spacing w:after="50" w:afterLines="50" w:line="520" w:lineRule="exact"/>
      <w:jc w:val="center"/>
      <w:outlineLvl w:val="0"/>
    </w:pPr>
    <w:rPr>
      <w:rFonts w:eastAsia="仿宋"/>
      <w:b/>
      <w:bCs/>
      <w:kern w:val="44"/>
      <w:sz w:val="32"/>
      <w:szCs w:val="44"/>
    </w:rPr>
  </w:style>
  <w:style w:type="paragraph" w:styleId="3">
    <w:name w:val="heading 2"/>
    <w:basedOn w:val="1"/>
    <w:next w:val="1"/>
    <w:link w:val="43"/>
    <w:qFormat/>
    <w:uiPriority w:val="9"/>
    <w:pPr>
      <w:keepNext/>
      <w:keepLines/>
      <w:spacing w:after="50" w:afterLines="50" w:line="500" w:lineRule="exact"/>
      <w:ind w:firstLine="200" w:firstLineChars="200"/>
      <w:outlineLvl w:val="1"/>
    </w:pPr>
    <w:rPr>
      <w:rFonts w:ascii="Arial" w:hAnsi="Arial" w:eastAsia="仿宋_GB2312"/>
      <w:b/>
      <w:bCs/>
      <w:sz w:val="30"/>
      <w:szCs w:val="32"/>
    </w:rPr>
  </w:style>
  <w:style w:type="paragraph" w:styleId="4">
    <w:name w:val="heading 3"/>
    <w:basedOn w:val="1"/>
    <w:next w:val="1"/>
    <w:link w:val="44"/>
    <w:qFormat/>
    <w:uiPriority w:val="9"/>
    <w:pPr>
      <w:keepNext/>
      <w:keepLines/>
      <w:spacing w:after="50" w:afterLines="50" w:line="500" w:lineRule="exact"/>
      <w:ind w:firstLine="200" w:firstLineChars="200"/>
      <w:outlineLvl w:val="2"/>
    </w:pPr>
    <w:rPr>
      <w:rFonts w:eastAsia="仿宋"/>
      <w:b/>
      <w:bCs/>
      <w:sz w:val="28"/>
      <w:szCs w:val="32"/>
    </w:rPr>
  </w:style>
  <w:style w:type="paragraph" w:styleId="5">
    <w:name w:val="heading 4"/>
    <w:basedOn w:val="1"/>
    <w:next w:val="1"/>
    <w:unhideWhenUsed/>
    <w:qFormat/>
    <w:uiPriority w:val="0"/>
    <w:pPr>
      <w:keepNext/>
      <w:keepLines/>
      <w:spacing w:beforeLines="0" w:beforeAutospacing="0" w:afterLines="0" w:afterAutospacing="0" w:line="500" w:lineRule="exact"/>
      <w:outlineLvl w:val="3"/>
    </w:pPr>
    <w:rPr>
      <w:rFonts w:ascii="Arial" w:hAnsi="Arial"/>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260"/>
      <w:jc w:val="left"/>
    </w:pPr>
    <w:rPr>
      <w:sz w:val="18"/>
      <w:szCs w:val="18"/>
    </w:rPr>
  </w:style>
  <w:style w:type="paragraph" w:styleId="7">
    <w:name w:val="Normal Indent"/>
    <w:basedOn w:val="1"/>
    <w:qFormat/>
    <w:uiPriority w:val="0"/>
    <w:pPr>
      <w:ind w:firstLine="420" w:firstLineChars="200"/>
    </w:pPr>
  </w:style>
  <w:style w:type="paragraph" w:styleId="8">
    <w:name w:val="Document Map"/>
    <w:basedOn w:val="1"/>
    <w:link w:val="45"/>
    <w:qFormat/>
    <w:uiPriority w:val="0"/>
    <w:pPr>
      <w:shd w:val="clear" w:color="auto" w:fill="000080"/>
    </w:pPr>
  </w:style>
  <w:style w:type="paragraph" w:styleId="9">
    <w:name w:val="annotation text"/>
    <w:basedOn w:val="1"/>
    <w:link w:val="46"/>
    <w:semiHidden/>
    <w:qFormat/>
    <w:uiPriority w:val="0"/>
    <w:pPr>
      <w:jc w:val="left"/>
    </w:pPr>
  </w:style>
  <w:style w:type="paragraph" w:styleId="10">
    <w:name w:val="Body Text"/>
    <w:basedOn w:val="1"/>
    <w:next w:val="1"/>
    <w:link w:val="47"/>
    <w:qFormat/>
    <w:uiPriority w:val="0"/>
    <w:pPr>
      <w:spacing w:after="120"/>
    </w:pPr>
  </w:style>
  <w:style w:type="paragraph" w:styleId="11">
    <w:name w:val="Body Text Indent"/>
    <w:basedOn w:val="1"/>
    <w:next w:val="5"/>
    <w:link w:val="48"/>
    <w:qFormat/>
    <w:uiPriority w:val="0"/>
    <w:pPr>
      <w:spacing w:after="120"/>
      <w:ind w:left="420" w:leftChars="200"/>
    </w:pPr>
  </w:style>
  <w:style w:type="paragraph" w:styleId="12">
    <w:name w:val="toc 5"/>
    <w:basedOn w:val="1"/>
    <w:next w:val="1"/>
    <w:qFormat/>
    <w:uiPriority w:val="0"/>
    <w:pPr>
      <w:ind w:left="840"/>
      <w:jc w:val="left"/>
    </w:pPr>
    <w:rPr>
      <w:sz w:val="18"/>
      <w:szCs w:val="18"/>
    </w:rPr>
  </w:style>
  <w:style w:type="paragraph" w:styleId="13">
    <w:name w:val="toc 3"/>
    <w:basedOn w:val="1"/>
    <w:next w:val="1"/>
    <w:qFormat/>
    <w:uiPriority w:val="0"/>
    <w:pPr>
      <w:ind w:left="420"/>
      <w:jc w:val="left"/>
    </w:pPr>
    <w:rPr>
      <w:i/>
      <w:iCs/>
      <w:sz w:val="20"/>
      <w:szCs w:val="20"/>
    </w:rPr>
  </w:style>
  <w:style w:type="paragraph" w:styleId="14">
    <w:name w:val="Plain Text"/>
    <w:basedOn w:val="1"/>
    <w:link w:val="49"/>
    <w:qFormat/>
    <w:uiPriority w:val="0"/>
    <w:rPr>
      <w:rFonts w:ascii="宋体" w:hAnsi="Courier New"/>
      <w:szCs w:val="20"/>
    </w:rPr>
  </w:style>
  <w:style w:type="paragraph" w:styleId="15">
    <w:name w:val="toc 8"/>
    <w:basedOn w:val="1"/>
    <w:next w:val="1"/>
    <w:qFormat/>
    <w:uiPriority w:val="0"/>
    <w:pPr>
      <w:ind w:left="1470"/>
      <w:jc w:val="left"/>
    </w:pPr>
    <w:rPr>
      <w:sz w:val="18"/>
      <w:szCs w:val="18"/>
    </w:rPr>
  </w:style>
  <w:style w:type="paragraph" w:styleId="16">
    <w:name w:val="Body Text Indent 2"/>
    <w:basedOn w:val="1"/>
    <w:link w:val="50"/>
    <w:qFormat/>
    <w:uiPriority w:val="0"/>
    <w:pPr>
      <w:spacing w:after="120" w:line="480" w:lineRule="auto"/>
      <w:ind w:left="420" w:leftChars="200"/>
    </w:pPr>
  </w:style>
  <w:style w:type="paragraph" w:styleId="17">
    <w:name w:val="Balloon Text"/>
    <w:basedOn w:val="1"/>
    <w:link w:val="51"/>
    <w:qFormat/>
    <w:uiPriority w:val="0"/>
    <w:rPr>
      <w:sz w:val="18"/>
      <w:szCs w:val="18"/>
    </w:rPr>
  </w:style>
  <w:style w:type="paragraph" w:styleId="18">
    <w:name w:val="footer"/>
    <w:basedOn w:val="1"/>
    <w:link w:val="41"/>
    <w:unhideWhenUsed/>
    <w:qFormat/>
    <w:uiPriority w:val="0"/>
    <w:pPr>
      <w:tabs>
        <w:tab w:val="center" w:pos="4153"/>
        <w:tab w:val="right" w:pos="8306"/>
      </w:tabs>
      <w:snapToGrid w:val="0"/>
      <w:jc w:val="left"/>
    </w:pPr>
    <w:rPr>
      <w:sz w:val="18"/>
      <w:szCs w:val="18"/>
    </w:rPr>
  </w:style>
  <w:style w:type="paragraph" w:styleId="19">
    <w:name w:val="header"/>
    <w:basedOn w:val="1"/>
    <w:link w:val="40"/>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9060"/>
      </w:tabs>
      <w:spacing w:line="500" w:lineRule="exact"/>
      <w:jc w:val="left"/>
    </w:pPr>
    <w:rPr>
      <w:rFonts w:eastAsia="仿宋_GB2312"/>
      <w:b/>
      <w:bCs/>
      <w:caps/>
      <w:sz w:val="28"/>
      <w:szCs w:val="28"/>
    </w:rPr>
  </w:style>
  <w:style w:type="paragraph" w:styleId="21">
    <w:name w:val="toc 4"/>
    <w:basedOn w:val="1"/>
    <w:next w:val="1"/>
    <w:qFormat/>
    <w:uiPriority w:val="0"/>
    <w:pPr>
      <w:ind w:left="630"/>
      <w:jc w:val="left"/>
    </w:pPr>
    <w:rPr>
      <w:sz w:val="18"/>
      <w:szCs w:val="18"/>
    </w:rPr>
  </w:style>
  <w:style w:type="paragraph" w:styleId="22">
    <w:name w:val="index heading"/>
    <w:basedOn w:val="1"/>
    <w:next w:val="23"/>
    <w:semiHidden/>
    <w:qFormat/>
    <w:uiPriority w:val="0"/>
  </w:style>
  <w:style w:type="paragraph" w:styleId="23">
    <w:name w:val="index 1"/>
    <w:basedOn w:val="1"/>
    <w:next w:val="1"/>
    <w:autoRedefine/>
    <w:semiHidden/>
    <w:unhideWhenUsed/>
    <w:qFormat/>
    <w:uiPriority w:val="0"/>
  </w:style>
  <w:style w:type="paragraph" w:styleId="24">
    <w:name w:val="toc 6"/>
    <w:basedOn w:val="1"/>
    <w:next w:val="1"/>
    <w:qFormat/>
    <w:uiPriority w:val="0"/>
    <w:pPr>
      <w:ind w:left="1050"/>
      <w:jc w:val="left"/>
    </w:pPr>
    <w:rPr>
      <w:sz w:val="18"/>
      <w:szCs w:val="18"/>
    </w:rPr>
  </w:style>
  <w:style w:type="paragraph" w:styleId="25">
    <w:name w:val="Body Text Indent 3"/>
    <w:basedOn w:val="1"/>
    <w:link w:val="53"/>
    <w:qFormat/>
    <w:uiPriority w:val="0"/>
    <w:pPr>
      <w:spacing w:after="120"/>
      <w:ind w:left="420" w:leftChars="200"/>
    </w:pPr>
    <w:rPr>
      <w:sz w:val="16"/>
      <w:szCs w:val="16"/>
    </w:rPr>
  </w:style>
  <w:style w:type="paragraph" w:styleId="26">
    <w:name w:val="toc 2"/>
    <w:basedOn w:val="1"/>
    <w:next w:val="1"/>
    <w:qFormat/>
    <w:uiPriority w:val="39"/>
    <w:pPr>
      <w:ind w:left="210"/>
      <w:jc w:val="left"/>
    </w:pPr>
    <w:rPr>
      <w:smallCaps/>
      <w:sz w:val="20"/>
      <w:szCs w:val="20"/>
    </w:rPr>
  </w:style>
  <w:style w:type="paragraph" w:styleId="27">
    <w:name w:val="toc 9"/>
    <w:basedOn w:val="1"/>
    <w:next w:val="1"/>
    <w:qFormat/>
    <w:uiPriority w:val="0"/>
    <w:pPr>
      <w:ind w:left="1680"/>
      <w:jc w:val="left"/>
    </w:pPr>
    <w:rPr>
      <w:sz w:val="18"/>
      <w:szCs w:val="18"/>
    </w:rPr>
  </w:style>
  <w:style w:type="paragraph" w:styleId="28">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29">
    <w:name w:val="annotation subject"/>
    <w:basedOn w:val="9"/>
    <w:next w:val="9"/>
    <w:link w:val="54"/>
    <w:semiHidden/>
    <w:qFormat/>
    <w:uiPriority w:val="0"/>
    <w:rPr>
      <w:b/>
      <w:bCs/>
    </w:rPr>
  </w:style>
  <w:style w:type="paragraph" w:styleId="30">
    <w:name w:val="Body Text First Indent"/>
    <w:basedOn w:val="10"/>
    <w:next w:val="31"/>
    <w:unhideWhenUsed/>
    <w:qFormat/>
    <w:uiPriority w:val="99"/>
    <w:pPr>
      <w:ind w:firstLine="420" w:firstLineChars="100"/>
    </w:pPr>
  </w:style>
  <w:style w:type="paragraph" w:styleId="31">
    <w:name w:val="Body Text First Indent 2"/>
    <w:basedOn w:val="11"/>
    <w:next w:val="30"/>
    <w:unhideWhenUsed/>
    <w:qFormat/>
    <w:uiPriority w:val="99"/>
    <w:pPr>
      <w:ind w:firstLine="420" w:firstLineChars="200"/>
    </w:pPr>
  </w:style>
  <w:style w:type="table" w:styleId="33">
    <w:name w:val="Table Grid"/>
    <w:basedOn w:val="3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qFormat/>
    <w:uiPriority w:val="0"/>
    <w:rPr>
      <w:b/>
    </w:rPr>
  </w:style>
  <w:style w:type="character" w:styleId="36">
    <w:name w:val="page number"/>
    <w:qFormat/>
    <w:uiPriority w:val="0"/>
  </w:style>
  <w:style w:type="character" w:styleId="37">
    <w:name w:val="FollowedHyperlink"/>
    <w:unhideWhenUsed/>
    <w:qFormat/>
    <w:uiPriority w:val="99"/>
    <w:rPr>
      <w:color w:val="800080"/>
      <w:u w:val="single"/>
    </w:rPr>
  </w:style>
  <w:style w:type="character" w:styleId="38">
    <w:name w:val="Hyperlink"/>
    <w:qFormat/>
    <w:uiPriority w:val="99"/>
    <w:rPr>
      <w:color w:val="0000FF"/>
      <w:u w:val="single"/>
    </w:rPr>
  </w:style>
  <w:style w:type="character" w:styleId="39">
    <w:name w:val="annotation reference"/>
    <w:semiHidden/>
    <w:qFormat/>
    <w:uiPriority w:val="0"/>
    <w:rPr>
      <w:sz w:val="21"/>
      <w:szCs w:val="21"/>
    </w:rPr>
  </w:style>
  <w:style w:type="character" w:customStyle="1" w:styleId="40">
    <w:name w:val="页眉 Char"/>
    <w:basedOn w:val="34"/>
    <w:link w:val="19"/>
    <w:qFormat/>
    <w:uiPriority w:val="99"/>
    <w:rPr>
      <w:sz w:val="18"/>
      <w:szCs w:val="18"/>
    </w:rPr>
  </w:style>
  <w:style w:type="character" w:customStyle="1" w:styleId="41">
    <w:name w:val="页脚 Char"/>
    <w:basedOn w:val="34"/>
    <w:link w:val="18"/>
    <w:qFormat/>
    <w:uiPriority w:val="0"/>
    <w:rPr>
      <w:sz w:val="18"/>
      <w:szCs w:val="18"/>
    </w:rPr>
  </w:style>
  <w:style w:type="character" w:customStyle="1" w:styleId="42">
    <w:name w:val="标题 1 Char"/>
    <w:basedOn w:val="34"/>
    <w:link w:val="2"/>
    <w:qFormat/>
    <w:uiPriority w:val="9"/>
    <w:rPr>
      <w:rFonts w:ascii="Times New Roman" w:hAnsi="Times New Roman" w:eastAsia="仿宋" w:cs="Times New Roman"/>
      <w:b/>
      <w:bCs/>
      <w:kern w:val="44"/>
      <w:sz w:val="32"/>
      <w:szCs w:val="44"/>
    </w:rPr>
  </w:style>
  <w:style w:type="character" w:customStyle="1" w:styleId="43">
    <w:name w:val="标题 2 Char"/>
    <w:basedOn w:val="34"/>
    <w:link w:val="3"/>
    <w:qFormat/>
    <w:uiPriority w:val="9"/>
    <w:rPr>
      <w:rFonts w:ascii="Arial" w:hAnsi="Arial" w:eastAsia="仿宋_GB2312" w:cs="Times New Roman"/>
      <w:b/>
      <w:bCs/>
      <w:sz w:val="30"/>
      <w:szCs w:val="32"/>
    </w:rPr>
  </w:style>
  <w:style w:type="character" w:customStyle="1" w:styleId="44">
    <w:name w:val="标题 3 Char"/>
    <w:basedOn w:val="34"/>
    <w:link w:val="4"/>
    <w:qFormat/>
    <w:uiPriority w:val="9"/>
    <w:rPr>
      <w:rFonts w:ascii="Times New Roman" w:hAnsi="Times New Roman" w:eastAsia="仿宋" w:cs="Times New Roman"/>
      <w:b/>
      <w:bCs/>
      <w:sz w:val="28"/>
      <w:szCs w:val="32"/>
    </w:rPr>
  </w:style>
  <w:style w:type="character" w:customStyle="1" w:styleId="45">
    <w:name w:val="文档结构图 Char"/>
    <w:basedOn w:val="34"/>
    <w:link w:val="8"/>
    <w:qFormat/>
    <w:uiPriority w:val="0"/>
    <w:rPr>
      <w:rFonts w:ascii="Times New Roman" w:hAnsi="Times New Roman" w:eastAsia="宋体" w:cs="Times New Roman"/>
      <w:szCs w:val="24"/>
      <w:shd w:val="clear" w:color="auto" w:fill="000080"/>
    </w:rPr>
  </w:style>
  <w:style w:type="character" w:customStyle="1" w:styleId="46">
    <w:name w:val="批注文字 Char"/>
    <w:basedOn w:val="34"/>
    <w:link w:val="9"/>
    <w:semiHidden/>
    <w:qFormat/>
    <w:uiPriority w:val="0"/>
    <w:rPr>
      <w:rFonts w:ascii="Times New Roman" w:hAnsi="Times New Roman" w:eastAsia="宋体" w:cs="Times New Roman"/>
      <w:szCs w:val="24"/>
    </w:rPr>
  </w:style>
  <w:style w:type="character" w:customStyle="1" w:styleId="47">
    <w:name w:val="正文文本 Char"/>
    <w:basedOn w:val="34"/>
    <w:link w:val="10"/>
    <w:qFormat/>
    <w:uiPriority w:val="0"/>
    <w:rPr>
      <w:rFonts w:ascii="Times New Roman" w:hAnsi="Times New Roman" w:eastAsia="宋体" w:cs="Times New Roman"/>
      <w:szCs w:val="24"/>
    </w:rPr>
  </w:style>
  <w:style w:type="character" w:customStyle="1" w:styleId="48">
    <w:name w:val="正文文本缩进 Char"/>
    <w:basedOn w:val="34"/>
    <w:link w:val="11"/>
    <w:qFormat/>
    <w:uiPriority w:val="0"/>
    <w:rPr>
      <w:rFonts w:ascii="Times New Roman" w:hAnsi="Times New Roman" w:eastAsia="宋体" w:cs="Times New Roman"/>
      <w:szCs w:val="24"/>
    </w:rPr>
  </w:style>
  <w:style w:type="character" w:customStyle="1" w:styleId="49">
    <w:name w:val="纯文本 Char"/>
    <w:basedOn w:val="34"/>
    <w:link w:val="14"/>
    <w:qFormat/>
    <w:uiPriority w:val="0"/>
    <w:rPr>
      <w:rFonts w:ascii="宋体" w:hAnsi="Courier New" w:eastAsia="宋体" w:cs="Times New Roman"/>
      <w:szCs w:val="20"/>
    </w:rPr>
  </w:style>
  <w:style w:type="character" w:customStyle="1" w:styleId="50">
    <w:name w:val="正文文本缩进 2 Char"/>
    <w:basedOn w:val="34"/>
    <w:link w:val="16"/>
    <w:qFormat/>
    <w:uiPriority w:val="0"/>
    <w:rPr>
      <w:rFonts w:ascii="Times New Roman" w:hAnsi="Times New Roman" w:eastAsia="宋体" w:cs="Times New Roman"/>
      <w:szCs w:val="24"/>
    </w:rPr>
  </w:style>
  <w:style w:type="character" w:customStyle="1" w:styleId="51">
    <w:name w:val="批注框文本 Char"/>
    <w:basedOn w:val="34"/>
    <w:link w:val="17"/>
    <w:qFormat/>
    <w:uiPriority w:val="0"/>
    <w:rPr>
      <w:rFonts w:ascii="Times New Roman" w:hAnsi="Times New Roman" w:eastAsia="宋体" w:cs="Times New Roman"/>
      <w:sz w:val="18"/>
      <w:szCs w:val="18"/>
    </w:rPr>
  </w:style>
  <w:style w:type="character" w:customStyle="1" w:styleId="52">
    <w:name w:val="页脚 Char1"/>
    <w:qFormat/>
    <w:uiPriority w:val="0"/>
    <w:rPr>
      <w:kern w:val="2"/>
      <w:sz w:val="18"/>
      <w:szCs w:val="18"/>
    </w:rPr>
  </w:style>
  <w:style w:type="character" w:customStyle="1" w:styleId="53">
    <w:name w:val="正文文本缩进 3 Char"/>
    <w:basedOn w:val="34"/>
    <w:link w:val="25"/>
    <w:qFormat/>
    <w:uiPriority w:val="0"/>
    <w:rPr>
      <w:rFonts w:ascii="Times New Roman" w:hAnsi="Times New Roman" w:eastAsia="宋体" w:cs="Times New Roman"/>
      <w:sz w:val="16"/>
      <w:szCs w:val="16"/>
    </w:rPr>
  </w:style>
  <w:style w:type="character" w:customStyle="1" w:styleId="54">
    <w:name w:val="批注主题 Char"/>
    <w:basedOn w:val="46"/>
    <w:link w:val="29"/>
    <w:semiHidden/>
    <w:qFormat/>
    <w:uiPriority w:val="0"/>
    <w:rPr>
      <w:rFonts w:ascii="Times New Roman" w:hAnsi="Times New Roman" w:eastAsia="宋体" w:cs="Times New Roman"/>
      <w:b/>
      <w:bCs/>
      <w:szCs w:val="24"/>
    </w:rPr>
  </w:style>
  <w:style w:type="character" w:customStyle="1" w:styleId="55">
    <w:name w:val="article_f141"/>
    <w:qFormat/>
    <w:uiPriority w:val="0"/>
    <w:rPr>
      <w:color w:val="000000"/>
      <w:sz w:val="21"/>
    </w:rPr>
  </w:style>
  <w:style w:type="character" w:customStyle="1" w:styleId="56">
    <w:name w:val="11p1"/>
    <w:qFormat/>
    <w:uiPriority w:val="0"/>
    <w:rPr>
      <w:sz w:val="23"/>
      <w:szCs w:val="23"/>
    </w:rPr>
  </w:style>
  <w:style w:type="character" w:customStyle="1" w:styleId="57">
    <w:name w:val="style242"/>
    <w:qFormat/>
    <w:uiPriority w:val="0"/>
    <w:rPr>
      <w:rFonts w:hint="default" w:ascii="Arial" w:hAnsi="Arial" w:cs="Arial"/>
      <w:b/>
      <w:bCs/>
      <w:color w:val="FFFFFF"/>
      <w:sz w:val="20"/>
      <w:szCs w:val="20"/>
      <w:u w:val="none"/>
    </w:rPr>
  </w:style>
  <w:style w:type="character" w:customStyle="1" w:styleId="58">
    <w:name w:val="a121"/>
    <w:qFormat/>
    <w:uiPriority w:val="0"/>
    <w:rPr>
      <w:sz w:val="24"/>
      <w:szCs w:val="24"/>
    </w:rPr>
  </w:style>
  <w:style w:type="character" w:customStyle="1" w:styleId="59">
    <w:name w:val="main1"/>
    <w:qFormat/>
    <w:uiPriority w:val="0"/>
    <w:rPr>
      <w:sz w:val="18"/>
      <w:szCs w:val="18"/>
    </w:rPr>
  </w:style>
  <w:style w:type="character" w:customStyle="1" w:styleId="60">
    <w:name w:val="big1"/>
    <w:qFormat/>
    <w:uiPriority w:val="0"/>
    <w:rPr>
      <w:sz w:val="21"/>
      <w:szCs w:val="21"/>
    </w:rPr>
  </w:style>
  <w:style w:type="paragraph" w:customStyle="1" w:styleId="61">
    <w:name w:val="p0"/>
    <w:basedOn w:val="1"/>
    <w:qFormat/>
    <w:uiPriority w:val="0"/>
    <w:pPr>
      <w:widowControl/>
      <w:spacing w:line="365" w:lineRule="atLeast"/>
      <w:ind w:left="1"/>
      <w:textAlignment w:val="bottom"/>
    </w:pPr>
    <w:rPr>
      <w:rFonts w:hint="eastAsia"/>
      <w:kern w:val="0"/>
      <w:sz w:val="20"/>
      <w:szCs w:val="20"/>
    </w:rPr>
  </w:style>
  <w:style w:type="paragraph" w:customStyle="1" w:styleId="62">
    <w:name w:val="Char Char Char Char Char Char Char Char Char Char"/>
    <w:basedOn w:val="1"/>
    <w:qFormat/>
    <w:uiPriority w:val="0"/>
    <w:pPr>
      <w:widowControl/>
      <w:jc w:val="left"/>
    </w:pPr>
    <w:rPr>
      <w:rFonts w:ascii="宋体" w:hAnsi="宋体" w:cs="宋体"/>
      <w:kern w:val="0"/>
      <w:sz w:val="24"/>
    </w:rPr>
  </w:style>
  <w:style w:type="paragraph" w:customStyle="1" w:styleId="63">
    <w:name w:val="Char Char Char Char"/>
    <w:basedOn w:val="1"/>
    <w:qFormat/>
    <w:uiPriority w:val="0"/>
  </w:style>
  <w:style w:type="paragraph" w:customStyle="1" w:styleId="64">
    <w:name w:val="0"/>
    <w:basedOn w:val="1"/>
    <w:qFormat/>
    <w:uiPriority w:val="0"/>
    <w:pPr>
      <w:widowControl/>
      <w:snapToGrid w:val="0"/>
      <w:spacing w:line="365" w:lineRule="atLeast"/>
      <w:ind w:left="1"/>
      <w:textAlignment w:val="bottom"/>
    </w:pPr>
    <w:rPr>
      <w:kern w:val="0"/>
      <w:sz w:val="20"/>
      <w:szCs w:val="20"/>
    </w:rPr>
  </w:style>
  <w:style w:type="paragraph" w:customStyle="1" w:styleId="65">
    <w:name w:val="Char Char Char Char Char Char Char Char Char Char Char Char Char Char Char Char"/>
    <w:basedOn w:val="1"/>
    <w:qFormat/>
    <w:uiPriority w:val="0"/>
    <w:pPr>
      <w:tabs>
        <w:tab w:val="left" w:pos="360"/>
      </w:tabs>
    </w:pPr>
    <w:rPr>
      <w:sz w:val="24"/>
    </w:rPr>
  </w:style>
  <w:style w:type="paragraph" w:customStyle="1" w:styleId="66">
    <w:name w:val="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67">
    <w:name w:val="Char Char Char Char1 Char Char Char"/>
    <w:basedOn w:val="1"/>
    <w:qFormat/>
    <w:uiPriority w:val="0"/>
  </w:style>
  <w:style w:type="paragraph" w:customStyle="1" w:styleId="68">
    <w:name w:val="1 Char Char Char Char"/>
    <w:basedOn w:val="1"/>
    <w:qFormat/>
    <w:uiPriority w:val="0"/>
    <w:rPr>
      <w:szCs w:val="20"/>
    </w:rPr>
  </w:style>
  <w:style w:type="paragraph" w:customStyle="1" w:styleId="69">
    <w:name w:val="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0">
    <w:name w:val="Char"/>
    <w:basedOn w:val="1"/>
    <w:qFormat/>
    <w:uiPriority w:val="0"/>
    <w:pPr>
      <w:tabs>
        <w:tab w:val="left" w:pos="360"/>
      </w:tabs>
    </w:pPr>
    <w:rPr>
      <w:sz w:val="24"/>
    </w:rPr>
  </w:style>
  <w:style w:type="paragraph" w:customStyle="1" w:styleId="71">
    <w:name w:val="Char 正文"/>
    <w:basedOn w:val="2"/>
    <w:qFormat/>
    <w:uiPriority w:val="0"/>
    <w:pPr>
      <w:snapToGrid w:val="0"/>
      <w:spacing w:before="240" w:after="240" w:line="348" w:lineRule="auto"/>
    </w:pPr>
  </w:style>
  <w:style w:type="paragraph" w:customStyle="1" w:styleId="72">
    <w:name w:val="样式3"/>
    <w:basedOn w:val="7"/>
    <w:qFormat/>
    <w:uiPriority w:val="0"/>
    <w:pPr>
      <w:ind w:firstLine="510" w:firstLineChars="0"/>
    </w:pPr>
    <w:rPr>
      <w:color w:val="000000"/>
      <w:sz w:val="28"/>
      <w:szCs w:val="28"/>
    </w:rPr>
  </w:style>
  <w:style w:type="character" w:customStyle="1" w:styleId="73">
    <w:name w:val="Char Char2"/>
    <w:qFormat/>
    <w:uiPriority w:val="0"/>
    <w:rPr>
      <w:rFonts w:ascii="宋体" w:hAnsi="Courier New" w:eastAsia="宋体"/>
      <w:kern w:val="2"/>
      <w:sz w:val="21"/>
      <w:lang w:val="en-US" w:eastAsia="zh-CN" w:bidi="ar-SA"/>
    </w:rPr>
  </w:style>
  <w:style w:type="paragraph" w:customStyle="1" w:styleId="74">
    <w:name w:val="Char Char Char Char Char Char Char1"/>
    <w:basedOn w:val="1"/>
    <w:qFormat/>
    <w:uiPriority w:val="0"/>
    <w:pPr>
      <w:widowControl/>
      <w:spacing w:after="160" w:line="240" w:lineRule="exact"/>
      <w:jc w:val="left"/>
    </w:pPr>
    <w:rPr>
      <w:rFonts w:ascii="Arial" w:hAnsi="Arial" w:eastAsia="Times New Roman" w:cs="Verdana"/>
      <w:b/>
      <w:kern w:val="0"/>
      <w:sz w:val="24"/>
      <w:lang w:eastAsia="en-US"/>
    </w:rPr>
  </w:style>
  <w:style w:type="character" w:customStyle="1" w:styleId="75">
    <w:name w:val="font21"/>
    <w:qFormat/>
    <w:uiPriority w:val="0"/>
    <w:rPr>
      <w:rFonts w:hint="default" w:ascii="仿宋_GB2312" w:eastAsia="仿宋_GB2312" w:cs="仿宋_GB2312"/>
      <w:color w:val="000000"/>
      <w:sz w:val="18"/>
      <w:szCs w:val="18"/>
      <w:u w:val="none"/>
    </w:rPr>
  </w:style>
  <w:style w:type="character" w:customStyle="1" w:styleId="76">
    <w:name w:val="font31"/>
    <w:qFormat/>
    <w:uiPriority w:val="0"/>
    <w:rPr>
      <w:rFonts w:hint="eastAsia" w:ascii="宋体" w:hAnsi="宋体" w:eastAsia="宋体" w:cs="宋体"/>
      <w:color w:val="000000"/>
      <w:sz w:val="18"/>
      <w:szCs w:val="18"/>
      <w:u w:val="none"/>
    </w:rPr>
  </w:style>
  <w:style w:type="character" w:customStyle="1" w:styleId="77">
    <w:name w:val="font11"/>
    <w:qFormat/>
    <w:uiPriority w:val="0"/>
    <w:rPr>
      <w:rFonts w:hint="default" w:ascii="Times New Roman" w:hAnsi="Times New Roman" w:cs="Times New Roman"/>
      <w:color w:val="000000"/>
      <w:sz w:val="18"/>
      <w:szCs w:val="18"/>
      <w:u w:val="none"/>
    </w:rPr>
  </w:style>
  <w:style w:type="character" w:customStyle="1" w:styleId="78">
    <w:name w:val="font41"/>
    <w:qFormat/>
    <w:uiPriority w:val="0"/>
    <w:rPr>
      <w:rFonts w:hint="default" w:ascii="Times New Roman" w:hAnsi="Times New Roman" w:cs="Times New Roman"/>
      <w:color w:val="7030A0"/>
      <w:sz w:val="21"/>
      <w:szCs w:val="21"/>
      <w:u w:val="none"/>
    </w:rPr>
  </w:style>
  <w:style w:type="character" w:customStyle="1" w:styleId="79">
    <w:name w:val="font61"/>
    <w:qFormat/>
    <w:uiPriority w:val="0"/>
    <w:rPr>
      <w:rFonts w:hint="eastAsia" w:ascii="宋体" w:hAnsi="宋体" w:eastAsia="宋体" w:cs="宋体"/>
      <w:color w:val="7030A0"/>
      <w:sz w:val="21"/>
      <w:szCs w:val="21"/>
      <w:u w:val="none"/>
    </w:rPr>
  </w:style>
  <w:style w:type="paragraph" w:customStyle="1" w:styleId="80">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81">
    <w:name w:val="Default"/>
    <w:qFormat/>
    <w:uiPriority w:val="0"/>
    <w:pPr>
      <w:widowControl w:val="0"/>
      <w:autoSpaceDE w:val="0"/>
      <w:autoSpaceDN w:val="0"/>
      <w:adjustRightInd w:val="0"/>
    </w:pPr>
    <w:rPr>
      <w:rFonts w:ascii="仿宋_GB2312" w:hAnsi="仿宋_GB2312" w:eastAsia="宋体" w:cs="仿宋_GB2312"/>
      <w:color w:val="000000"/>
      <w:kern w:val="0"/>
      <w:sz w:val="24"/>
      <w:szCs w:val="24"/>
      <w:lang w:val="en-US" w:eastAsia="zh-CN" w:bidi="ar-SA"/>
    </w:rPr>
  </w:style>
  <w:style w:type="paragraph" w:customStyle="1" w:styleId="82">
    <w:name w:val="图表"/>
    <w:basedOn w:val="1"/>
    <w:next w:val="1"/>
    <w:qFormat/>
    <w:uiPriority w:val="0"/>
    <w:pPr>
      <w:spacing w:line="240" w:lineRule="auto"/>
      <w:ind w:firstLine="0" w:firstLineChars="0"/>
      <w:jc w:val="center"/>
    </w:pPr>
    <w:rPr>
      <w:rFonts w:hint="eastAsia" w:ascii="宋体" w:hAnsi="宋体" w:eastAsia="宋体" w:cs="宋体"/>
      <w:color w:val="auto"/>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EB9B7-0944-4F05-92C9-6FA97E9A6A94}">
  <ds:schemaRefs/>
</ds:datastoreItem>
</file>

<file path=docProps/app.xml><?xml version="1.0" encoding="utf-8"?>
<Properties xmlns="http://schemas.openxmlformats.org/officeDocument/2006/extended-properties" xmlns:vt="http://schemas.openxmlformats.org/officeDocument/2006/docPropsVTypes">
  <Template>Normal.dotm</Template>
  <Pages>33</Pages>
  <Words>3499</Words>
  <Characters>4255</Characters>
  <Lines>180</Lines>
  <Paragraphs>50</Paragraphs>
  <TotalTime>6</TotalTime>
  <ScaleCrop>false</ScaleCrop>
  <LinksUpToDate>false</LinksUpToDate>
  <CharactersWithSpaces>4381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2022-01-06T06:46:00Z</dcterms:created>
  <dc:creator>chrr</dc:creator>
  <cp:lastModifiedBy>WPS_1715740278</cp:lastModifiedBy>
  <cp:lastPrinted>2022-09-25T09:40:00Z</cp:lastPrinted>
  <dcterms:modified xsi:type="dcterms:W3CDTF">2026-08-27T05:42:43Z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eyJoZGlkIjoiN2U4OTEwMWQzMWY0MWI2ZmJhZjJmY2EyNzAxZWMwODIiLCJ1c2VySWQiOiIxNjAyMzEzNjE2In0=</vt:lpwstr>
  </property>
  <property fmtid="{D5CDD505-2E9C-101B-9397-08002B2CF9AE}" pid="3" name="KSOProductBuildVer">
    <vt:lpwstr>2052-12.1.0.28043</vt:lpwstr>
  </property>
  <property fmtid="{D5CDD505-2E9C-101B-9397-08002B2CF9AE}" pid="4" name="ICV">
    <vt:lpwstr>7C72815316BE454284E51BDCC0FF138C_13</vt:lpwstr>
  </property>
</Properties>
</file>