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发展大厦办公楼物业费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发展和改革委员会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阿克陶发展和改革委员会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马丙寅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发展大厦物业费项目实施前期、过程及效果，评价财政预算资金使用的效率及效益。2017年8月，根据阿克陶县委、县人民政府要求，阿克陶县发改委、财政局、交通局、住建局、水利局、生态环境局办公地点统一搬迁至阿克陶县发展大厦。按照县领导要求及六个单位集中办公指示精神，租用发展大厦6-14层及25层，共10层占用面积14888.6平方米。物业管理事宜委托阿克陶县裕源物业管理有限公司提供物业管理服务，对于物业管理服务费用，由县财政承担。</w:t>
        <w:br/>
        <w:t>　　2.主要内容及实施情况</w:t>
        <w:br/>
        <w:t>（1）主要内容</w:t>
        <w:br/>
        <w:t>物业管理费专项经费主要包括物业区域综合管理、公共设备管理、清洁管理、安保管理、车辆管理、消防管理、社会秩序管理、室外硬化的养护、供水、电、气、暖等、装饰装修管理、电梯管理、维修、养护、处理投诉、纠纷等。</w:t>
        <w:br/>
        <w:t>　　（2）实施情况</w:t>
        <w:br/>
        <w:t>根据签订的物业合同，保障发展大厦办公楼正常办公，保障防火、消防设施维护和电梯正常运行，保障办公区域内环境卫生清洁及清运垃圾，从而进一步促进了发展大厦物业管理费质量的提高，提升了发展大厦工作人员办事效率和服务保障能力。</w:t>
        <w:br/>
        <w:t>3.项目实施主体</w:t>
        <w:br/>
        <w:t>该项目由阿克陶县发展和改革委员会实施，内设2个处室，分别是办公室和综合室。本部门中下属事业单位3家，分别是阿克陶县援疆服务保障中心、阿克陶县军粮供应站及阿克陶县国防动员办公室。</w:t>
        <w:br/>
        <w:t>主要职能</w:t>
        <w:br/>
        <w:t>(一)研究提出县国民经济、社会发展的战略目标、中长期计划和年度发展计划，研究提出本县一、二、三产业发展的规划和发展第三产业的政策和产业结构调整的对策、建议以及提高宏观经济效益的政策措施并监督实施，引导和促进产业结构的合理化和重大比例关系的协调；研究提出经济总量平衡、发展速度和结构调整的调控目标及政策；研究提出和组织实施重点专项规划，衔接、平衡各县及主要行业的规划。</w:t>
        <w:br/>
        <w:t>(二)研究提出本县区域经济、资源开发建设规划，做好本县社会总需求和总供给等重要经济总量的平衡和重大比例关系的协调，引导和调控市场，促进全县经济结构合理化和区域经济协调发展。负责编制和组织实施以工代赈计划。</w:t>
        <w:br/>
        <w:t>(三)综合运用财政、信贷、价格等经济手段，分析研究国内区内及我县经济形势；会同有关部门分析、协调处理我县在经济运行中出现的矛盾和问题，对全县国民经济和社会发展进行宏观调控；对全县宏观经济运行进行预测、监测、预警和信息发布，对重点问题进行研究，提出对策。指导管理重要产品的储备。</w:t>
        <w:br/>
        <w:t>(四)提出全社会固定资产投资总规模，规划重点项目的布局；负责汇总编制全县固定资产投资计划，负责建设项目的项目建议书、可行性研究报告和初步设计的审批、报批及开工报告。</w:t>
        <w:br/>
        <w:t>(五)安排本县财政性建设资金，指导和监督国外贷款建设资金的使用，负责利用外资项目的审查、报批和管理，做好引进外资，技术设备进口的管理工作。</w:t>
        <w:br/>
        <w:t>(六)提出全县基本建设项目的方针、政策及措施，指导协调全县招投标工作；负责全县重大建设项目的布局和前期工作的组织、协调与管理；研究确定本县重点建设项目，会同有关部门负责工程造价综合管理，审批、发布与投资建设宏观管理有关的定额规定标准。</w:t>
        <w:br/>
        <w:t>(七)负责全县价格宏观管理和综合平衡，研究提出价格政策，调控全县价格水平，组织实施国家和区、州的价格调整方案；制定和调整本县管理的重要商品价格与重要收费。</w:t>
        <w:br/>
        <w:t>(八)做好全县科学技术和教育、文化、卫生等社会事业以及国防建设与整个国民经济和社会发展的衔接平衡，与有关部门组织研究制定本县科技发展的中长期规划和年度规划，提出科技发展方向、措施，推进我县科技发展。</w:t>
        <w:br/>
        <w:t>(九)充分发挥发改工作综合、协调、超前的宏观指导、服务的作用，研究、改善和理顺与各部门的关系，增强发改委与各部门之间在工作结合部交叉点的配合，提高工作效率。</w:t>
        <w:br/>
        <w:t>（十）研究提出全县交通、电力、能源发展中的重大政策和措施；参与研究制定与交通、电力、能源能源有关的规划和计划；汇总编制全县的交通、电力、能源建设等的中长期规划、年度计划和扶贫攻坚计划，并监督、检查计划执行情况。</w:t>
        <w:br/>
        <w:t>(十一)研究分析国内外市场的供求状况，做好重要商品市场供求总量平衡及重要农产品进出口计划，负责全县重要农产品配额的管理和实施，搞好粮食、物资筹备工作的宏观调控，安排本县粮食及重要商品的储备计划，引导和调控市场。</w:t>
        <w:br/>
        <w:t>(十二)负责拟订阿克陶县战略物资储备的战略和规划，组织阿克陶县战略物资的收储、动用、轮换和日常管理，会同有关部门管理国家粮食、棉花和食糖等储备。按照国家、自治区军粮供应政策，承担全县军粮供应的相关管理工作。</w:t>
        <w:br/>
        <w:t>(十三)承办县党委、人民政府和上级业务主管部门交办的其他各项工作。</w:t>
        <w:br/>
        <w:t>(十四)职能转变。</w:t>
        <w:br/>
        <w:t>贯彻新发展理念，把主要精力转到管宏观、谋全局、抓大事上来，加强跨部门、跨行业、跨领域的重大战略规划、重大改革、重大工程的综合协调，统筹全面创新改革，提高经济发展质量和效益。进一步减少微观管理事务和具体审批事项，最大限度减少政府对市场资源的直接配置，最大限度减少政府对市场活动的直接干预，提高资源配置效率和公平性，激发各类市场主体活力。</w:t>
        <w:br/>
        <w:t>1.强化制定发展战略、统一规划体系的职能，完善规划制度，做好规划统筹，精简规划数量，提高规划质量，更好发挥发展战略、规划的导向作用。</w:t>
        <w:br/>
        <w:t>2.完善宏观调控体系，创新调控方式，构建发展规划、财政、金融等政策协调和工作协同机制，强化经济监测预测预警能力，建立健全重大问题研究和政策储备工作机制，增强宏观调控的前瞻性、针对性、协同性。</w:t>
        <w:br/>
        <w:t>3.深入推进简政放权，全面实施市场准入负面清单制度。深化投融资体制改革，最大限度减少项目审批、核准范围。深化价格改革，及时修订调减政府定价目录，健全反映市场供求的定价机制。加快推进政府监管和公共信用信息共享。</w:t>
        <w:br/>
        <w:t>(十五)有关职责分工。</w:t>
        <w:br/>
        <w:t>1.与商经局有关职责分工。（1）全县外商投资安全审查委员会办公室设在阿克陶县发展和改革委员会，由阿克陶县发展和改革委员、商经局牵头，承担全县外商投资安全审查委员会的日常工作；（2）阿克陶县发展和改革委员会会同商经局等部门，贯穿执行外商投资和自贸试验区外商投资准入负面清单、外商投资产业指导目录、中西部地区外商投资产业目录；（3）落实粮食、棉花等进出口计划，商经局在确定的计划内组织实施；阿克陶县发展和改革委员会会同商经局等部门认真执行国家重要商品进出口政策、规定和自治区、自治州下发的进出口计划。</w:t>
        <w:br/>
        <w:t>2.与阿克陶县卫生健康委员会有关职责分工。阿克陶县发展和改革委员会负责组织监测和评估人口变动情况及趋势影响，建立人口预测预报制度，开展重大决策人口影响评估，完善重大人口政策咨询机制：研究提出阿克陶县人口发展战略，拟订人口发展规划和人口政策，研究提出人口与经济、社会、资源、环境协调可持续发展，以及统筹促进人口长期均衡发展的政策建议。阿克陶县卫生健康委员会负责开展人口监测预警工作，拟订生育政策，研究提出与生育有关的人口数量、素质、结构、分布方面的政策建议，促进生育政策和相关经济社会政策配套衔接，参与制定人口发展规划和政策，落实自治区、自治州、阿克陶县人口发展规划中的有关任务。</w:t>
        <w:br/>
        <w:t>3.配合阿克陶县有关部门做好外事外宣和招商引资工作。</w:t>
        <w:br/>
        <w:t>4.配合阿克陶县有关部门做好开发区规划、布局和设立等工作</w:t>
        <w:br/>
        <w:t xml:space="preserve">    编制人数15人，其中:行政人员编制7人、工勤1人、事业编制7人。实有在职人数35人，其中：行政在职18人、工勤1人、事业在职12人，编外自聘4人。离退休人员29人，其中：行政退休人员27人、事业退休2人。</w:t>
        <w:br/>
        <w:t>　　3.资金投入和使用情况</w:t>
        <w:br/>
        <w:t>　   关于下达阿克陶县2022年度部门预算指标的通知陶财预〔2022〕1号文本年度安排下达资金49.99万元，为本级财力资金，最终确定项目资金总数为49.99万元。其中：中央财政拨款0万元，自治区财政拨款0万元，本级财政拨款49.99万元，上年结余0万元。</w:t>
        <w:br/>
        <w:t>　　截至2022年12月31日，实际支出43.42万元，预算执行率86.9%。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该项目资金用于发展大厦办公楼物业费，通过该项目的实施，保障了发展大厦进驻的6个单位日常办公正常运行，保障防火、消防设施维护和电梯正常运行，保障办公区域内环境卫生清洁及清运垃圾，进一步促进了发展大厦物业管理质量的提高，提升了发展大厦工作人员办事效率、服务保障能力及良好的工作环境。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①数量指标</w:t>
        <w:br/>
        <w:t>“保障物业服务面积”指标，预期指标值为=15428.8平方米；</w:t>
        <w:br/>
        <w:t>“保障受益单位个数”指标，预期指标值为=6个；</w:t>
        <w:br/>
        <w:t>②质量指标</w:t>
        <w:br/>
        <w:t>　　“资金使用合规率”指标，预期指标值为＝100%；</w:t>
        <w:br/>
        <w:t>　　③时效指标</w:t>
        <w:br/>
        <w:t>“资金拨付及时率”指标，预期指标值为=100%。</w:t>
        <w:br/>
        <w:t>④成本指标</w:t>
        <w:br/>
        <w:t>“每平方米价格”指标，预期指标值为2.7元/平方米/月。</w:t>
        <w:br/>
        <w:t>（2）项目效益目标</w:t>
        <w:br/>
        <w:t>①经济效益指标</w:t>
        <w:br/>
        <w:t>无</w:t>
        <w:br/>
        <w:t>②社会效益指标</w:t>
        <w:br/>
        <w:t>“保障工作情况需要”指标，预期指标值为有效保障；</w:t>
        <w:br/>
        <w:t>③生态效益指标</w:t>
        <w:br/>
        <w:t>无</w:t>
        <w:br/>
        <w:t>④可持续影响指标</w:t>
        <w:br/>
        <w:t>“提升公共服务能力”指标，预期指标值为有效提升;</w:t>
        <w:br/>
        <w:t>⑤满意度指标</w:t>
        <w:br/>
        <w:t>“受益职工满意度（%）”指标，预期指标值为≥95%；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发展大厦办公楼物业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马丙寅任评价组组长，职务为党组成员、副主任，绩效评价工作职责为负责全盘工作。</w:t>
        <w:br/>
        <w:t>胡志刚任评价组副组长，绩效评价工作职责为对项目实施情况进行实地调查。</w:t>
        <w:br/>
        <w:t>杨菊芳任评价组成员，绩效评价工作职责为负责资料审核等工作。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发展大厦办公楼物业费”项目绩效进行客观公正的评价，本项目总得分为99.25分，绩效评级属于“优”。其中，决策类指标得分20分，过程类指标得分19.9分，产出类指标得分39.35分，效益类指标得分20分。</w:t>
        <w:br/>
        <w:t>　　（二）综合评价结论</w:t>
        <w:br/>
        <w:t>　　经评价，本项目达到了年初设立的绩效目标，在实施过程中取得了良好的成效，具体表现在：保障了发展大厦县财政局、发改委、交通局、住建局、水利局、生态环境局6个单位13399.74平方米物业管理面积环境卫生干净整洁，防火、消防设施维护和电梯正常运行，达到了预期制定目标，同时确保工作环境舒适，提高工作人员办公效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1）立项依据充分性：关于下达阿克陶县2022年度部门预算指标的通知陶财预〔2022〕1号、并结合阿克陶县发展和改革委员会职责组织实施。围绕阿克陶县发展和改革委员会年度工作重点和工作计划制定经费预算，根据评分标准，该指标不扣分，得3分。</w:t>
        <w:br/>
        <w:t>　　（2）立项程序规范性：根据决策依据编制工作计划和经费预算，经过与阿克陶县发展和改革委员会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阿克陶县2022年度部门预算指标的通知陶财预〔2022〕1号，预算编制发展大厦办公楼物业费项目资金49.99万元，实际完成内容与项目内容匹配，项目投资额与工作任务相匹配，根据评分标准，该指标不扣分，得5分。</w:t>
        <w:br/>
        <w:t>　　（6）资金分配合理性：资金分配按照物业服务合同，按办公楼实际使用面积进行核算拨付，资金分配与实际相适应，根据评分标准，该指标不扣分，得5分。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5个三级指标构成，权重分为20分，实际得分19.9分，得分率为99.5%。</w:t>
        <w:br/>
        <w:t>　　（1）资金到位率：该项目总投资49.99万元，阿克陶县财政局实际下达经费49.99万元，其中当年财政拨款49.99万元，上年结转资金0万元，财政资金足额拨付到位，根据评分标准，该指标不扣分，得5分。   </w:t>
        <w:br/>
        <w:t>　　（2）预算执行率：本项目申请预算金额为49.99 万元，预算批复实际下达金额为 49.99万元截至 2022年 12 月 31日，资金执行43.42万元，资金执行率86.86%。项目资金支出总体能够按照预算执行，根据评分标准，该指标扣0.1分，得4.9分。</w:t>
        <w:br/>
        <w:t>　　（3）资金使用合规性：根据关于下达阿克陶县2022年度部门预算指标的通知（陶财预〔2022〕1号）符合预算批复规定用途，不存在截留、挤占、挪用、虚列支出等情况，未发现违规使用情况，根据评分标准，该指标不扣分，得5分。</w:t>
        <w:br/>
        <w:t>　　（4）管理制度健全性：该项目严格按照《阿克陶县发展和改革委员会财务制度》，对财政专项资金进行严格管理，基本做到了专款专用，根据评分标准，该指标不扣分，得2分。</w:t>
        <w:br/>
        <w:t>　　（5）制度执行有效性：由部门提出经费预算支出可行性方案，经过与财经领导小组沟通后，报党组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项目产出类指标包括产出数量、产出质量、产出时效、产出成本四方面的内容，由4个三级指标构成，权重分为40分，实际得分39.35分，得分率为98.35%。</w:t>
        <w:br/>
        <w:t>　　（1）对于“产出数量”</w:t>
        <w:br/>
        <w:t>保障物业服务面积13399.74平方米，与预期目标不一致，存在偏差：预期绩效目标15428.8平方米，实际完成值为13399.74，偏差率为13% ，偏差原因：办公楼面积核减，采取的措施：加强填报数据准确性核实工作。根据评分标准，该指标扣0.65分，得4.35分。</w:t>
        <w:br/>
        <w:t>　　保障受益单位6个，与预期目标一致，根据评分标准，该指标不扣分，得5分。</w:t>
        <w:br/>
        <w:t>　　合计得9.35分。</w:t>
        <w:br/>
        <w:t>　　（2）对于“产出质量”：</w:t>
        <w:br/>
        <w:t>资金使用合规率100%，与预期目标一致，根据评分标准，该指标不扣分，得10分。</w:t>
        <w:br/>
        <w:t>　　（3）对于“产出时效”：</w:t>
        <w:br/>
        <w:t>资金拨付及时率100%，与预期目标指标一致，根据评分标准，该指标不扣分，得10分。</w:t>
        <w:br/>
        <w:t>　　（4）对于“产出成本”：</w:t>
        <w:br/>
        <w:t>该项目每平方米物业费价格2.7元，与预期目标指标一致，根据评分标准，该指标不扣分，得10分。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保障工作情况需要，与预期指标一致，根据评分标准，该指标不扣分，得5分。</w:t>
        <w:br/>
        <w:t>　　对于“可持续影响指标”：</w:t>
        <w:br/>
        <w:t>提升公共服务能力，与预期指标一致，根据评分标准，该指标不扣分，得5分。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对于满意度指标：受益职工满意度96%，与预期目标一致，根据评分标准，该指标不扣分，得10分。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发展大厦办公楼物业费项目预算49.99万元，到位49.99万元，实际支出43.42万元，预算执行率为86.9%，项目绩效指标总体完成率为99.25%，偏差率为13%，偏出去原因一层办公楼出租，致使办公楼面积核减，采取的措施加强填报数据准确性核实工作。</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（一）主要经验及做法</w:t>
        <w:b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</w:t>
        <w:br/>
        <w:t xml:space="preserve">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1.绩效管理方面 </w:t>
        <w:br/>
        <w:t>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2.资金管理方面 </w:t>
        <w:br/>
        <w:t>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