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53027">
      <w:pPr>
        <w:spacing w:line="570" w:lineRule="exact"/>
        <w:jc w:val="center"/>
        <w:rPr>
          <w:rFonts w:ascii="华文中宋" w:hAnsi="华文中宋" w:eastAsia="华文中宋" w:cs="宋体"/>
          <w:b/>
          <w:kern w:val="0"/>
          <w:sz w:val="52"/>
          <w:szCs w:val="52"/>
        </w:rPr>
      </w:pPr>
    </w:p>
    <w:p w14:paraId="527FC572">
      <w:pPr>
        <w:spacing w:line="570" w:lineRule="exact"/>
        <w:jc w:val="center"/>
        <w:rPr>
          <w:rFonts w:ascii="华文中宋" w:hAnsi="华文中宋" w:eastAsia="华文中宋" w:cs="宋体"/>
          <w:b/>
          <w:kern w:val="0"/>
          <w:sz w:val="52"/>
          <w:szCs w:val="52"/>
        </w:rPr>
      </w:pPr>
    </w:p>
    <w:p w14:paraId="6C8B5BAD">
      <w:pPr>
        <w:spacing w:line="570" w:lineRule="exact"/>
        <w:jc w:val="center"/>
        <w:rPr>
          <w:rFonts w:ascii="华文中宋" w:hAnsi="华文中宋" w:eastAsia="华文中宋" w:cs="宋体"/>
          <w:b/>
          <w:kern w:val="0"/>
          <w:sz w:val="52"/>
          <w:szCs w:val="52"/>
        </w:rPr>
      </w:pPr>
    </w:p>
    <w:p w14:paraId="28C627E5">
      <w:pPr>
        <w:spacing w:line="570" w:lineRule="exact"/>
        <w:jc w:val="center"/>
        <w:rPr>
          <w:rFonts w:ascii="华文中宋" w:hAnsi="华文中宋" w:eastAsia="华文中宋" w:cs="宋体"/>
          <w:b/>
          <w:kern w:val="0"/>
          <w:sz w:val="52"/>
          <w:szCs w:val="52"/>
        </w:rPr>
      </w:pPr>
    </w:p>
    <w:p w14:paraId="778212BC">
      <w:pPr>
        <w:spacing w:line="570" w:lineRule="exact"/>
        <w:jc w:val="both"/>
        <w:rPr>
          <w:rFonts w:ascii="华文中宋" w:hAnsi="华文中宋" w:eastAsia="华文中宋" w:cs="宋体"/>
          <w:b/>
          <w:kern w:val="0"/>
          <w:sz w:val="52"/>
          <w:szCs w:val="52"/>
        </w:rPr>
      </w:pPr>
    </w:p>
    <w:p w14:paraId="139A82B5">
      <w:pPr>
        <w:spacing w:line="570" w:lineRule="exact"/>
        <w:jc w:val="center"/>
        <w:rPr>
          <w:rFonts w:ascii="华文中宋" w:hAnsi="华文中宋" w:eastAsia="华文中宋" w:cs="宋体"/>
          <w:b/>
          <w:kern w:val="0"/>
          <w:sz w:val="52"/>
          <w:szCs w:val="52"/>
        </w:rPr>
      </w:pPr>
    </w:p>
    <w:p w14:paraId="2F9FB53B">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14:paraId="6EABCA63">
      <w:pPr>
        <w:spacing w:line="570" w:lineRule="exact"/>
        <w:jc w:val="center"/>
        <w:rPr>
          <w:rFonts w:ascii="华文中宋" w:hAnsi="华文中宋" w:eastAsia="华文中宋" w:cs="宋体"/>
          <w:b/>
          <w:kern w:val="0"/>
          <w:sz w:val="52"/>
          <w:szCs w:val="52"/>
        </w:rPr>
      </w:pPr>
    </w:p>
    <w:p w14:paraId="64855DCC">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7AF00BE5">
      <w:pPr>
        <w:spacing w:line="570" w:lineRule="exact"/>
        <w:jc w:val="center"/>
        <w:rPr>
          <w:rFonts w:hAnsi="宋体" w:eastAsia="仿宋_GB2312" w:cs="宋体"/>
          <w:kern w:val="0"/>
          <w:sz w:val="30"/>
          <w:szCs w:val="30"/>
        </w:rPr>
      </w:pPr>
    </w:p>
    <w:p w14:paraId="3F32907B">
      <w:pPr>
        <w:spacing w:line="570" w:lineRule="exact"/>
        <w:jc w:val="center"/>
        <w:rPr>
          <w:rFonts w:hAnsi="宋体" w:eastAsia="仿宋_GB2312" w:cs="宋体"/>
          <w:kern w:val="0"/>
          <w:sz w:val="30"/>
          <w:szCs w:val="30"/>
        </w:rPr>
      </w:pPr>
    </w:p>
    <w:p w14:paraId="02F9BF13">
      <w:pPr>
        <w:spacing w:line="570" w:lineRule="exact"/>
        <w:jc w:val="center"/>
        <w:rPr>
          <w:rFonts w:hAnsi="宋体" w:eastAsia="仿宋_GB2312" w:cs="宋体"/>
          <w:kern w:val="0"/>
          <w:sz w:val="30"/>
          <w:szCs w:val="30"/>
        </w:rPr>
      </w:pPr>
    </w:p>
    <w:p w14:paraId="2B3F9C1D">
      <w:pPr>
        <w:spacing w:line="570" w:lineRule="exact"/>
        <w:jc w:val="center"/>
        <w:rPr>
          <w:rFonts w:hAnsi="宋体" w:eastAsia="仿宋_GB2312" w:cs="宋体"/>
          <w:kern w:val="0"/>
          <w:sz w:val="30"/>
          <w:szCs w:val="30"/>
        </w:rPr>
      </w:pPr>
    </w:p>
    <w:p w14:paraId="1A1AFD7A">
      <w:pPr>
        <w:spacing w:line="570" w:lineRule="exact"/>
        <w:jc w:val="center"/>
        <w:rPr>
          <w:rFonts w:hAnsi="宋体" w:eastAsia="仿宋_GB2312" w:cs="宋体"/>
          <w:kern w:val="0"/>
          <w:sz w:val="30"/>
          <w:szCs w:val="30"/>
        </w:rPr>
      </w:pPr>
    </w:p>
    <w:p w14:paraId="17AA6BA9">
      <w:pPr>
        <w:spacing w:line="570" w:lineRule="exact"/>
        <w:jc w:val="center"/>
        <w:rPr>
          <w:rFonts w:hAnsi="宋体" w:eastAsia="仿宋_GB2312" w:cs="宋体"/>
          <w:kern w:val="0"/>
          <w:sz w:val="30"/>
          <w:szCs w:val="30"/>
        </w:rPr>
      </w:pPr>
    </w:p>
    <w:p w14:paraId="2C1AE5AF">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2022年新一轮退耕还林补助资金</w:t>
      </w:r>
    </w:p>
    <w:p w14:paraId="6AA25404">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自然资源局</w:t>
      </w:r>
    </w:p>
    <w:p w14:paraId="210D8DD5">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自然资源局</w:t>
      </w:r>
    </w:p>
    <w:p w14:paraId="190E2150">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p>
    <w:p w14:paraId="7FC90F37">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2023年04月11日</w:t>
      </w:r>
    </w:p>
    <w:p w14:paraId="01E01E38">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0CAA8D7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47C40FEE">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5D267EC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项目实施前期、过程及效果，评价财政预算资金使用的效率及效益。该项目资金主要用于2022年新一轮退耕还林0.4万亩地每亩300元进行补助。完成2022年新一轮退耕还林0.4万亩地每亩300元进行补助年度工作，帮助农牧民提高生产增收技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关于拨付提前下达2022年中央林业草原生态保护恢复资金的通知》（新财资环﹝2021﹞122号）文件，中央林业草原生态保护恢复资金项目2022年自治区下达我县资金120万元，其中：中央财政资金120万元、地方财政资金0万元、其他资金0万元，实施地点分布在阿克陶县自然资源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拨付提前下达2022年中央林业草原生态保护恢复资金的通知》（新财资环﹝2021﹞122号）文件，保证项目资金主要该项目资金主要用于2022年新一轮退耕还林0.4万亩地每亩300元进行补助。完成2022年新一轮退耕还林0.4万亩地每亩300元进行补助年度工作，帮助农牧民提高生产增收技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拨付提前下达2022年中央林业草原生态保护恢复资金的通知》（新财资环﹝2021﹞122号）文件，2022年新一轮退耕还林补助资金项目下达资金120万元，实施地点分布在阿克陶县自然资源局。主要绩效目标为：该项目资金主要用于2022年新一轮退耕还林0.4万亩地每亩300元进行补助。完成2022年新一轮退耕还林0.4万亩地每亩300元进行补助年度工作，帮助农牧民提高生产增收技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关于拨付提前下达2022年中央林业草原生态保护恢复资金的通知》（新财资环﹝2021﹞122号）文件，中央林业草原生态保护恢复资金项目2022年自治区下达我县资金120万元，其中：中央财政资金120万元、地方财政资金0万元、其他资金0万元，实施地点分布在阿克陶县自然资源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截至2022年12月31日，实际支出111万元，预算执行率92.5%。</w:t>
      </w:r>
    </w:p>
    <w:p w14:paraId="091F6D9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421D4F6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加强新一轮退耕还林补助项目管理，提升项目实施质量，完善项目管理机制，明确参加项目各方责任，规范项目管理行为，阿克陶县自然资源局根据《退耕还林管理办法（试行）》执行相关政策。办法明确指出，根据相关规定成立了财经领导小组，负责组织协调、指导和监督管理工作，检查验收合格后按合同规定支付款项，项目的实施遵守相关法律法规和业务管理规定，项目资料齐全并及时归档。已建立项目监督检查机制，不定期对项目进度情况进行督导检查，对检查过程中发现的问题及时督促整改，保障了各项目的顺利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关于全面实施预算绩效管理的意见》中发﹝2018﹞34号、《关于印发〈自治区财政支出绩效评价管理暂行办法〉》新财预〔2018〕189号等文件要求，本次绩效评价秉承科学规范、公开公正、分级分类、绩效相关等原则，按照从投入、过程到产出效果和影响的绩效逻辑路径，结合该项目的实际开展情况，运用定量和定性分析相结合的方法，总结经验做法，反思项目实施和管理中的问题，以切实提升财政资金管理的科学化、规范化和精细化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“新一轮退耕还林第二次补助面积（万亩）”指标，预期指标值为＝0.4；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“新一轮退耕还林检查验收合格率（%）”指标，预期指标值为＝100%；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“当年各级财政补助资金到位率（%）”指标，预期指标值为＝100%。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“新一轮退耕还林（每亩/元）”指标，预期指标值为＝300元；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“实现国土绿化，改善水土流失”指标，预期指标值为改善显著；</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“有效改善生态环境”指标，预期指标值为有效改善；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“持续发展生态作用”指标，预期指标值为改善明显；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“退耕农户满意度（%）”指标，预期指标值为≥90%。</w:t>
      </w:r>
    </w:p>
    <w:p w14:paraId="2F8BBC4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31322C0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6CB8BE6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3C159DF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5E3A4D2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自评结果基本体现了2022年度直达资金的使用情况和发挥的效益。在今后的工作中我们会把绩效自评结果作为财政部门和我单位改进预算管理和项目实施保障力分配的重要依据，根据绩效自评结果，进一步加大对项目执行的监督检查工作，对发现的问题进行认真整改，并在一定范围内适当的将绩效自评结果进行公开（涉密项目除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6803ED5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55F98CB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度我单位根据实际需求成立项目绩效评价小组，组长为董青山，副组长为木合塔尔，成员为艾克拜尔、图玛尔、斯地克、热娜人，其中：项目办公室艾克拜尔、热娜2人，负责协助组长做好绩效全面监控，统筹好单位日常工作及监督管理工作；结算科图玛尔1人，负责日常整理、收集、核实及结算资金落实工作；财务室图玛尔1人，负责收集各类绩效监控资料、财务预算、发放及上报资料等工作。该项目的实施绩效评价管理结构完整、功能齐全，绩效评价工作开展情况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（1）文件研读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组于2022年9月，在业务科室的协助下，收集项目相关背景资料、项目目标、预算等资料，并组织项目绩效评价小组对项目相关文件进行研读。根据中央、自治区级地方预算项目绩效管理文件的要求，结合项目的特点，形成项目评价的总体思路以及项目指标体系初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（2）前期调研</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根据绩效评价实际项目开展的需求，与项目相关管理人员进行了沟通和访谈，进一步了解了项目的实施情况，资金的管理情况等，并且讨论了项目指标体系的可行性。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（3）确定评价思路和方法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新一轮退耕还林补助资金项目财政支出绩效自评主要围绕资金使用、绩效目标完成情况等方面，客观分析项目的产出和效果，从而考察项目预算定额标准的合理性，进而提出完善意见。整个评价框架构成体现从投入、过程到产出、效果和影响的绩效逻辑路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（二）组织过程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（1）数据采集方法及过程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本项目主要采用查阅相关文件政策、会计凭证、项目实施资料等，了解项目完成情况及项目成本构成等数据资料；并通过社会调查掌握具体情况，对采集的数据做详细的分析和统计。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（2）资金使用情况检查方法及过程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情况检查主要进行单位自检，就项目资金使用情况进行检查，包括是否存在截留、挪用财政专项资金的情况；资金支付审批情况是否合规；资金支付所需材料是否齐备；是否存在擅自改变、扩大支出范围的情况；是否存在擅自提高支出标准、虚列项目支出等情况。根据调查结果显示，项目不存在资金截留、挪用的情况；资金用于规定的使用范围，资金使用合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（3）问卷调查方法及过程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本项目问卷调查使用抽样的方式，对受益群体及相关人员发放调查问卷，调查问卷采取现场发放及现场回收问卷的方式。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（4）撰写报告情况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项目评价组根据绩效评价的原理，对收集的数据汇总和分析，撰写绩效评价报告，并在规定时间内上报本级财政部门。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关于全面实施预算绩效管理的意见》中发﹝2018﹞34号、《关于印发〈自治区财政支出绩效评价管理暂行办法〉》新财预〔2018〕189号等文件要求，本次绩效评价秉承科学规范、公开公正、分级分类、绩效相关等原则，按照从投入、过程到产出效果和影响的绩效逻辑路径，结合该项目的实际开展情况，运用定量和定性分析相结合的方法，总结经验做法，反思项目实施和管理中的问题，以切实提升财政资金管理的科学化、规范化和精细化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根据以上原则，本次绩效评价遵循如下要求：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（1）在数据采集时，采取客观数据，主管部门审查、社会中介组织复查，与问卷调查相结合的形式，以保证各项指标的真实性。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（2）保证评价结果的真实性、公正性，提高评价报告的公信力。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（3）绩效评价报告应当简明扼要，除了对绩效评价的过程、结果描述外，还应总结经验，指出问题，并就共性问题提出可操作性改进建议。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2、资金管理情况分析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确保项目顺利实施，提高资金使用规范性、安全性和有效性，阿克陶县自然资源局按照《中央林业草原生态保护恢复资金使用管理办法》的规定，遵循科学规范、公开透明、公平公正、统筹兼顾、突出重点、绩效管理的原则，对2022年新一轮退耕还林补助项目资金进行监督管理，开展绩效指导、审核工作等。该专项资金拨付审批手续完整。项目专款专用，不存在支出依据不合规、虚列项目支出、截留、挤占、挪用和超标准支出等现象，使项目资金的运用得到了合理的控制，项目得到了切实的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3、项目组织情况分析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加强新一轮退耕还林项目管理，提升项目实施质量，完善项目管理机制，明确参加项目各方责任，规范项目管理行为，阿克陶县自然资源局根据《新一轮退耕还林管理办法（试行）》执行相关政策。办法明确指出，根据相关规定成立了财经领导小组，负责组织协调、指导和监督管理工作，检查验收合格后按合同规定支付款项，项目的实施遵守相关法律法规和业务管理规定，项目资料齐全并及时归档。已建立项目监督检查机制，不定期对项目进度情况进行督导检查，对检查过程中发现的问题及时督促整改，保障了各项目的顺利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档案。</w:t>
      </w:r>
    </w:p>
    <w:p w14:paraId="011697F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1BFF255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科新一轮退耕还林补助”项目绩效进行客观公正的评价，本项目总得分为97.815分，绩效评级属于“优”。其中，决策类指标得分20分，过程类指标得分19.265分，产出类指标得分38.55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基于数据采集、问卷调查方式下，得出综合评价结论如下：在绩效目标方面，本项目共设置一级指标3个，二级指标8个，三级指标9个，其中已完成三级指标9个，指标完成率为97.815%；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在项目管理方面，建立了相关制度，提高了工作人员的监管水平，保质保量的完成了项目的实施工作。项目实施后，取得了一定的经济效益、社会效益。</w:t>
      </w:r>
    </w:p>
    <w:p w14:paraId="7994B852">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73AF4D5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209A594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项目决策类指标包括项目立项、绩效目标和资金投入三方面的内容，由9个三级指标构成，权重分为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2022年中央林业草原生态保护恢复资金的通知》（新财资环﹝2021﹞122号）文件）并结合阿克陶县自然资源局职责组织实施。围绕阿克陶县自然资源局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阿克陶县自然资源局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2022年中央林业草原生态保护恢复资金的通知》（新财资环﹝2021﹞122号）文件）与阿克陶县自然资源局1730万元下拨，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2022年中央林业草原生态保护恢复资金的通知》（新财资环﹝2021﹞122号）文件）与阿克陶县自然资源局120万元生态护林员，资金分配与实际相适应，根据评分标准，该指标不扣分，得5分。</w:t>
      </w:r>
    </w:p>
    <w:p w14:paraId="4172D2A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1106C4E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5个三级指标构成，权重分为20分，实际得分19.625分，得分率为85%。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（1）资金到位率：该项目总投资120万元，阿克陶县财政局实际下达经费120万元，其中当年财政拨款120万元，上年结转资金0万元，财政资金足额拨付到位，根据评分标准，该指标不扣分，得5分。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（2）预算执行率：本项目申请预算金额为120万元，预算批复实际下达金额为120万元，截至 2022年 12 月 31日，资金执行111万元，资金执行率92.5%。项目资金支出总体能够按照预算执行，根据评分标准，该指标扣0.375分，得4.625分。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（3）资金使用合规性：根据关于资金分配按照</w:t>
      </w:r>
      <w:bookmarkStart w:id="0" w:name="_GoBack"/>
      <w:bookmarkEnd w:id="0"/>
      <w:r>
        <w:rPr>
          <w:rStyle w:val="18"/>
          <w:rFonts w:hint="eastAsia" w:ascii="仿宋" w:hAnsi="仿宋" w:eastAsia="仿宋" w:cs="仿宋"/>
          <w:b w:val="0"/>
          <w:bCs w:val="0"/>
          <w:spacing w:val="-4"/>
          <w:sz w:val="32"/>
          <w:szCs w:val="32"/>
        </w:rPr>
        <w:t>《2022年中央林业草原生态保护恢复资金的通知》（新财资环﹝2021﹞122号）文件）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阿克陶县自然资源局财务制度》及一般公共预算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684CE91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1582416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项目产出类指标包括产出数量、产出质量、产出时效、产出成本四方面的内容，由4个三级指标构成，权重分为40分，实际得分38.55分，得分率为96.375%。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新一轮退耕还林第二次补助面积（万亩）0.37万亩，与预期目标不一致，根据评分标准，该指标扣0.75分，得9.25分。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资金使用合规率100%，与预期目标一致，根据评分标准，该指标不扣分，得10分。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当年各级财政补助资金到位率（%）93%，与预期目标指标不一致，根据评分标准，该指标扣0.7分，得9.3分。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合计得9.3分。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新一轮退耕还林（每亩/元），与预期目标指标一致，据评分标准，该指标不扣分，得10分。</w:t>
      </w:r>
    </w:p>
    <w:p w14:paraId="5DDA3CC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373F1A4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项目效益类指标包括项目效益1个方面的内容，由3个三级指标构成，权重分为20分，实际得分20分，得分率为100%。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实现国土绿化，改善水土流失，与预期指标一致，根据评分标准，该指标不扣分，得5分。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持续发挥生态作用，与预期指标一致，根据评分标准，该指标不扣分，得2.5分。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有效改善生态环境，与预期指标一致，根据评分标准，该指标不扣分，得2.5分。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对于满意度指标：受益群众满意度100%，与预期目标一致，根据评分标准，该指标不扣分，得10分。</w:t>
      </w:r>
    </w:p>
    <w:p w14:paraId="5722208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6BBE214C">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偏差原因：0.03亩地块验收不合格。改进措施：0.03亩地块验收合格后尽快发放。</w:t>
      </w:r>
    </w:p>
    <w:p w14:paraId="3ABF5DA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14:paraId="73ECEA4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p>
    <w:p w14:paraId="38350A5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54681DB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1.绩效管理方面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2.资金管理方面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3.项目管理方面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14:paraId="6094765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123CCA78">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KSOF8235D1FC">
    <w:panose1 w:val="020B07030202040202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56A0479">
        <w:pPr>
          <w:pStyle w:val="12"/>
          <w:jc w:val="center"/>
        </w:pPr>
        <w:r>
          <w:fldChar w:fldCharType="begin"/>
        </w:r>
        <w:r>
          <w:instrText xml:space="preserve">PAGE   \* MERGEFORMAT</w:instrText>
        </w:r>
        <w:r>
          <w:fldChar w:fldCharType="separate"/>
        </w:r>
        <w:r>
          <w:rPr>
            <w:lang w:val="zh-CN"/>
          </w:rPr>
          <w:t>1</w:t>
        </w:r>
        <w:r>
          <w:fldChar w:fldCharType="end"/>
        </w:r>
      </w:p>
    </w:sdtContent>
  </w:sdt>
  <w:p w14:paraId="0F3DEE8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360E5E56"/>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8514</Words>
  <Characters>8899</Characters>
  <Lines>5</Lines>
  <Paragraphs>1</Paragraphs>
  <TotalTime>35</TotalTime>
  <ScaleCrop>false</ScaleCrop>
  <LinksUpToDate>false</LinksUpToDate>
  <CharactersWithSpaces>9098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兢兢业业</cp:lastModifiedBy>
  <cp:lastPrinted>2018-12-31T10:56:00Z</cp:lastPrinted>
  <dcterms:modified xsi:type="dcterms:W3CDTF">2026-08-24T08:21:58Z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eyJoZGlkIjoiZDYzNDZjZDFmODkxMjQ5YWE0MjExYWY4NTdhYjYxYjIiLCJ1c2VySWQiOiIxNjEwNTYwODEwIn0=</vt:lpwstr>
  </property>
  <property fmtid="{D5CDD505-2E9C-101B-9397-08002B2CF9AE}" pid="4" name="ICV">
    <vt:lpwstr>E29AE4870D0E4FDB89E4BB8D6AAE16D2_12</vt:lpwstr>
  </property>
</Properties>
</file>