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儿童福利院运转经费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阿克陶县儿童福利院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阿克陶县儿童福利院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阿克陶县儿童福利院运转经费项目实施前期、过程及效果，评价财政预算资金使用的效率及效益。福利机构要求这项经费用于改善集中供养孤残儿童基本生活条件，就医教育，保健等各方面的条件，保证集中供养孤残儿童健康成长。</w:t>
        <w:br/>
        <w:t>　　2.主要内容及实施情况</w:t>
        <w:br/>
        <w:t>　　（1）主要内容</w:t>
        <w:br/>
        <w:t>该项目资金用于福利院正常运行办公，孤儿教育，医疗，水管道，消防设备，网路，电路，维修维护，厨房，住宿楼清洁服务费用，通过该项目的实施，保障单位工作人员的办公用品及办公设备的正常使用。改善集中供养孤残儿童基本生活，就医教育，保健等各方面的条件，保证集中供养孤残儿童健康成长。</w:t>
        <w:br/>
        <w:t>　　（2）实施情况</w:t>
        <w:br/>
        <w:t>项目实施主体：阿克陶县儿童福利院</w:t>
        <w:br/>
        <w:t>实施时间：2022年1月-2022年12月</w:t>
        <w:br/>
        <w:t>实施结果：根据《阿克陶县儿童福利院工作条例》要求，保障单位工作人员的办公用品及办公设备的正常使用。改善集中供养孤残儿童基本生活，就医教育，保健等各方面的条件，保证集中供养孤残儿童健康成长。</w:t>
        <w:br/>
        <w:t>　　3.项目实施主体</w:t>
        <w:br/>
        <w:t>该项目由儿童福利院实施，内设3个科室，分别是：办公室，后勤室。主要职能是1、儿童福利机构是指民政部门设立的，主要收留抚养由民政部门担任监护人的未满18周岁儿童的机构。</w:t>
        <w:br/>
        <w:t>2、儿童福利机构应当坚持儿童利益最大化，依法保障儿童的生存权、发展权、受保护权、参与权等权利，不断提高儿童生活、医疗、康复和教育水平。</w:t>
        <w:br/>
        <w:t>3、贯彻落实国家对孤残儿童的救助政策，研究拟订全县孤儿救助实施方案;</w:t>
        <w:br/>
        <w:t>4、儿童福利机构接收儿童后，应当及时送医疗机构进行体检和传染病检查。确实无法送医疗机构的，应当先行隔离照料。</w:t>
        <w:br/>
        <w:t>5、收养确实无法分散安置的孤残儿童和受艾滋病影响 </w:t>
        <w:br/>
        <w:t>的致孤儿童;</w:t>
        <w:br/>
        <w:t>6、为孤残儿童提供养育、预防、医疗、康复、特殊教育、心理辅导、职业技能培训;</w:t>
        <w:br/>
        <w:t>7、承担全县孤儿建档工作，定期开展巡访和监督评估</w:t>
        <w:br/>
        <w:t>孤儿养育状况，对监护人进行指导和培训.</w:t>
        <w:br/>
        <w:t>8、儿童福利机构应当根据《儿童福利机构基本规范》等国家标准、行业标准，提供日常生活照料、基本医疗、基本康复等服务，依法保障儿童受教育的权利。</w:t>
        <w:br/>
        <w:t>编制人数10人，其中：行政人员编制0人、工勤0人、参公0人、事业编制10人。实有在职人数10人，其中：行政在职0人、工勤0人、参公0人、事业在职10人。离退休人员11人，其中：行政退休人员0人、事业退休11人。</w:t>
        <w:br/>
        <w:t>　　3.资金投入和使用情况</w:t>
        <w:br/>
        <w:t>　   我院【2023】01号文本年度安排下达资金17.94万元，为运转经费资金，最终确定项目资金总数为17.94万元。其中：中央财政拨款0万元，自治区财政拨款0万元，本级财政拨款17.94万元，上年结余0万元。</w:t>
        <w:br/>
        <w:t>　　截至2022年12月31日，实际支出8.56万元，预算执行率47.71%。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该项目资金用于福利院正常运行办公，孤儿教育，医疗，水管道，消防设备，网路，电路，维修维护，厨房，住宿楼清洁服务费用，通过该项目的实施，，保障单位工作人员的办公用品及办公设备的正常使用。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“保障人数”指标，预期指标值为≥50人；</w:t>
        <w:br/>
        <w:t>　　“孤儿学生人数”指标，预期指标值为≥40人；</w:t>
        <w:br/>
        <w:t>　　②质量指标</w:t>
        <w:br/>
        <w:t>　　“资金使用合规率”指标，预期指标值为＝100%%；</w:t>
        <w:br/>
        <w:t>　　③时效指标</w:t>
        <w:br/>
        <w:t>　　“资金拨付及时率”指标，预期指标值为=100%。</w:t>
        <w:br/>
        <w:t>　　④成本指标</w:t>
        <w:br/>
        <w:t>　　“工作运行费用”指标，预期指标值为≤10.86万元；</w:t>
        <w:br/>
        <w:t>　　“厨房办公楼宿舍楼清洁卫生费用(万元）”指标，预期指标值为≤0.48万元；</w:t>
        <w:br/>
        <w:t>　　“消防设备，电梯维修维护保养费(万元）”指标，预期指标值为≤6.6万元。</w:t>
        <w:br/>
        <w:t>　　（2）项目效益目标</w:t>
        <w:br/>
        <w:t>　　①经济效益指标</w:t>
        <w:br/>
        <w:t>　　无</w:t>
        <w:br/>
        <w:t>　　②社会效益指标</w:t>
        <w:br/>
        <w:t>　　“提高服务质量和教育水平”指标，预期指标值为有效提高；</w:t>
        <w:br/>
        <w:t>　　③生态效益指标</w:t>
        <w:br/>
        <w:t>　　无</w:t>
        <w:br/>
        <w:t>　　④可持续影响</w:t>
        <w:br/>
        <w:t>　　“促进改善孤儿学生生活与教育保障”指标，预期指标值为有效改善；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运转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玉山江·阿不来提任评价组组长，职务为院长长，绩效评价工作职责为负责全盘工作。</w:t>
        <w:br/>
        <w:t>　　玉买尔江·依明任评价组副组长，绩效评价工作职责为对项目实施情况进行实地调查。</w:t>
        <w:br/>
        <w:t>　　阿力木江·艾散任评价组成员，绩效评价工作职责为负责资料审核等工作。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运转经费”项目绩效进行客观公正的评价，本项目总得分为94.06分，绩效评级属于“优”。其中，决策类指标得分20分，过程类指标得分17.39分，产出类指标得分36.67分，效益类指标得分20分。</w:t>
        <w:br/>
        <w:t>　　（二）综合评价结论</w:t>
        <w:br/>
        <w:t>　　经评价，本项目达到了年初设立的绩效目标，在实施过程中取得了良好的成效，具体表现在：该项目已完成，但资金未使用完原因：受疫情影响，部分支付票据未能提交，未能及时支付。改进措施：23年将尽快对接，尽快支付，采用云办公提高资金拨付效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自治区“访民情惠民生聚民心”驻村工作为民办实事工作经费使用管理办法（试行）的通知》（新民办发〔2016〕62号）、《关于拨付2021年自治区“访惠聚”驻村工作经费的通知》新财预（2021）19号并结合阿克陶县儿童福利院职责组织实施。围绕阿克陶县儿童福利院年度工作重点和工作计划制定经费预算，根据评分标准，该指标不扣分，得3分。</w:t>
        <w:br/>
        <w:t>　　（2）立项程序规范性：根据决策依据编制工作计划和经费预算，经过与阿克陶县儿童福利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5）预算编制科学性：预算编制经过阿克陶县财政地方财力下拨项，项目立项符合国家法律法规、国民经济发展规划和相关政策得；符合行业发展规划和政策要求，与部门职责范围相符，属于部门履职所需，属于公共财政支持范围，符合中央、地方事权支出责任划分原则，与相关部门同类项目或部门内部相关项目重复得3分　</w:t>
        <w:br/>
        <w:t>（6）资金分配合理性：资金分配按照《项目按照规定的程序申请设立，审批文件、材料符合相关要求，事前已经过必要的可行性研究、专家论证、风险评估、绩效评估、集体决策，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（1）资金到位率：该项目总投资17.94万元，阿克陶县财政局实际下达经费17.94万元，其中当年财政拨款17.94万元，上年结转资金0万元，财政资金足额拨付到位，根据评分标准，该指标不扣分，得5分。   </w:t>
        <w:br/>
        <w:t>（2）预算执行率：本项目申请预算金额为17.94 万元，预算批复实际下达金额为17.94万元截至 2022年 12 月 31日，资金执行8.56万元，资金执行率47.71%。</w:t>
        <w:br/>
        <w:t>存在偏差：预期绩效目标17.94，实际完成值为8.56，偏差率为47.71% ，偏差原因：受疫情影响，部分支付票据未能提交，未能及时支付。，采取的措施：23年将尽快对接，尽快支付，采用云办公提高资金拨付效率。项目资金支出总体能够按照预算执行，根据评分标准，得2.39分。</w:t>
        <w:br/>
        <w:t>　　（3）资金使用合规性：改项目资金符合预算批复规定用途，不存在截留、挤占、挪用、虚列支出等情况，未发现违规使用情况，根据评分标准，该指标不扣分，得5分。</w:t>
        <w:br/>
        <w:t>　　（4）管理制度健全性：该项目严格按照《儿童福利院财务制度》及运转经费金相关的制度和管理规定实施，对财政专项资金进行严格管理，基本做到了专款专用，根据评分标准，该指标不扣分，得2分。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项目产出类指标包括产出数量、产出质量、产出时效、产出成本四方面的内容，由7个三级指标构成，权重分为40分，实际得分36.67分，得分率为91.68%。</w:t>
        <w:br/>
        <w:t>　　（1）对于“产出数量”</w:t>
        <w:br/>
        <w:t>　资金使用保障人数，与预期目标一致，根据评分标准，该指标不扣分，得15分。</w:t>
        <w:br/>
        <w:t>集中供养孤残儿童人数，与预期目标一致，根据评分标准，该指标不扣分，得5分。</w:t>
        <w:br/>
        <w:t></w:t>
        <w:br/>
        <w:t>　　合计得10分。</w:t>
        <w:br/>
        <w:t>　　（2）对于“产出质量”：</w:t>
        <w:br/>
        <w:t>　　资金使用和规律100%，与预期目标一致，根据评分标准，该指标不扣分，得10分。</w:t>
        <w:br/>
        <w:t>　　合计得10分。</w:t>
        <w:br/>
        <w:t>　　（3）对于“产出时效”：</w:t>
        <w:br/>
        <w:t>任务完成时间2022年12月，与预期目标指标一致，根据评分标准，该指标不扣分，得10分。</w:t>
        <w:br/>
        <w:t>　　合计得10分。</w:t>
        <w:br/>
        <w:t>　　（4）对于“产出成本”：</w:t>
        <w:br/>
        <w:t>该项目本年支出金额8.56万元，项目经费未能够完全执行，根据评分标准，该指标扣3.33分，得6.67分。</w:t>
        <w:br/>
        <w:t>存在偏差：预期绩效目标17.94，实际完成值为8.56，偏差率为47.71% ，偏差原因：偏差原因：受疫情影响，部分支付票据未能提交，未能及时支付。采取的措施：23年将尽快对接，尽快支付，采用云办公提高资金拨付效率。根据评分标准，该指标扣7.7分，得13.3分。</w:t>
        <w:br/>
        <w:t>　　合计得6.67分。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项目效益类指标包括项目效益1个方面的内容，由4个三级指标构成，权重分为20分，实际得分30分，得分率为100%。</w:t>
        <w:br/>
        <w:t>　　（1）实施效益指标：</w:t>
        <w:br/>
        <w:t>　　对于“社会效益指标”：</w:t>
        <w:br/>
        <w:t>提高服务质量和教育水平，与预期指标一致，根据评分标准，该指标不扣分，得5分。</w:t>
        <w:br/>
        <w:t>　　对于“可持续影响指标”：</w:t>
        <w:br/>
        <w:t>促进改善孤儿学生生活与教育保障，与预期指标一致，根据评分标准，该指标不扣分，得5分。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运转经费项目预算17.94万元，到位17.94万元，实际支出8.56万元，预算执行率为47.71%，项目绩效指标总体完成率为85.17%，预算执行进度与绩效指标有偏差。偏差原因：受疫情影响，部分支付票据未能提交，未能及时支付。改进措施：23年将尽快对接，尽快支付，采用云办公提高资金拨付效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