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94B549">
      <w:pPr>
        <w:spacing w:line="570" w:lineRule="exact"/>
        <w:jc w:val="center"/>
        <w:rPr>
          <w:rFonts w:ascii="华文中宋" w:hAnsi="华文中宋" w:eastAsia="华文中宋" w:cs="宋体"/>
          <w:b/>
          <w:kern w:val="0"/>
          <w:sz w:val="52"/>
          <w:szCs w:val="52"/>
        </w:rPr>
      </w:pPr>
    </w:p>
    <w:p w14:paraId="4690AF87">
      <w:pPr>
        <w:spacing w:line="570" w:lineRule="exact"/>
        <w:jc w:val="center"/>
        <w:rPr>
          <w:rFonts w:ascii="华文中宋" w:hAnsi="华文中宋" w:eastAsia="华文中宋" w:cs="宋体"/>
          <w:b/>
          <w:kern w:val="0"/>
          <w:sz w:val="52"/>
          <w:szCs w:val="52"/>
        </w:rPr>
      </w:pPr>
    </w:p>
    <w:p w14:paraId="3F5DDA61">
      <w:pPr>
        <w:spacing w:line="570" w:lineRule="exact"/>
        <w:jc w:val="center"/>
        <w:rPr>
          <w:rFonts w:ascii="华文中宋" w:hAnsi="华文中宋" w:eastAsia="华文中宋" w:cs="宋体"/>
          <w:b/>
          <w:kern w:val="0"/>
          <w:sz w:val="52"/>
          <w:szCs w:val="52"/>
        </w:rPr>
      </w:pPr>
    </w:p>
    <w:p w14:paraId="64E54AB8">
      <w:pPr>
        <w:spacing w:line="570" w:lineRule="exact"/>
        <w:jc w:val="center"/>
        <w:rPr>
          <w:rFonts w:ascii="华文中宋" w:hAnsi="华文中宋" w:eastAsia="华文中宋" w:cs="宋体"/>
          <w:b/>
          <w:kern w:val="0"/>
          <w:sz w:val="52"/>
          <w:szCs w:val="52"/>
        </w:rPr>
      </w:pPr>
    </w:p>
    <w:p w14:paraId="5FAAC826">
      <w:pPr>
        <w:spacing w:line="570" w:lineRule="exact"/>
        <w:jc w:val="both"/>
        <w:rPr>
          <w:rFonts w:ascii="华文中宋" w:hAnsi="华文中宋" w:eastAsia="华文中宋" w:cs="宋体"/>
          <w:b/>
          <w:kern w:val="0"/>
          <w:sz w:val="52"/>
          <w:szCs w:val="52"/>
        </w:rPr>
      </w:pPr>
    </w:p>
    <w:p w14:paraId="2C503D3C">
      <w:pPr>
        <w:spacing w:line="570" w:lineRule="exact"/>
        <w:jc w:val="center"/>
        <w:rPr>
          <w:rFonts w:ascii="华文中宋" w:hAnsi="华文中宋" w:eastAsia="华文中宋" w:cs="宋体"/>
          <w:b/>
          <w:kern w:val="0"/>
          <w:sz w:val="52"/>
          <w:szCs w:val="52"/>
        </w:rPr>
      </w:pPr>
    </w:p>
    <w:p w14:paraId="3C86851E">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w:t>
      </w:r>
      <w:r>
        <w:rPr>
          <w:rFonts w:hint="eastAsia" w:ascii="方正小标宋_GBK" w:hAnsi="华文中宋" w:eastAsia="方正小标宋_GBK" w:cs="宋体"/>
          <w:b/>
          <w:kern w:val="0"/>
          <w:sz w:val="44"/>
          <w:szCs w:val="44"/>
          <w:lang w:val="en-US" w:eastAsia="zh-CN"/>
        </w:rPr>
        <w:t>克州</w:t>
      </w:r>
      <w:r>
        <w:rPr>
          <w:rFonts w:hint="eastAsia" w:ascii="方正小标宋_GBK" w:hAnsi="华文中宋" w:eastAsia="方正小标宋_GBK" w:cs="宋体"/>
          <w:b/>
          <w:kern w:val="0"/>
          <w:sz w:val="44"/>
          <w:szCs w:val="44"/>
        </w:rPr>
        <w:t>财政项目支出绩效自评报告</w:t>
      </w:r>
    </w:p>
    <w:p w14:paraId="6E8234E3">
      <w:pPr>
        <w:spacing w:line="570" w:lineRule="exact"/>
        <w:jc w:val="center"/>
        <w:rPr>
          <w:rFonts w:ascii="华文中宋" w:hAnsi="华文中宋" w:eastAsia="华文中宋" w:cs="宋体"/>
          <w:b/>
          <w:kern w:val="0"/>
          <w:sz w:val="52"/>
          <w:szCs w:val="52"/>
        </w:rPr>
      </w:pPr>
    </w:p>
    <w:p w14:paraId="3E33A44E">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4F2138C0">
      <w:pPr>
        <w:spacing w:line="570" w:lineRule="exact"/>
        <w:jc w:val="center"/>
        <w:rPr>
          <w:rFonts w:hAnsi="宋体" w:eastAsia="仿宋_GB2312" w:cs="宋体"/>
          <w:kern w:val="0"/>
          <w:sz w:val="30"/>
          <w:szCs w:val="30"/>
        </w:rPr>
      </w:pPr>
    </w:p>
    <w:p w14:paraId="03BF8F33">
      <w:pPr>
        <w:spacing w:line="570" w:lineRule="exact"/>
        <w:jc w:val="center"/>
        <w:rPr>
          <w:rFonts w:hAnsi="宋体" w:eastAsia="仿宋_GB2312" w:cs="宋体"/>
          <w:kern w:val="0"/>
          <w:sz w:val="30"/>
          <w:szCs w:val="30"/>
        </w:rPr>
      </w:pPr>
    </w:p>
    <w:p w14:paraId="77338381">
      <w:pPr>
        <w:spacing w:line="570" w:lineRule="exact"/>
        <w:jc w:val="center"/>
        <w:rPr>
          <w:rFonts w:hAnsi="宋体" w:eastAsia="仿宋_GB2312" w:cs="宋体"/>
          <w:kern w:val="0"/>
          <w:sz w:val="30"/>
          <w:szCs w:val="30"/>
        </w:rPr>
      </w:pPr>
    </w:p>
    <w:p w14:paraId="509B1DDD">
      <w:pPr>
        <w:spacing w:line="570" w:lineRule="exact"/>
        <w:jc w:val="center"/>
        <w:rPr>
          <w:rFonts w:hAnsi="宋体" w:eastAsia="仿宋_GB2312" w:cs="宋体"/>
          <w:kern w:val="0"/>
          <w:sz w:val="30"/>
          <w:szCs w:val="30"/>
        </w:rPr>
      </w:pPr>
    </w:p>
    <w:p w14:paraId="646B8384">
      <w:pPr>
        <w:spacing w:line="570" w:lineRule="exact"/>
        <w:jc w:val="center"/>
        <w:rPr>
          <w:rFonts w:hAnsi="宋体" w:eastAsia="仿宋_GB2312" w:cs="宋体"/>
          <w:kern w:val="0"/>
          <w:sz w:val="30"/>
          <w:szCs w:val="30"/>
        </w:rPr>
      </w:pPr>
    </w:p>
    <w:p w14:paraId="1A6F4F15">
      <w:pPr>
        <w:spacing w:line="570" w:lineRule="exact"/>
        <w:jc w:val="center"/>
        <w:rPr>
          <w:rFonts w:hAnsi="宋体" w:eastAsia="仿宋_GB2312" w:cs="宋体"/>
          <w:kern w:val="0"/>
          <w:sz w:val="30"/>
          <w:szCs w:val="30"/>
        </w:rPr>
      </w:pPr>
    </w:p>
    <w:p w14:paraId="69DF465E">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2021年中央医疗服务与保障能力提升(医疗卫生机构能力建设)补助资金</w:t>
      </w:r>
    </w:p>
    <w:p w14:paraId="06CDF372">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卫生健康委员会</w:t>
      </w:r>
    </w:p>
    <w:p w14:paraId="2639A4FF">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卫生健康委员会</w:t>
      </w:r>
    </w:p>
    <w:p w14:paraId="4B023D16">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阿尔曼·阿卜来提</w:t>
      </w:r>
    </w:p>
    <w:p w14:paraId="0C319B0C">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2023年04月13日</w:t>
      </w:r>
    </w:p>
    <w:p w14:paraId="735061A1">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530A570B">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15B2CE4B">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18ED994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关关于拨付2021年中央医疗服务能力与保障能力提升（第三批）补助资金的通知》（克财社〔2021〕68号）和（陶财社〔2021〕23号）文件精神，进一步加强我县各级医疗机构信息化建设和乡镇卫生院专科建设工作，结合我县实际，制定本方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关关于拨付2021年中央医疗服务能力与保障能力提升（第三批）补助资金的通知》（克财社〔2021〕68号）和（陶财社〔2021〕23号）文件，阿克陶县人民医院为打造重点专科购买五官科及骨科设备，显微眼科手术系统和C型臂。皮拉力乡，皮拉力乡恰瓦克，克孜勒陶镇，恰尔隆镇，布伦口乡和木吉乡卫生院专科建设，信息化建设升级和优化改造，改善医疗卫生基础设施条件和服务能力，缓解医疗卫生资源不足的矛盾，结合我县实际推行多种形式的分级诊疗模式，促进基层首诊、双向转诊、急慢分治、上下联动的就医新秩序，为各族群众提供综合、连续、协同的基本医疗卫生服务，解决“看病难、看病贵”问题，提高全县人民群众对医疗卫生服务的获得感和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该项目的实施，健全各级公立医院信息化建设，乡镇卫生院专科建设，围绕公立医院章程的落实加强医院全面预算管理、用药规范管理、医疗服务精细化管理、绩效管理、信息化管理等，结合公立医院发展实际进行信息化建设、人才培训，专科建设等，确保公立医院稳步健康发展，逐步提高医疗卫生服务和保障能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该项目由县人民医院和各乡镇卫生院实施，县级医院打造重点专科1家，各乡镇卫生院进一步完善乡镇卫生院专科建设5个。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关于拨付2021年中央医疗服务能力与保障能力提升（第三批）补助资金的通知》（克财社〔2021〕68号）和（陶财社〔2021〕23号）文本年度安排下达资金400万元。其中中央补助400万元。实际支出400万元，预算执行率100%。</w:t>
      </w:r>
    </w:p>
    <w:p w14:paraId="3AF25D39">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5338751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持续开展我县乡镇卫生院专科建设，信息化建设升级和优化改造，改善医疗卫生基础设施条件和服务能力，缓解医疗卫生资源不足的矛盾，结合我县实际推行多种形式的分级诊疗模式，促进基层首诊、双向转诊、急慢分治、上下联动的就医新秩序，为各族群众提供综合、连续、协同的基本医疗卫生服务，解决“看病难、看病贵”问题，提高全县人民群众对医疗卫生服务的获得感和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“县级医院打造重点专科（家）”，预期指标值为=1家；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“进一步完善乡镇卫生院专科建设（个）”，预期指标值为=5个。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“进一步优化各公立医疗机构信息化建设”，预期指标值为逐步优化；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“提升公立医院住院患者好转率（%）”，预期指标值＞=95%；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“采购相关设备合格率（%）”，预期指标值=100%；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“乡镇卫生院专科建设完成率（%）”，预期指标值=100%。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“项目实施时间（月）”，预期指标值=12月。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“县医院打造重点专科（万元）”，预期指标值=100万元；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“乡镇卫生院专科建设（万元）”，预期指标值=300万元。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“提高各公立医疗机构信息化建设工作”，预期指标值为有效提高；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“完善乡镇卫生院专科建设”，预期指标值为进一步完善。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④可持续影响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“居民健康水平提高”，预期指标值为逐步提高。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⑤满意度指标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“医院职工满意度（%）”，预期指标值为≥90；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“医院患者满意度（%）”，预期指标值为≥90。</w:t>
      </w:r>
    </w:p>
    <w:p w14:paraId="477E1CC5">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52D14A14">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14:paraId="22780BF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14:paraId="0CDFB483">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5521396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坚持定量优先、定量与定性相结合的方式，始终遵循科学规范、公正公开、分级分类、绩效相关的基本原则。通过对2021年中央医疗服务与保障能力提升(第三批)补助资金项目进行绩效评价，旨在了解项目资金使用和项目管理情况、取得的成绩及效益，进而分析在政策执行、预算资金安排、项目实施等方面存在的问题并提出针对性建议。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2）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0EE1D1E1">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585401D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匡春燕任评价组组长，职务为主任，绩效评价工作职责为负责全盘工作。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郭国华任评价组副组长，绩效评价工作职责为对项目实施情况进行实地调查。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阿尔曼·阿卜来提、任旭梦、张盈盈任评价组成员，绩效评价工作职责为负责资料审核等工作。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14:paraId="7382E624">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293DDD69">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2022年医疗服务与保障能力提升（医疗卫生机构能力建设）补助资金”项目绩效进行客观公正的评价，本项目总得分为100分，绩效评级属于“优”。其中，决策类指标得分20分，过程类指标得分20分，产出类指标得分40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经评价，本项目达到了年初设立的绩效目标，在实施过程中取得了良好的成效，具体表现在：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县医院已完成打造一家重点专科，乡镇卫生院已完成5个专科建设，推动了缓解阿克陶县各族群众看病难的问题，产生提高居民健康水平效益。</w:t>
      </w:r>
    </w:p>
    <w:p w14:paraId="20B4894A">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5827D577">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75F6E8D6">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关于拨付2021年中央医疗服务能力与保障能力提升（第三批）补助资金的通知》（克财社〔2021〕68号）和（陶财社〔2021〕23号）文件精神，进一步加强我县各级医疗机构信息化建设和乡镇卫生院专科建设工作，结合我县实际，制定本方案。并结合阿克陶县</w:t>
      </w:r>
      <w:bookmarkStart w:id="0" w:name="_GoBack"/>
      <w:bookmarkEnd w:id="0"/>
      <w:r>
        <w:rPr>
          <w:rStyle w:val="18"/>
          <w:rFonts w:hint="eastAsia" w:ascii="仿宋" w:hAnsi="仿宋" w:eastAsia="仿宋" w:cs="仿宋"/>
          <w:b w:val="0"/>
          <w:bCs w:val="0"/>
          <w:spacing w:val="-4"/>
          <w:sz w:val="32"/>
          <w:szCs w:val="32"/>
          <w:lang w:eastAsia="zh-CN"/>
        </w:rPr>
        <w:t>卫健委</w:t>
      </w:r>
      <w:r>
        <w:rPr>
          <w:rStyle w:val="18"/>
          <w:rFonts w:hint="eastAsia" w:ascii="仿宋" w:hAnsi="仿宋" w:eastAsia="仿宋" w:cs="仿宋"/>
          <w:b w:val="0"/>
          <w:bCs w:val="0"/>
          <w:spacing w:val="-4"/>
          <w:sz w:val="32"/>
          <w:szCs w:val="32"/>
        </w:rPr>
        <w:t>职责组织实施。围绕阿克陶县</w:t>
      </w:r>
      <w:r>
        <w:rPr>
          <w:rStyle w:val="18"/>
          <w:rFonts w:hint="eastAsia" w:ascii="仿宋" w:hAnsi="仿宋" w:eastAsia="仿宋" w:cs="仿宋"/>
          <w:b w:val="0"/>
          <w:bCs w:val="0"/>
          <w:spacing w:val="-4"/>
          <w:sz w:val="32"/>
          <w:szCs w:val="32"/>
          <w:lang w:eastAsia="zh-CN"/>
        </w:rPr>
        <w:t>卫健委</w:t>
      </w:r>
      <w:r>
        <w:rPr>
          <w:rStyle w:val="18"/>
          <w:rFonts w:hint="eastAsia" w:ascii="仿宋" w:hAnsi="仿宋" w:eastAsia="仿宋" w:cs="仿宋"/>
          <w:b w:val="0"/>
          <w:bCs w:val="0"/>
          <w:spacing w:val="-4"/>
          <w:sz w:val="32"/>
          <w:szCs w:val="32"/>
        </w:rPr>
        <w:t>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（2）立项程序规范性：根据决策依据编制工作计划和经费预算，经过与阿克陶县卫健委财经领导小组进行沟通、筛选确定经费预算计划，上局务会研究确定最终预算方案，根据评分标准，该指标不扣分，得2分。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（5）预算编制科学性：县医院牵头优化信息化建设240万元，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乡镇卫生院专科建设160万元，实际完成内容与项目内容匹配，项目投资额与工作任务相匹配，根据评分标准，该指标不扣分，得5分。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6）资金分配合理性：《关关于拨付2021年中央医疗服务能力与保障能力提升（第三批）补助资金的通知》（克财社〔2021〕68号）和（陶财社〔2021〕23号）文件精神，资金分配与实际相适应，根据评分标准，该指标不扣分，得5分。</w:t>
      </w:r>
    </w:p>
    <w:p w14:paraId="2FF7ACD1">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13325D1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（1）资金到位率：该项目总投资400万元，中央补助400万元，财政资金足额拨付到位，根据评分标准，该指标不扣分，得5分。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（2）预算执行率：本项目申请预算金额为400万元，预算批复实际下达金额为400万元,资金执行400万元，资金执行率100%。项目资金支出总体能够按照预算执行，根据评分标准，得5分。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使用合规性：根据《项目支出绩效评价管理办法》财预（2020）10号文件精神，符合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（4）管理制度健全性：该项目严格按照《阿克陶县卫健委财经资金管理办法（试行）》,对财政专项资金进行严格管理，基本做到了专款专用，根据评分标准，该指标不扣分，得2分。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14:paraId="4F787EA5">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1E2A1668">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县级医院打造重点专科(1家)，与预期目标一致，根据评分标准，该指标不扣分，得5分;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进一步完善乡镇卫生院专科建设（5个），与预期目标一致，根据评分标准，该指标不扣分，得5分。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进一步优化各公立医疗机构信息化建设，与预期目标一致，根据评分标准，该指标不扣分，得2.5分。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提升公立医院住院患者好转率100%，与预期目标一致，根据评分标准，该指标不扣分，得2.5分。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采购相关设备合格率100%,与预期目标一致，根据评分标准，该指标不扣分，得2.5分。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乡镇卫生院专科建设完成率（100%），与预期目标一致，根据评分标准，该指标不扣分，得2.5分。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项目实施时间（12月），与预期目标指标一致，根据评分标准，该指标不扣分，得10分。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该项目预期绩效目标为400万元，实际完成值400万元，与预期目标指标一致，根据评分标准，该指标不扣分，得10分。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p>
    <w:p w14:paraId="0BAB89FC">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4B3D11C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项目效益类指标包括项目效益1个方面的内容，由4个三级指标构成，权重分为20分，实际得分20分，得分率为100%。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进一步提高各公立医疗机构信息化建设工作，与预期指标一致，根据评分标准，该指标不扣分，得2.5分；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进一步完善乡镇卫生院专科建设，与预期指标一致，根据评分标准，该指标不扣分，得2.5分.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对于“可持续影响指标”：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逐步提高居民健康水平与预期指标一致，根据评分标准，该指标不扣分，得5分。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医院职工满意度100%，与预期目标一致，根据评分标准，该指标不扣分，得5分；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群众满意度100%，与预期目标一致，根据评分标准，该指标不扣分，得5分。</w:t>
      </w:r>
    </w:p>
    <w:p w14:paraId="5203A5C1">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14:paraId="5430E897">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2021年中央医疗服务与保障能力提升(第三批)补助资金项目预算400万元，到位400万元，实际支出400万元，预算执行率为100%，项目绩效指标总体完成率为100%，预算执行进度与绩效指标无偏差。</w:t>
      </w:r>
    </w:p>
    <w:p w14:paraId="57158B7C">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六、主要经验及做法、存在的问题及原因分析</w:t>
      </w:r>
    </w:p>
    <w:p w14:paraId="4EC6A44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主要经验及做法：一是本项目能够严格按照《项目实施方案》执行，项目执行情况较好。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二是加强组织领导，本项目绩效评价工作，有县政府主要领导亲自挂帅，分管县领导具体负责，从项目到资金，均能后很好的执行。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三是加强沟通协调，我单位及时向县领导汇报项目建设进度，加强与实施单位的沟通，确保项目按期完工。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14:paraId="4343F1FD">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14:paraId="2B2F59A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有关建议：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2.项目评价资料有待进一步完善。项目启动时同步做好档案的归纳与整理，及时整理、收集、汇总，健全档案资料。项目后续管理有待进一步加强和跟踪。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3.通过绩效管理，发现实施中存在漏洞，以后加强管理，及时掌握与之相关的各类信息，减少成本，使资金效益最大化。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4．评价工作应从项目实施方案源头抓起，评价工作和意识应贯穿项目整个过程。</w:t>
      </w:r>
    </w:p>
    <w:p w14:paraId="30056149">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14:paraId="67E920AF">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C4BB506-1DD4-4942-A57C-2C36F081EE1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1F936D85-0027-4A04-9156-525B8AF9C541}"/>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embedRegular r:id="rId3" w:fontKey="{D5B61AB9-0D6C-41AE-BDF4-447728E60F79}"/>
  </w:font>
  <w:font w:name="楷体">
    <w:panose1 w:val="02010609060101010101"/>
    <w:charset w:val="86"/>
    <w:family w:val="modern"/>
    <w:pitch w:val="default"/>
    <w:sig w:usb0="800002BF" w:usb1="38CF7CFA" w:usb2="00000016" w:usb3="00000000" w:csb0="00040001" w:csb1="00000000"/>
    <w:embedRegular r:id="rId4" w:fontKey="{720BF332-203D-420D-AF2E-DA2B015A50D0}"/>
  </w:font>
  <w:font w:name="方正仿宋_GBK">
    <w:panose1 w:val="02000000000000000000"/>
    <w:charset w:val="86"/>
    <w:family w:val="auto"/>
    <w:pitch w:val="default"/>
    <w:sig w:usb0="A00002BF" w:usb1="38CF7CFA" w:usb2="00082016" w:usb3="00000000" w:csb0="00040001" w:csb1="00000000"/>
    <w:embedRegular r:id="rId5" w:fontKey="{435107BF-9932-4B86-9F87-EAF882C34BFE}"/>
  </w:font>
  <w:font w:name="仿宋">
    <w:panose1 w:val="02010609060101010101"/>
    <w:charset w:val="86"/>
    <w:family w:val="modern"/>
    <w:pitch w:val="default"/>
    <w:sig w:usb0="800002BF" w:usb1="38CF7CFA" w:usb2="00000016" w:usb3="00000000" w:csb0="00040001" w:csb1="00000000"/>
    <w:embedRegular r:id="rId6" w:fontKey="{94214A62-E2F8-4602-9124-4B92A70BF0B4}"/>
  </w:font>
  <w:font w:name="方正楷体_GBK">
    <w:altName w:val="微软雅黑"/>
    <w:panose1 w:val="00000000000000000000"/>
    <w:charset w:val="86"/>
    <w:family w:val="auto"/>
    <w:pitch w:val="default"/>
    <w:sig w:usb0="00000000" w:usb1="00000000" w:usb2="00000000" w:usb3="00000000" w:csb0="00040000" w:csb1="00000000"/>
    <w:embedRegular r:id="rId7" w:fontKey="{2DFAEDAE-F3E0-4D67-8592-73EA75ABCD3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41B55EF">
        <w:pPr>
          <w:pStyle w:val="12"/>
          <w:jc w:val="center"/>
        </w:pPr>
        <w:r>
          <w:fldChar w:fldCharType="begin"/>
        </w:r>
        <w:r>
          <w:instrText xml:space="preserve">PAGE   \* MERGEFORMAT</w:instrText>
        </w:r>
        <w:r>
          <w:fldChar w:fldCharType="separate"/>
        </w:r>
        <w:r>
          <w:rPr>
            <w:lang w:val="zh-CN"/>
          </w:rPr>
          <w:t>1</w:t>
        </w:r>
        <w:r>
          <w:fldChar w:fldCharType="end"/>
        </w:r>
      </w:p>
    </w:sdtContent>
  </w:sdt>
  <w:p w14:paraId="77608B4C">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3CB1908"/>
    <w:rsid w:val="340D5924"/>
    <w:rsid w:val="43B04001"/>
    <w:rsid w:val="45687296"/>
    <w:rsid w:val="4609551D"/>
    <w:rsid w:val="4BEA114D"/>
    <w:rsid w:val="4D2606A1"/>
    <w:rsid w:val="4DD42C22"/>
    <w:rsid w:val="50796DE0"/>
    <w:rsid w:val="531974C0"/>
    <w:rsid w:val="5DA70C36"/>
    <w:rsid w:val="6CD56B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21</Pages>
  <Words>7387</Words>
  <Characters>7666</Characters>
  <Lines>5</Lines>
  <Paragraphs>1</Paragraphs>
  <TotalTime>39</TotalTime>
  <ScaleCrop>false</ScaleCrop>
  <LinksUpToDate>false</LinksUpToDate>
  <CharactersWithSpaces>7809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笑问胖砸你是sei</cp:lastModifiedBy>
  <cp:lastPrinted>2018-12-31T10:56:00Z</cp:lastPrinted>
  <dcterms:modified xsi:type="dcterms:W3CDTF">2025-05-15T09:14:36Z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eyJoZGlkIjoiZDRjOWVjNjM2YjJkZDljYWZmOWE3YmM4MDE2YWI2YmUiLCJ1c2VySWQiOiI1NDY5NjEyODMifQ==</vt:lpwstr>
  </property>
  <property fmtid="{D5CDD505-2E9C-101B-9397-08002B2CF9AE}" pid="4" name="ICV">
    <vt:lpwstr>087517CFC68642EE8716B418B9E8AA6F_12</vt:lpwstr>
  </property>
</Properties>
</file>