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171161">
      <w:pPr>
        <w:spacing w:line="570" w:lineRule="exact"/>
        <w:jc w:val="center"/>
        <w:rPr>
          <w:rFonts w:ascii="华文中宋" w:hAnsi="华文中宋" w:eastAsia="华文中宋" w:cs="宋体"/>
          <w:b/>
          <w:kern w:val="0"/>
          <w:sz w:val="52"/>
          <w:szCs w:val="52"/>
        </w:rPr>
      </w:pPr>
    </w:p>
    <w:p w14:paraId="31127C8A">
      <w:pPr>
        <w:spacing w:line="570" w:lineRule="exact"/>
        <w:jc w:val="center"/>
        <w:rPr>
          <w:rFonts w:ascii="华文中宋" w:hAnsi="华文中宋" w:eastAsia="华文中宋" w:cs="宋体"/>
          <w:b/>
          <w:kern w:val="0"/>
          <w:sz w:val="52"/>
          <w:szCs w:val="52"/>
        </w:rPr>
      </w:pPr>
    </w:p>
    <w:p w14:paraId="3A54AE70">
      <w:pPr>
        <w:spacing w:line="570" w:lineRule="exact"/>
        <w:jc w:val="center"/>
        <w:rPr>
          <w:rFonts w:ascii="华文中宋" w:hAnsi="华文中宋" w:eastAsia="华文中宋" w:cs="宋体"/>
          <w:b/>
          <w:kern w:val="0"/>
          <w:sz w:val="52"/>
          <w:szCs w:val="52"/>
        </w:rPr>
      </w:pPr>
    </w:p>
    <w:p w14:paraId="64EF1BDF">
      <w:pPr>
        <w:spacing w:line="570" w:lineRule="exact"/>
        <w:jc w:val="center"/>
        <w:rPr>
          <w:rFonts w:ascii="华文中宋" w:hAnsi="华文中宋" w:eastAsia="华文中宋" w:cs="宋体"/>
          <w:b/>
          <w:kern w:val="0"/>
          <w:sz w:val="52"/>
          <w:szCs w:val="52"/>
        </w:rPr>
      </w:pPr>
    </w:p>
    <w:p w14:paraId="69402182">
      <w:pPr>
        <w:spacing w:line="570" w:lineRule="exact"/>
        <w:jc w:val="both"/>
        <w:rPr>
          <w:rFonts w:ascii="华文中宋" w:hAnsi="华文中宋" w:eastAsia="华文中宋" w:cs="宋体"/>
          <w:b/>
          <w:kern w:val="0"/>
          <w:sz w:val="52"/>
          <w:szCs w:val="52"/>
        </w:rPr>
      </w:pPr>
    </w:p>
    <w:p w14:paraId="115BA8D9">
      <w:pPr>
        <w:spacing w:line="570" w:lineRule="exact"/>
        <w:jc w:val="center"/>
        <w:rPr>
          <w:rFonts w:ascii="华文中宋" w:hAnsi="华文中宋" w:eastAsia="华文中宋" w:cs="宋体"/>
          <w:b/>
          <w:kern w:val="0"/>
          <w:sz w:val="52"/>
          <w:szCs w:val="52"/>
        </w:rPr>
      </w:pPr>
    </w:p>
    <w:p w14:paraId="5105D839">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w:t>
      </w:r>
      <w:r>
        <w:rPr>
          <w:rFonts w:hint="eastAsia" w:ascii="方正小标宋_GBK" w:hAnsi="华文中宋" w:eastAsia="方正小标宋_GBK" w:cs="宋体"/>
          <w:b/>
          <w:kern w:val="0"/>
          <w:sz w:val="44"/>
          <w:szCs w:val="44"/>
          <w:lang w:val="en-US" w:eastAsia="zh-CN"/>
        </w:rPr>
        <w:t>克州</w:t>
      </w:r>
      <w:r>
        <w:rPr>
          <w:rFonts w:hint="eastAsia" w:ascii="方正小标宋_GBK" w:hAnsi="华文中宋" w:eastAsia="方正小标宋_GBK" w:cs="宋体"/>
          <w:b/>
          <w:kern w:val="0"/>
          <w:sz w:val="44"/>
          <w:szCs w:val="44"/>
        </w:rPr>
        <w:t>财政项目支出绩效自评报告</w:t>
      </w:r>
    </w:p>
    <w:p w14:paraId="4E6EF901">
      <w:pPr>
        <w:spacing w:line="570" w:lineRule="exact"/>
        <w:jc w:val="center"/>
        <w:rPr>
          <w:rFonts w:ascii="华文中宋" w:hAnsi="华文中宋" w:eastAsia="华文中宋" w:cs="宋体"/>
          <w:b/>
          <w:kern w:val="0"/>
          <w:sz w:val="52"/>
          <w:szCs w:val="52"/>
        </w:rPr>
      </w:pPr>
    </w:p>
    <w:p w14:paraId="09FB195C">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2022</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14:paraId="281BAE8F">
      <w:pPr>
        <w:spacing w:line="570" w:lineRule="exact"/>
        <w:jc w:val="center"/>
        <w:rPr>
          <w:rFonts w:hAnsi="宋体" w:eastAsia="仿宋_GB2312" w:cs="宋体"/>
          <w:kern w:val="0"/>
          <w:sz w:val="30"/>
          <w:szCs w:val="30"/>
        </w:rPr>
      </w:pPr>
    </w:p>
    <w:p w14:paraId="5B5F9804">
      <w:pPr>
        <w:spacing w:line="570" w:lineRule="exact"/>
        <w:jc w:val="center"/>
        <w:rPr>
          <w:rFonts w:hAnsi="宋体" w:eastAsia="仿宋_GB2312" w:cs="宋体"/>
          <w:kern w:val="0"/>
          <w:sz w:val="30"/>
          <w:szCs w:val="30"/>
        </w:rPr>
      </w:pPr>
    </w:p>
    <w:p w14:paraId="5168AE29">
      <w:pPr>
        <w:spacing w:line="570" w:lineRule="exact"/>
        <w:jc w:val="center"/>
        <w:rPr>
          <w:rFonts w:hAnsi="宋体" w:eastAsia="仿宋_GB2312" w:cs="宋体"/>
          <w:kern w:val="0"/>
          <w:sz w:val="30"/>
          <w:szCs w:val="30"/>
        </w:rPr>
      </w:pPr>
    </w:p>
    <w:p w14:paraId="60B48EC1">
      <w:pPr>
        <w:spacing w:line="570" w:lineRule="exact"/>
        <w:jc w:val="center"/>
        <w:rPr>
          <w:rFonts w:hAnsi="宋体" w:eastAsia="仿宋_GB2312" w:cs="宋体"/>
          <w:kern w:val="0"/>
          <w:sz w:val="30"/>
          <w:szCs w:val="30"/>
        </w:rPr>
      </w:pPr>
    </w:p>
    <w:p w14:paraId="545DF9E2">
      <w:pPr>
        <w:spacing w:line="570" w:lineRule="exact"/>
        <w:jc w:val="center"/>
        <w:rPr>
          <w:rFonts w:hAnsi="宋体" w:eastAsia="仿宋_GB2312" w:cs="宋体"/>
          <w:kern w:val="0"/>
          <w:sz w:val="30"/>
          <w:szCs w:val="30"/>
        </w:rPr>
      </w:pPr>
    </w:p>
    <w:p w14:paraId="4B05C899">
      <w:pPr>
        <w:spacing w:line="570" w:lineRule="exact"/>
        <w:jc w:val="center"/>
        <w:rPr>
          <w:rFonts w:hAnsi="宋体" w:eastAsia="仿宋_GB2312" w:cs="宋体"/>
          <w:kern w:val="0"/>
          <w:sz w:val="30"/>
          <w:szCs w:val="30"/>
        </w:rPr>
      </w:pPr>
    </w:p>
    <w:p w14:paraId="3E2CD3FF">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2022年中央医疗服务与保障能力提升补助项目-卫生机构能力建设</w:t>
      </w:r>
    </w:p>
    <w:p w14:paraId="6266677A">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卫生健康委员会</w:t>
      </w:r>
    </w:p>
    <w:p w14:paraId="3C47BB35">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卫生健康委员会</w:t>
      </w:r>
    </w:p>
    <w:p w14:paraId="13DBD185">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阿尔曼·阿卜来提</w:t>
      </w:r>
    </w:p>
    <w:p w14:paraId="0FA93DEC">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2023年04月13日</w:t>
      </w:r>
    </w:p>
    <w:p w14:paraId="55B197AA">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14:paraId="3BF2780C">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14:paraId="386B5E17">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14:paraId="34F36250">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（一）项目概况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与规定，旨在评价2022年医疗服务与保障能力提升（医疗卫生机构能力建设）补助资金项目项目实施前期、过程及效果，评价财政预算资金使用的效率及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根据自治州相关工作要求，健全各级公立医院信息化建设，乡镇卫生院专科建设，围绕公立医院章程的落实加强医院全面预算管理、用药规范管理、医疗服务精细化管理、绩效管理、信息化管理等，结合公立医院发展实际进行信息化建设、人才培训，专科建设等，确保公立医院稳步健康发展，逐步提高医疗卫生服务和保障能力。</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（1）主要内容</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按照《关于提前下达2022年中央医疗服务与保障能力提升（医疗卫生机构能力建设）补助资金预算的通知》（克财社【2021】91号）文件精神，下达我县2022年中央医疗服务与保障能力提升（医疗卫生机构能力建设）补助资金预算项目，资金400万元。由中央财政承担，主要用于开展我县乡镇卫生院专科建设，信息化建设升级和优化改造，改善医疗卫生基础设施条件和服务能力，缓解医疗卫生资源不足的矛盾，结合我县实际推行多种形式的分级诊疗模式，促进基层首诊、双向转诊、急慢分治、上下联动的就医新秩序，为各族群众提供综合、连续、协同的基本医疗卫生服务，解决“看病难、看病贵”问题，提高全县人民群众对医疗卫生服务的获得感和满意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通过该项目的实施，健全各级公立医院信息化建设，乡镇卫生院专科建设，围绕公立医院章程的落实加强医院全面预算管理、用药规范管理、医疗服务精细化管理、绩效管理、信息化管理等，结合公立医院发展实际进行信息化建设、人才培训，专科建设等，确保公立医院稳步健康发展，逐步提高医疗卫生服务和保障能力。</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该项目由县人民医院和各乡镇卫生院实施，县人民医院完善医疗机构的信息化建设，各乡镇卫生院进一步完善乡镇卫生院专科建设4个。</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根据《关于提前下达2021年中央医疗服务与保障能力提升（医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疗卫生机构能力建设）补助资金预算的通知》（新财社【2021】304号）文本年度安排下达资金400万元。其中中央补助400万元。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截至2023年3月30日，实际支出328.98万元，预算执行率82.24%。</w:t>
      </w:r>
    </w:p>
    <w:p w14:paraId="5CEA32EF">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14:paraId="1EB3823B">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项目绩效目标包括项目绩效总目标和阶段性目标。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持续开展我县乡镇卫生院专科建设，信息化建设升级和优化改造，改善医疗卫生基础设施条件和服务能力，缓解医疗卫生资源不足的矛盾，结合我县实际推行多种形式的分级诊疗模式，促进基层首诊、双向转诊、急慢分治、上下联动的就医新秩序，为各族群众提供综合、连续、协同的基本医疗卫生服务，解决“看病难、看病贵”问题，提高全县人民群众对医疗卫生服务的获得感和满意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（1）项目产出目标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①数量指标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“县级医院牵头完善各公立医疗机构（个）”，预期指标值为=1个；</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“进一步完善乡镇卫生院专科建设（个）”，预期指标值为=4个。</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②质量指标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“进一步逐步优化各公立医疗机构信息化建设”，预期指标值为逐步优化。</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“乡镇卫生院专科建设完成率（%）”，预期指标值=100%。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③时效指标：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“项目实施时间（月）”，预期指标值=12月。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④成本指标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“县医院牵头优化信息化建设（万元）”，预期指标值=240万元；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“乡镇卫生院专科建设（万元）”，预期指标值=160万元。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（2）项目效益目标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①经济效益指标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②社会效益指标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“提高各公立医疗机构信息化建设工作”，预期指标值为有效提高；</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“完善乡镇卫生院专科建设”，预期指标值为进一步完善。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③生态效益指标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④可持续影响</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“居民健康水平提高”，预期指标值为逐步提高；</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“缓解阿克陶县各族群众看病难的问题”，预期指标值为较上年降低。</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⑤满意度指标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“医院职工满意度（%）”，预期指标值为≥90；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“医院患者满意度（%）”，预期指标值为≥90。</w:t>
      </w:r>
    </w:p>
    <w:p w14:paraId="446F1262">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14:paraId="2210B525">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（一）绩效评价目的、对象和范围。</w:t>
      </w:r>
    </w:p>
    <w:p w14:paraId="3348A20C">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（一）绩效评价目的、对象和范围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本次评价范围涵盖项目总体绩效目标、各项绩效指标完成情况以及预算执行情况。覆盖项目预算资金支出的所有内容进行评价。包括项目决策、项目实施和项目成果验收流程等。</w:t>
      </w:r>
    </w:p>
    <w:p w14:paraId="4A551A4C">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14:paraId="39006911">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评价坚持定量优先、定量与定性相结合的方式，始终遵循科学规范、公正公开、分级分类、绩效相关的基本原则。通过对2022年医疗服务与保障能力提升（医疗卫生机构能力建设）补助资金项目资金进行绩效评价，旨在了解项目资金使用和项目管理情况、取得的成绩及效益，进而分析在政策执行、预算资金安排、项目实施等方面存在的问题并提出针对性建议。本次绩效评价遵循的原则包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一级指标为：决策、过程、产出、效益。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二级指标为：项目立项、绩效目标、资金投入、资金管理、组织实施、产出数量、产出质量、产出时效、产出成本、项目效益。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本次绩效评价方法的选用坚持简便有效的原则采用成本效益分析法、比较法、综合指数评价法、公众评判法等多种方法，具体评价方法如下：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（1）成本效益分析法，是指将一定时期内总成本与总效益进行对比分析，以评价绩效目标实现程度。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2）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（3）综合指数评价法，是指把各项绩效指标的实际水平，对照评价标准值，分别计算各项指标评价得分，再按照设定的各项指标权数计算出综合评价得分，分析评价绩效目标实现情况的评价方法。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14:paraId="09E2F677">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14:paraId="58D0EDEF">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本次评价成立了评价工作组，成员如下：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本次评价设计了评价方案、评价指标体系，通过资料分析、调研、访谈满意度调查等方式形成评价结论，在与项目单位沟通后确定评价意见，并出具评价报告。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第一阶段：前期准备。认真学习相关要求与规定，成立绩效评价工作组，作为绩效评价工作具体实施机构。成员构成如下：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匡春燕任评价组组长，职务为主任，绩效评价工作职责为负责全盘工作。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郭国华任评价组副组长，绩效评价工作职责为对项目实施情况进行实地调查。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阿尔曼·阿卜来提、任旭梦、张盈盈任评价组成员，绩效评价工作职责为负责资料审核等工作。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第二阶段：组织实施。经评价组通过实地调研等方式，采用综合分析法对项目的决策、管理、绩效进行的综合评价分析。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第三阶段：分析评价。首先按照指标体系进行定量、定性分析。其次开展量化打分、综合评价工作，形成初步评价结论。最后归纳整体项目情况与存在问题，撰写部门绩效评价报告。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第四阶段：撰写与提交评价报告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项目撰写绩效评价报告，按照财政局大平台绩效系统中统一格式和文本框架撰写绩效评价报告。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第五阶段：归集档案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建立和落实档案管理制度，将项目相关资料存档，包括但不限于：评价项目基本情况和相关文件、评价实施方案、项目支付资料等相关档案。</w:t>
      </w:r>
    </w:p>
    <w:p w14:paraId="79A80B7C">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14:paraId="6D98107E">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（一）综合评价情况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评价组对照项目绩效评价指标体系，从决策、过程、产出和效益四个维度，通过数据采集、实地调研和问卷访谈等方式，对“2022年医疗服务与保障能力提升（医疗卫生机构能力建设）补助资金”项目绩效进行客观公正的评价，本项目总得分为97.33分，绩效评级属于“优”。其中，决策类指标得分20分，过程类指标得分19.11分，产出类指标得分38.22分，效益类指标得分20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经评价，本项目达到了年初设立的绩效目标，在实施过程中取得了良好的成效，具体表现在：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县级医院牵头已完成一个公立医疗机构信息化建设，乡镇卫生院已完成4个专科建设，推动了缓解阿克陶县各族群众看病难的问题，产生提高居民健康水平效益。</w:t>
      </w:r>
    </w:p>
    <w:p w14:paraId="11BF989A">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14:paraId="40E95C4F">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14:paraId="79751842">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项目决策类指标包括项目立项、绩效目标和资金投入三方面的内容，由6个三级指标构成，权重分为 20 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（1）立项依据充分性：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关于提前下达2021年中央医疗服务与保障能力提升（医疗卫生机构能力建设）补助资金预算的通知》（新财社【2021】304号）文件，以及《关于提前下达2021年中央医疗服务与保障能力提升（公立医院综合改革）补助资金预算的通知》（克财社【2021】91号）文件精神，</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进一步加强我县各级医疗机构信息化建设和乡镇卫生院专科建设工作，结合我县实际，制定本方案。并结合阿克陶县卫健委职责组织实施。围绕阿克陶县卫健委年度工作重点和工作计划制定经费预算，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（2）立项程序规范性：根据决策依据编制工作计划和经费预算，经过与阿克陶县卫健委财经领导小组进行沟通、筛选确定经费预算计划，上局务会研究确定最终预算方案，根据评分标准，该指标不扣分，得2分。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（3）绩效目标合理性：制定了实施方案，明确了总体思路及目标、并对任务进行了详细分解，对目标进行了细化，根据评分标准，该指标不扣分，得3分。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（4）绩效指标明确性：将项目绩效目标细化分解为具体的绩效指标，根据评分标准，该指标不扣分，得2分。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（5）预算编制科学性：县医院牵头优化信息化建设240万元，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乡镇卫生院专科建设160万元，实际完成内容与项目内容匹配，项目投资额与工作任务相匹配，根据评分标准，该指标不扣分，得5分。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6）资金分配合理性：资金分配按照《关于提前下达2021年中央医疗服务与保障能力提升（医疗卫生机构能力建设）补助资金预算的通知》（新财社【2021】304号）文件，以及《关于提前下达2021年中央医疗服务与保障能力提升（公立医院综合改革）补助资金预算的通知》（克财社【2021】91号）文件精神，资金分配与实际相适应，根据评分标准，该指标不扣分，得5分。</w:t>
      </w:r>
    </w:p>
    <w:p w14:paraId="7A5485AF">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14:paraId="2E1466DF">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项目过程类指标包括资金管理和组织实施两方面的内容，由 5个三级指标构成，权重分为20分，实际得分19.11分，得分率为95.6%。</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（1）资金到位率：该项目总投资400万元，中央补助400万元，财政资金足额拨付到位，根据评分标准，该指标不扣分，得5分。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（2）预算执行率：本项目申请预算金额为400万元，预算批复实际下达金额为400万元截至 2022年 12 月 31日，资金执行328.98万元，资金执行率82.24%。项目资金支出总体能够按照预算执行，根据评分标准，得4.11分。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资金使用合规性：根据《项目支出绩效评价管理办法》财预（2020）10号文件精神，符合预算批复规定用途，不存在截留、挤占、挪用、虚列支出等情况，未发现违规使用情况，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（4）管理制度健全性：该项目严格按照《阿克陶县卫健委财经资金管理办法（试行）》,对财政专项资金进行严格管理，基本做到了专款专用，根据评分标准，该指标不扣分，得2分。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14:paraId="400C4BF6">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14:paraId="65BC0801">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w:t>
      </w:r>
      <w:bookmarkStart w:id="0" w:name="_GoBack"/>
      <w:bookmarkEnd w:id="0"/>
      <w:r>
        <w:rPr>
          <w:rStyle w:val="18"/>
          <w:rFonts w:hint="eastAsia" w:ascii="仿宋" w:hAnsi="仿宋" w:eastAsia="仿宋" w:cs="仿宋"/>
          <w:b w:val="0"/>
          <w:bCs w:val="0"/>
          <w:spacing w:val="-4"/>
          <w:sz w:val="32"/>
          <w:szCs w:val="32"/>
        </w:rPr>
        <w:t>0分，实际得分38.22分，得分率为95.55%。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县级医院牵头完善各公立医疗机构是数量1个，与预期目标一致，根据评分标准，该指标不扣分，得3分;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进一步完善乡镇卫生院专科建设（4个），与预期目标一致，根据评分标准，该指标不扣分，得4分;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全县服务人口数230746人,与预期目标一致，根据评分标准，该指标不扣分，得4分。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进一步逐步优化各公立医疗机构信息化建设，与预期目标一致，根据评分标准，该指标不扣分，得5分。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乡镇卫生院专科建设完成率（100%），与预期目标一致，根据评分标准，该指标不扣分，得5分。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项目实施时间（12月），与预期目标指标一致，根据评分标准，该指标不扣分，得10分。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（4）对于“产出成本”：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该项目预期绩效目标为400万元，实际完成值为328.98万元，偏差率为17.76%，采取措施：剩余资金71.02万元，采取措施：我县医疗机构已完成前期计划采购物资，正在履行相关手续，手续齐全后进项支付，根据评分标准，该指标扣1.78分，得8.22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合计得8.22分。</w:t>
      </w:r>
    </w:p>
    <w:p w14:paraId="47A65281">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14:paraId="30819797">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项目效益类指标包括项目效益1个方面的内容，由4个三级指标构成，权重分为20分，实际得分20分，得分率为100%。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（1）实施效益指标：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进一步提高各公立医疗机构信息化建设工作，与预期指标一致，根据评分标准，该指标不扣分，得5分。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对于“可持续影响指标”：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逐步提高居民健康水平与预期指标一致，根据评分标准，该指标不扣分，得5分。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对于“经济效益指标”：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本项目无该指标。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对于“生态效益指标”：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本项目无该指标。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实施效益指标合计得10分。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对于满意度指标：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医院职工满意度95%，与预期目标一致，根据评分标准，该指标不扣分，得5分；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群众满意度95%，与预期目标一致，根据评分标准，该指标不扣分，得5分。</w:t>
      </w:r>
    </w:p>
    <w:p w14:paraId="0EFAB211">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14:paraId="031D2543">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2022年医疗服务与保障能力提升（医疗卫生机构能力建设）补助资金项目预算400万元，到位400万元，实际支出328.98万元，预算执行率为82.24%，项目绩效指标总体完成率为82.24%，偏差率为17.76%，采取的措施:剩余资金71.02万元，我县医疗机构已完成前期计划采购物资，正在履行相关手续，手续齐全后进项支付.</w:t>
      </w:r>
    </w:p>
    <w:p w14:paraId="77959D23">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六、主要经验及做法、存在的问题及原因分析</w:t>
      </w:r>
    </w:p>
    <w:p w14:paraId="7252ED00">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主要经验及做法：一是本项目能够严格按照《项目实施方案》执行，项目执行情况较好。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二是加强组织领导，本项目绩效评价工作，有县政府主要领导亲自挂帅，分管县领导具体负责，从项目到资金，均能后很好的执行。</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三是加强沟通协调，我单位及时向县领导汇报项目建设进度，加强与实施单位的沟通，确保项目按期完工。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14:paraId="1247683C">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14:paraId="09AABD01">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有关建议：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1.项目建设的程序进一步规范。项目前期做好工作计划，细化实施方案，严格执行资金管理办法和财政资金管理制度，严格按照项目工作计划及实施方案稳步推进工作，单位根据自己项目的特点进行总结。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2.项目评价资料有待进一步完善。项目启动时同步做好档案的归纳与整理，及时整理、收集、汇总，健全档案资料。项目后续管理有待进一步加强和跟踪。</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3.通过绩效管理，发现实施中存在漏洞，以后加强管理，及时掌握与之相关的各类信息，减少成本，使资金效益最大化。</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4．评价工作应从项目实施方案源头抓起，评价工作和意识应贯穿项目整个过程。</w:t>
      </w:r>
    </w:p>
    <w:p w14:paraId="11569CCD">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14:paraId="350E5DCE">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F294108-57D2-4607-9F68-F6CBD479C061}"/>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D3BDAE98-DD33-415E-A60A-AD78AA84F5FA}"/>
  </w:font>
  <w:font w:name="Cambria">
    <w:panose1 w:val="02040503050406030204"/>
    <w:charset w:val="00"/>
    <w:family w:val="roman"/>
    <w:pitch w:val="default"/>
    <w:sig w:usb0="E00002FF" w:usb1="400004FF"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86"/>
    <w:family w:val="modern"/>
    <w:pitch w:val="default"/>
    <w:sig w:usb0="00000000" w:usb1="00000000" w:usb2="00000000" w:usb3="00000000" w:csb0="00040000" w:csb1="00000000"/>
    <w:embedRegular r:id="rId3" w:fontKey="{2EC7370F-030A-438A-90D3-C8471307F09B}"/>
  </w:font>
  <w:font w:name="仿宋">
    <w:panose1 w:val="02010609060101010101"/>
    <w:charset w:val="86"/>
    <w:family w:val="modern"/>
    <w:pitch w:val="default"/>
    <w:sig w:usb0="800002BF" w:usb1="38CF7CFA" w:usb2="00000016" w:usb3="00000000" w:csb0="00040001" w:csb1="00000000"/>
    <w:embedRegular r:id="rId4" w:fontKey="{BC3FE90D-693A-48F1-B7D6-0473431A114E}"/>
  </w:font>
  <w:font w:name="楷体">
    <w:panose1 w:val="02010609060101010101"/>
    <w:charset w:val="86"/>
    <w:family w:val="modern"/>
    <w:pitch w:val="default"/>
    <w:sig w:usb0="800002BF" w:usb1="38CF7CFA" w:usb2="00000016" w:usb3="00000000" w:csb0="00040001" w:csb1="00000000"/>
    <w:embedRegular r:id="rId5" w:fontKey="{D8F0A4D3-BF56-46DD-B253-78A2EFC82924}"/>
  </w:font>
  <w:font w:name="方正仿宋_GBK">
    <w:panose1 w:val="02000000000000000000"/>
    <w:charset w:val="86"/>
    <w:family w:val="auto"/>
    <w:pitch w:val="default"/>
    <w:sig w:usb0="A00002BF" w:usb1="38CF7CFA" w:usb2="00082016" w:usb3="00000000" w:csb0="00040001" w:csb1="00000000"/>
    <w:embedRegular r:id="rId6" w:fontKey="{754747F2-517E-4414-B210-35630D3681A0}"/>
  </w:font>
  <w:font w:name="方正楷体_GBK">
    <w:altName w:val="微软雅黑"/>
    <w:panose1 w:val="00000000000000000000"/>
    <w:charset w:val="86"/>
    <w:family w:val="auto"/>
    <w:pitch w:val="default"/>
    <w:sig w:usb0="00000000" w:usb1="00000000" w:usb2="00000000" w:usb3="00000000" w:csb0="00040000" w:csb1="00000000"/>
    <w:embedRegular r:id="rId7" w:fontKey="{1696809D-7731-4431-BCB1-D954581D7C0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5F6736FD">
        <w:pPr>
          <w:pStyle w:val="12"/>
          <w:jc w:val="center"/>
        </w:pPr>
        <w:r>
          <w:fldChar w:fldCharType="begin"/>
        </w:r>
        <w:r>
          <w:instrText xml:space="preserve">PAGE   \* MERGEFORMAT</w:instrText>
        </w:r>
        <w:r>
          <w:fldChar w:fldCharType="separate"/>
        </w:r>
        <w:r>
          <w:rPr>
            <w:lang w:val="zh-CN"/>
          </w:rPr>
          <w:t>1</w:t>
        </w:r>
        <w:r>
          <w:fldChar w:fldCharType="end"/>
        </w:r>
      </w:p>
    </w:sdtContent>
  </w:sdt>
  <w:p w14:paraId="07D14B20">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17F5A1B"/>
    <w:rsid w:val="43B04001"/>
    <w:rsid w:val="45687296"/>
    <w:rsid w:val="4609551D"/>
    <w:rsid w:val="4D2606A1"/>
    <w:rsid w:val="4DD42C22"/>
    <w:rsid w:val="50796DE0"/>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22</Pages>
  <Words>7724</Words>
  <Characters>8060</Characters>
  <Lines>5</Lines>
  <Paragraphs>1</Paragraphs>
  <TotalTime>10</TotalTime>
  <ScaleCrop>false</ScaleCrop>
  <LinksUpToDate>false</LinksUpToDate>
  <CharactersWithSpaces>8208</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笑问胖砸你是sei</cp:lastModifiedBy>
  <cp:lastPrinted>2018-12-31T10:56:00Z</cp:lastPrinted>
  <dcterms:modified xsi:type="dcterms:W3CDTF">2025-05-15T09:08:47Z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eyJoZGlkIjoiZDRjOWVjNjM2YjJkZDljYWZmOWE3YmM4MDE2YWI2YmUiLCJ1c2VySWQiOiI1NDY5NjEyODMifQ==</vt:lpwstr>
  </property>
  <property fmtid="{D5CDD505-2E9C-101B-9397-08002B2CF9AE}" pid="4" name="ICV">
    <vt:lpwstr>1434B58EA5E54E04A3116431144308A6_12</vt:lpwstr>
  </property>
</Properties>
</file>