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EAD9DE">
      <w:pPr>
        <w:spacing w:line="570" w:lineRule="exact"/>
        <w:jc w:val="center"/>
        <w:rPr>
          <w:rFonts w:ascii="华文中宋" w:hAnsi="华文中宋" w:eastAsia="华文中宋" w:cs="宋体"/>
          <w:b/>
          <w:kern w:val="0"/>
          <w:sz w:val="52"/>
          <w:szCs w:val="52"/>
        </w:rPr>
      </w:pPr>
    </w:p>
    <w:p w14:paraId="02EB23C0">
      <w:pPr>
        <w:spacing w:line="570" w:lineRule="exact"/>
        <w:jc w:val="center"/>
        <w:rPr>
          <w:rFonts w:ascii="华文中宋" w:hAnsi="华文中宋" w:eastAsia="华文中宋" w:cs="宋体"/>
          <w:b/>
          <w:kern w:val="0"/>
          <w:sz w:val="52"/>
          <w:szCs w:val="52"/>
        </w:rPr>
      </w:pPr>
    </w:p>
    <w:p w14:paraId="5A227B71">
      <w:pPr>
        <w:spacing w:line="570" w:lineRule="exact"/>
        <w:jc w:val="center"/>
        <w:rPr>
          <w:rFonts w:ascii="华文中宋" w:hAnsi="华文中宋" w:eastAsia="华文中宋" w:cs="宋体"/>
          <w:b/>
          <w:kern w:val="0"/>
          <w:sz w:val="52"/>
          <w:szCs w:val="52"/>
        </w:rPr>
      </w:pPr>
    </w:p>
    <w:p w14:paraId="646DDE33">
      <w:pPr>
        <w:spacing w:line="570" w:lineRule="exact"/>
        <w:jc w:val="center"/>
        <w:rPr>
          <w:rFonts w:ascii="华文中宋" w:hAnsi="华文中宋" w:eastAsia="华文中宋" w:cs="宋体"/>
          <w:b/>
          <w:kern w:val="0"/>
          <w:sz w:val="52"/>
          <w:szCs w:val="52"/>
        </w:rPr>
      </w:pPr>
    </w:p>
    <w:p w14:paraId="29CEAE75">
      <w:pPr>
        <w:spacing w:line="570" w:lineRule="exact"/>
        <w:jc w:val="both"/>
        <w:rPr>
          <w:rFonts w:ascii="华文中宋" w:hAnsi="华文中宋" w:eastAsia="华文中宋" w:cs="宋体"/>
          <w:b/>
          <w:kern w:val="0"/>
          <w:sz w:val="52"/>
          <w:szCs w:val="52"/>
        </w:rPr>
      </w:pPr>
    </w:p>
    <w:p w14:paraId="269FD44E">
      <w:pPr>
        <w:spacing w:line="570" w:lineRule="exact"/>
        <w:jc w:val="center"/>
        <w:rPr>
          <w:rFonts w:ascii="华文中宋" w:hAnsi="华文中宋" w:eastAsia="华文中宋" w:cs="宋体"/>
          <w:b/>
          <w:kern w:val="0"/>
          <w:sz w:val="52"/>
          <w:szCs w:val="52"/>
        </w:rPr>
      </w:pPr>
    </w:p>
    <w:p w14:paraId="4F045818">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w:t>
      </w:r>
      <w:r>
        <w:rPr>
          <w:rFonts w:hint="eastAsia" w:ascii="方正小标宋_GBK" w:hAnsi="华文中宋" w:eastAsia="方正小标宋_GBK" w:cs="宋体"/>
          <w:b/>
          <w:kern w:val="0"/>
          <w:sz w:val="44"/>
          <w:szCs w:val="44"/>
          <w:lang w:val="en-US" w:eastAsia="zh-CN"/>
        </w:rPr>
        <w:t>克州</w:t>
      </w:r>
      <w:r>
        <w:rPr>
          <w:rFonts w:hint="eastAsia" w:ascii="方正小标宋_GBK" w:hAnsi="华文中宋" w:eastAsia="方正小标宋_GBK" w:cs="宋体"/>
          <w:b/>
          <w:kern w:val="0"/>
          <w:sz w:val="44"/>
          <w:szCs w:val="44"/>
        </w:rPr>
        <w:t>财政项目支出绩效自评报告</w:t>
      </w:r>
    </w:p>
    <w:p w14:paraId="4E0D0E21">
      <w:pPr>
        <w:spacing w:line="570" w:lineRule="exact"/>
        <w:jc w:val="center"/>
        <w:rPr>
          <w:rFonts w:ascii="华文中宋" w:hAnsi="华文中宋" w:eastAsia="华文中宋" w:cs="宋体"/>
          <w:b/>
          <w:kern w:val="0"/>
          <w:sz w:val="52"/>
          <w:szCs w:val="52"/>
        </w:rPr>
      </w:pPr>
    </w:p>
    <w:p w14:paraId="35991C35">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2D3856C2">
      <w:pPr>
        <w:spacing w:line="570" w:lineRule="exact"/>
        <w:jc w:val="center"/>
        <w:rPr>
          <w:rFonts w:hAnsi="宋体" w:eastAsia="仿宋_GB2312" w:cs="宋体"/>
          <w:kern w:val="0"/>
          <w:sz w:val="30"/>
          <w:szCs w:val="30"/>
        </w:rPr>
      </w:pPr>
    </w:p>
    <w:p w14:paraId="7DF0D7A1">
      <w:pPr>
        <w:spacing w:line="570" w:lineRule="exact"/>
        <w:jc w:val="center"/>
        <w:rPr>
          <w:rFonts w:hAnsi="宋体" w:eastAsia="仿宋_GB2312" w:cs="宋体"/>
          <w:kern w:val="0"/>
          <w:sz w:val="30"/>
          <w:szCs w:val="30"/>
        </w:rPr>
      </w:pPr>
    </w:p>
    <w:p w14:paraId="558D0436">
      <w:pPr>
        <w:spacing w:line="570" w:lineRule="exact"/>
        <w:jc w:val="center"/>
        <w:rPr>
          <w:rFonts w:hAnsi="宋体" w:eastAsia="仿宋_GB2312" w:cs="宋体"/>
          <w:kern w:val="0"/>
          <w:sz w:val="30"/>
          <w:szCs w:val="30"/>
        </w:rPr>
      </w:pPr>
    </w:p>
    <w:p w14:paraId="1F37F813">
      <w:pPr>
        <w:spacing w:line="570" w:lineRule="exact"/>
        <w:jc w:val="center"/>
        <w:rPr>
          <w:rFonts w:hAnsi="宋体" w:eastAsia="仿宋_GB2312" w:cs="宋体"/>
          <w:kern w:val="0"/>
          <w:sz w:val="30"/>
          <w:szCs w:val="30"/>
        </w:rPr>
      </w:pPr>
    </w:p>
    <w:p w14:paraId="76536906">
      <w:pPr>
        <w:spacing w:line="570" w:lineRule="exact"/>
        <w:jc w:val="center"/>
        <w:rPr>
          <w:rFonts w:hAnsi="宋体" w:eastAsia="仿宋_GB2312" w:cs="宋体"/>
          <w:kern w:val="0"/>
          <w:sz w:val="30"/>
          <w:szCs w:val="30"/>
        </w:rPr>
      </w:pPr>
    </w:p>
    <w:p w14:paraId="2A3DD779">
      <w:pPr>
        <w:spacing w:line="570" w:lineRule="exact"/>
        <w:jc w:val="center"/>
        <w:rPr>
          <w:rFonts w:hAnsi="宋体" w:eastAsia="仿宋_GB2312" w:cs="宋体"/>
          <w:kern w:val="0"/>
          <w:sz w:val="30"/>
          <w:szCs w:val="30"/>
        </w:rPr>
      </w:pPr>
    </w:p>
    <w:p w14:paraId="381562C3">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2022年中央重大传染病防控经费项目</w:t>
      </w:r>
    </w:p>
    <w:p w14:paraId="14F1CFBC">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卫生健康委员会</w:t>
      </w:r>
    </w:p>
    <w:p w14:paraId="4FE39B08">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卫生健康委员会</w:t>
      </w:r>
    </w:p>
    <w:p w14:paraId="48FDF59C">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居马洪·奥布力</w:t>
      </w:r>
    </w:p>
    <w:p w14:paraId="484EA2F9">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2023年04月12日</w:t>
      </w:r>
    </w:p>
    <w:p w14:paraId="5C499C8C">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6191818A">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494DB293">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3691E44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遵循财政部《项目支出绩效评价管理办法》（财预〔2020〕10号）和自治区财政厅《自治区财政支出绩效评价管理暂行办法》（新财预〔2018〕189号）等相关政策文件与规定，旨在评价2022年中央重大传染病防控经费项目实施前期、过程及效果，评价财政预算资金使用的效率及效益。根据中央重大传染病防控要求，通过实施重大传染病防控项目，切实提升疾控专业技术骨干人才现场流行病学调查处置、信息技术等专业技术能力，提高实验室检测能力，从而遏制重大传染病发病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主要用于艾滋病防治项目21.6万元、结核病防治项目44.5万元、免疫规划42万元、血吸虫和包虫病项目28.5万元、慢性病综合防治项目16万元、严重精神障碍4.5万元。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开展传染病健康教育宣传，发放宣传资料，提升群众防病意识。对基层医疗机构工作人员开展业务培训10次，不断提高工作人员业务能力，对重点人群开展B超筛查2000人、犬驱虫12647条、艾滋病咨询、检测1800人、艾滋病感染孕产妇所产生儿童随访2人，切实保障人民群众身体健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该项目由县疾控中心实施，内设7个科室，分别是办公室、结防科、性艾科、公卫科、地方病科、计免科、检验科。主要职能是开展各类传染病监测和防控工作。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编制人数32人，其中：行政人员编制0人、工勤2人、事业编制30人。实有在职人数32人，其中：行政在职0人、工勤2人、事业在职30人。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2022年度重大传染病防控经费总额为157.1万元，其中中央材质拨款157.1万元，截至2022年12月31日，实际支出20.6万元，预算执行率8.06%</w:t>
      </w:r>
    </w:p>
    <w:p w14:paraId="73662E50">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448A3C19">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一是继续为0-6岁适龄儿童常规接种。二是减少艾滋病新发感染，降低艾滋病病死亡率，艾滋病疫情继续控制在低流行水平，进一步减少结核病感染、患病和死亡，切实降低结扶病疾病负担，控制包虫病等重点寄生虫病的流行，提高人民群众健康水平。三是推广癌症、心脑血管疾病、慢性呼吸系统疾病，等重点慢性病早期筛查和干预适宜技术，健全完善慢性病及其危险因素险监测网络，以慢性病综合防控示范区和全民健康生活方式行动为抓手，加强慢性病防控能力建设，加强严重精神障碍患者筛查，登记报告和随访服务，开展社会心理服务体系建设试点，开展农村的贫困癫痫患者筛查登记和随访管理，提高患者治疗率。四是分别完成以新冠肺炎为主的病毒性传染病监测、基于致病菌识别网的细菌性传染病监测。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印刷宣传单285000份指标，预期指标值285000份；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印刷宣传品8000份指标，预期指标值8000份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开展业务培训14次指标，预期指标值14次；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发放疑似肺结核患者报病费及追踪费4次指标，预期指标值4次；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高危行为干预每月1次共12次指标，预期指标值12次；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疫苗针对传染病监测率100%指标，预期指标值100%；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冷链运转（次）12次指标，预期指标值12次；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新冠肺炎核酸</w:t>
      </w:r>
      <w:bookmarkStart w:id="0" w:name="_GoBack"/>
      <w:bookmarkEnd w:id="0"/>
      <w:r>
        <w:rPr>
          <w:rStyle w:val="18"/>
          <w:rFonts w:hint="eastAsia" w:ascii="仿宋" w:hAnsi="仿宋" w:eastAsia="仿宋" w:cs="仿宋"/>
          <w:b w:val="0"/>
          <w:bCs w:val="0"/>
          <w:spacing w:val="-4"/>
          <w:sz w:val="32"/>
          <w:szCs w:val="32"/>
          <w:lang w:eastAsia="zh-CN"/>
        </w:rPr>
        <w:t>抗原检测</w:t>
      </w:r>
      <w:r>
        <w:rPr>
          <w:rStyle w:val="18"/>
          <w:rFonts w:hint="eastAsia" w:ascii="仿宋" w:hAnsi="仿宋" w:eastAsia="仿宋" w:cs="仿宋"/>
          <w:b w:val="0"/>
          <w:bCs w:val="0"/>
          <w:spacing w:val="-4"/>
          <w:sz w:val="32"/>
          <w:szCs w:val="32"/>
        </w:rPr>
        <w:t>500人/年指标，预期指标值500人/年；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人群B超筛查人数4100人/年指标，预期指标值2000人/年；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家犬粪样采集检测670份/年指标，预期指标值200份N/年；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犬驱虫及管理12764只/年指标，预期指标值3500只/年；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各项检（监）测合格率100%指标，预期指标值为100%；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结核病患者健康管理率90%指标,预期指标值90%;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艾滋病病毒感染者和病人抗病毒治疗率91%指标,预期指标值90%;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资金拨付及时支付到位率13%指标，预期指标值100%；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各项检（监）测完成及时率100%指标，预期指标值100%；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艾滋病防治项目资金2.4万元指标，预期指标值为21.6万元；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结核病防治项目资金10.2万元治疗，预期指标值44.5万元；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免疫规划项目资金7万元指标，预期指标值42万元；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血吸虫和包虫病项目资金0万元，预期指标值28.5万元；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慢性病综合防治项目0万元指标，预期指标值12万元；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严重精神障碍项目资金1万元指标，预期指标值4.5万元；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新冠及重大传染病监测项目资金0万元指标，预期指标值4万元；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提升群众疾病防控意识有效提升，预期指标值有效提升；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④可持续影响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提高居民健康水平有效提高，预期指标值有效提高；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⑤满意度指标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受益群众满意度达到95%，预期指标值95%;</w:t>
      </w:r>
    </w:p>
    <w:p w14:paraId="6997B3BF">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200CDF54">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14:paraId="5F7070C6">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14:paraId="7ABA2DA1">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3DB48BB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坚持定量优先、定量与定性相结合的方式，始终遵循科学规范、公正公开、分级分类、绩效相关的基本原则。通过对中央重大传染病防控项目资金进行绩效评价，旨在了解项目资金使用和项目管理情况、取得的成绩及效益，进而分析在政策执行、预算资金安排、项目实施等方面存在的问题并提出针对性建议。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2）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151DD231">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3FF554B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匡春燕任评价组组长，职务为主任，绩效评价工作职责为负责全盘工作。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韩小青任评价组副组长，绩效评价工作职责为对项目实施情况进行实地调查。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居马洪·奥布力，艾尔肯·玉麦尔，亚森江·买海提任评价组成员，绩效评价工作职责为负责资料审核等工作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建立和落实档案管理制度，将项目相关资料存档，包括但不限于：评价项目基本情况和相关文件、评价实施方案、项目支付资料等相关档案。</w:t>
      </w:r>
    </w:p>
    <w:p w14:paraId="071B1C52">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16101E38">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中央重大传染病防控”项目绩效进行客观公正的评价，本项目总得分为82.75分，绩效评级属于“良”。其中，决策类指标得分20分，过程类指标得分15.66分，产出类指标得分27.09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经评价，本项目达到了年初设立的绩效目标，在实施过程中取得了良好的成效，具体表现在：完成人群B超筛查4100人，冷链运转12次，开展业务培训14次，犬驱虫及管理12764只等工作。不断提高艾滋病、结核病等传染病防治知识知晓率，做好包虫病防治工作及慢性病的宣传，提升传染病防治工作质量。做好疫苗可预防疾病的监测与处置，减少传染病蔓延，降低传染病感染率，提高广大群众防治重大传染病的意识。对传染病流行等突发公共卫生事件做出快速反应，及时、有效开展监测、报告和处置工作，切实保障人民的身体健康和生命安全。  </w:t>
      </w:r>
    </w:p>
    <w:p w14:paraId="139AE4A5">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3514C069">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6C666DD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立项依据充分性：根据《关于提前下达2022年中央重大传染病防控经费预算的通知》（新财经〔2021〕300号）、（克财社〔2021〕97号）和《关于拨付2022年中央财政重大传染病防控经费（第二批）预算分配表》克财社〔2022〕256号文件精神，并结合县疾控中心职责组织实施。围绕县疾控中心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（2）立项程序规范性：根据决策依据编制工作计划和经费预算，经过与阿克陶县卫健委财经领导小组进行沟通、筛选确定经费预算计划，上局务会研究确定最终预算方案，根据评分标准，该指标不扣分，得2分。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（5）预算编制科学性：实际完成内容与项目内容匹配，项目投资额与工作任务相匹配，根据评分标准，该指标不扣分，得5分。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6）资金分配合理性：艾滋病防治项目21.6万元、结核病防治项目44.5万元、免疫规划42万元、血吸虫和包虫病项目28.5万元、慢性病综合防治项目16万元、严重精神障碍4.5万元。资金分配与实际相适应，根据评分标准，该指标不扣分，得5分。</w:t>
      </w:r>
    </w:p>
    <w:p w14:paraId="1F52AA1E">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6EDE16C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5个三级指标构成，权重分为20分，实际得分15.66分，得分率为78.3%。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（1）资金到位率：该项目总投资157.1万元，克州财政局实际下达经费157.1万元，其中当年财政拨款157.1万元，财政资金足额拨付到位，根据评分标准，该指标不扣分，得5分。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（2）预算执行率：本项目申请预算金额为157.1万元，预算批复实际下达金额为157.1万元，截至 2022年 12 月 31日，资金执行20.6万元，资金执行率8.06%。项目资金支出总体能够按照预算执行，根据评分标准，该指标不扣分，得0.66分。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使用合规性：根据《关于提前下达2022年中央重大传染病防控经费预算的通知》（新财经〔2021〕300号）、（克财社〔2021〕97号）文件精神符合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（4）管理制度健全性：该项目严格按照《阿克陶县卫健委财务制度》和管理规定实施，对财政专项资金进行严格管理，基本做到了专款专用，根据评分标准，该指标不扣分，得2分。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14:paraId="0B37566A">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6DF606EA">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项目产出类指标包括产出数量、产出质量、产出时效、产出成本四方面的内容，由4个三级指标构成，权重分为40分，实际得分27.09分，得分率为67.73%。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印刷宣传单28.5万份、宣传品8000份，与预期目标一致，根据评分标准，该指标不扣分，得2分。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开展业务培训14次，与预期目标一致，根据评分标准，该指标不扣分，得2分。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开展重点人群检测，B超检查4100人、家犬粪样采集670份、犬驱虫12764只、新冠肺炎核酸抗原检测500人，与预期目标一致，根据评分标准，该指标不扣分，得2分。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开展高危行为干预12次，与预期目标一致，根据评分标准，该指标不扣分，得2分。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冷链运转12次，与预期目标一致，根据评分标准，该指标不扣分，得2分。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开展各项监测合格率100%，与预期目标一致，根据评分标准，该指标不扣分，得3分。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开展结核病患者健康管理率95%，与预期目标一致，根据评分标准，该指标不扣分，得3分。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开展艾滋病病毒感染者和病人抗病毒治疗率91%，与预期目标一致，根据评分标准，该指标不扣分，得4分。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拨付及时率8.06%，预期目标100%，偏差原因：本年受疫情影响，未及时使用重大传染病防治项目经费。采取的措施：今后年度将加快重大传染病防治项目资金使用进度，根据评分标准，该指标扣4.34分，得0.66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开展各项监测及时完成率100%，与预期目标一致，根据评分标准，该指标不扣分，得5分。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合计得5.66分。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该项目本年支出金额20.6万元，项目经费能够控制在绩效目标范围内，根据评分标准，该指标扣8.57分，得1.43分。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偏差原因：预期绩效目标100%，实际完成值为8.06%,偏差原因：本年受疫情影响，未及时使用重大传染病防治项目经费。采取的措施：今后年度将加快重大传染病防治项目资金使用进度，根据评分标准，该指标扣8.57分，得1.43分。</w:t>
      </w:r>
    </w:p>
    <w:p w14:paraId="48D5C7E8">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02A834D8">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提升群众疾病防控意识，与预期指标一致，根据评分标准，该指标不扣分，得5分。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对于“可持续影响指标”：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提高居民健康水平，与预期指标一致，根据评分标准，该指标不扣分，得5分。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对于满意度指标：受益群众满意度95%，与预期目标一致，根据评分标准，该指标不扣分，得10分。</w:t>
      </w:r>
    </w:p>
    <w:p w14:paraId="03556839">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14:paraId="12C6D521">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有偏差：中央重大传染病防控项目预算157.1万元，到位157.1万元，实际支出20.6万元，预算执行率为8.06%，项目绩效指标总体完成率为100%，偏差原因：本年受疫情影响，未及时支付重大传染病防控项目经费。今后年度将加快重大传染病防控项目资金使用进度。</w:t>
      </w:r>
    </w:p>
    <w:p w14:paraId="6298D07F">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六、主要经验及做法、存在的问题及原因分析</w:t>
      </w:r>
    </w:p>
    <w:p w14:paraId="19958B49">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2．加强宣传，加强对各项制度的执行力度，杜绝有令不行、有禁不止的情况发生。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14:paraId="7B8D75A6">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14:paraId="065F241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2.项目评价资料有待进一步完善。项目启动时同步做好档案的归纳与整理，及时整理、收集、汇总，健全档案资料。项目后续管理有待进一步加强和跟踪。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3.通过绩效管理，发现实施中存在漏洞，以后加强管理，及时掌握与之相关的各类信息，减少成本，使资金效益最大化。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4．评价工作应从项目实施方案源头抓起，评价工作和意识应贯穿项目整个过程。</w:t>
      </w:r>
    </w:p>
    <w:p w14:paraId="75E0F1DA">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14:paraId="02E7F272">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83E47FF-84D6-4AD8-AA3D-48153E97B18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8B1E30A0-D0A7-4112-B506-825BAD07928E}"/>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embedRegular r:id="rId3" w:fontKey="{FFA125F1-4B0C-4CDA-9F55-8BBE4A2F4BE3}"/>
  </w:font>
  <w:font w:name="仿宋">
    <w:panose1 w:val="02010609060101010101"/>
    <w:charset w:val="86"/>
    <w:family w:val="modern"/>
    <w:pitch w:val="default"/>
    <w:sig w:usb0="800002BF" w:usb1="38CF7CFA" w:usb2="00000016" w:usb3="00000000" w:csb0="00040001" w:csb1="00000000"/>
    <w:embedRegular r:id="rId4" w:fontKey="{A7C528D4-7424-4286-AD19-FC674023AA1A}"/>
  </w:font>
  <w:font w:name="楷体">
    <w:panose1 w:val="02010609060101010101"/>
    <w:charset w:val="86"/>
    <w:family w:val="modern"/>
    <w:pitch w:val="default"/>
    <w:sig w:usb0="800002BF" w:usb1="38CF7CFA" w:usb2="00000016" w:usb3="00000000" w:csb0="00040001" w:csb1="00000000"/>
    <w:embedRegular r:id="rId5" w:fontKey="{8F484E66-25BC-4F24-9ED4-277EBFE580FE}"/>
  </w:font>
  <w:font w:name="方正仿宋_GBK">
    <w:panose1 w:val="02000000000000000000"/>
    <w:charset w:val="86"/>
    <w:family w:val="auto"/>
    <w:pitch w:val="default"/>
    <w:sig w:usb0="A00002BF" w:usb1="38CF7CFA" w:usb2="00082016" w:usb3="00000000" w:csb0="00040001" w:csb1="00000000"/>
    <w:embedRegular r:id="rId6" w:fontKey="{BF5AFCF1-C20E-4B2B-8075-FE2744CBAFBE}"/>
  </w:font>
  <w:font w:name="方正楷体_GBK">
    <w:altName w:val="微软雅黑"/>
    <w:panose1 w:val="00000000000000000000"/>
    <w:charset w:val="86"/>
    <w:family w:val="auto"/>
    <w:pitch w:val="default"/>
    <w:sig w:usb0="00000000" w:usb1="00000000" w:usb2="00000000" w:usb3="00000000" w:csb0="00040000" w:csb1="00000000"/>
    <w:embedRegular r:id="rId7" w:fontKey="{EB562EAD-7139-4857-9365-16FCAF500FB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13DA772">
        <w:pPr>
          <w:pStyle w:val="12"/>
          <w:jc w:val="center"/>
        </w:pPr>
        <w:r>
          <w:fldChar w:fldCharType="begin"/>
        </w:r>
        <w:r>
          <w:instrText xml:space="preserve">PAGE   \* MERGEFORMAT</w:instrText>
        </w:r>
        <w:r>
          <w:fldChar w:fldCharType="separate"/>
        </w:r>
        <w:r>
          <w:rPr>
            <w:lang w:val="zh-CN"/>
          </w:rPr>
          <w:t>1</w:t>
        </w:r>
        <w:r>
          <w:fldChar w:fldCharType="end"/>
        </w:r>
      </w:p>
    </w:sdtContent>
  </w:sdt>
  <w:p w14:paraId="57F55F39">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F0B0604"/>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23</Pages>
  <Words>7979</Words>
  <Characters>8452</Characters>
  <Lines>5</Lines>
  <Paragraphs>1</Paragraphs>
  <TotalTime>36</TotalTime>
  <ScaleCrop>false</ScaleCrop>
  <LinksUpToDate>false</LinksUpToDate>
  <CharactersWithSpaces>8636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笑问胖砸你是sei</cp:lastModifiedBy>
  <cp:lastPrinted>2018-12-31T10:56:00Z</cp:lastPrinted>
  <dcterms:modified xsi:type="dcterms:W3CDTF">2025-05-15T09:10:40Z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eyJoZGlkIjoiZDRjOWVjNjM2YjJkZDljYWZmOWE3YmM4MDE2YWI2YmUiLCJ1c2VySWQiOiI1NDY5NjEyODMifQ==</vt:lpwstr>
  </property>
  <property fmtid="{D5CDD505-2E9C-101B-9397-08002B2CF9AE}" pid="4" name="ICV">
    <vt:lpwstr>04B67E16C6004B988F6E978E05D2ED6E_12</vt:lpwstr>
  </property>
</Properties>
</file>