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53B3D">
      <w:pPr>
        <w:spacing w:line="570" w:lineRule="exact"/>
        <w:jc w:val="center"/>
        <w:rPr>
          <w:rFonts w:ascii="华文中宋" w:hAnsi="华文中宋" w:eastAsia="华文中宋" w:cs="宋体"/>
          <w:b/>
          <w:kern w:val="0"/>
          <w:sz w:val="52"/>
          <w:szCs w:val="52"/>
        </w:rPr>
      </w:pPr>
    </w:p>
    <w:p w14:paraId="7A686820">
      <w:pPr>
        <w:spacing w:line="570" w:lineRule="exact"/>
        <w:jc w:val="center"/>
        <w:rPr>
          <w:rFonts w:ascii="华文中宋" w:hAnsi="华文中宋" w:eastAsia="华文中宋" w:cs="宋体"/>
          <w:b/>
          <w:kern w:val="0"/>
          <w:sz w:val="52"/>
          <w:szCs w:val="52"/>
        </w:rPr>
      </w:pPr>
    </w:p>
    <w:p w14:paraId="4672ECCF">
      <w:pPr>
        <w:spacing w:line="570" w:lineRule="exact"/>
        <w:jc w:val="center"/>
        <w:rPr>
          <w:rFonts w:ascii="华文中宋" w:hAnsi="华文中宋" w:eastAsia="华文中宋" w:cs="宋体"/>
          <w:b/>
          <w:kern w:val="0"/>
          <w:sz w:val="52"/>
          <w:szCs w:val="52"/>
        </w:rPr>
      </w:pPr>
    </w:p>
    <w:p w14:paraId="4498D80B">
      <w:pPr>
        <w:spacing w:line="570" w:lineRule="exact"/>
        <w:jc w:val="center"/>
        <w:rPr>
          <w:rFonts w:ascii="华文中宋" w:hAnsi="华文中宋" w:eastAsia="华文中宋" w:cs="宋体"/>
          <w:b/>
          <w:kern w:val="0"/>
          <w:sz w:val="52"/>
          <w:szCs w:val="52"/>
        </w:rPr>
      </w:pPr>
    </w:p>
    <w:p w14:paraId="478DEEA9">
      <w:pPr>
        <w:spacing w:line="570" w:lineRule="exact"/>
        <w:jc w:val="both"/>
        <w:rPr>
          <w:rFonts w:ascii="华文中宋" w:hAnsi="华文中宋" w:eastAsia="华文中宋" w:cs="宋体"/>
          <w:b/>
          <w:kern w:val="0"/>
          <w:sz w:val="52"/>
          <w:szCs w:val="52"/>
        </w:rPr>
      </w:pPr>
    </w:p>
    <w:p w14:paraId="03786860">
      <w:pPr>
        <w:spacing w:line="570" w:lineRule="exact"/>
        <w:jc w:val="center"/>
        <w:rPr>
          <w:rFonts w:ascii="华文中宋" w:hAnsi="华文中宋" w:eastAsia="华文中宋" w:cs="宋体"/>
          <w:b/>
          <w:kern w:val="0"/>
          <w:sz w:val="52"/>
          <w:szCs w:val="52"/>
        </w:rPr>
      </w:pPr>
    </w:p>
    <w:p w14:paraId="30D129BD">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2541BC24">
      <w:pPr>
        <w:spacing w:line="570" w:lineRule="exact"/>
        <w:jc w:val="center"/>
        <w:rPr>
          <w:rFonts w:ascii="华文中宋" w:hAnsi="华文中宋" w:eastAsia="华文中宋" w:cs="宋体"/>
          <w:b/>
          <w:kern w:val="0"/>
          <w:sz w:val="52"/>
          <w:szCs w:val="52"/>
        </w:rPr>
      </w:pPr>
    </w:p>
    <w:p w14:paraId="3BE112E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67C395D">
      <w:pPr>
        <w:spacing w:line="570" w:lineRule="exact"/>
        <w:jc w:val="center"/>
        <w:rPr>
          <w:rFonts w:hAnsi="宋体" w:eastAsia="仿宋_GB2312" w:cs="宋体"/>
          <w:kern w:val="0"/>
          <w:sz w:val="30"/>
          <w:szCs w:val="30"/>
        </w:rPr>
      </w:pPr>
    </w:p>
    <w:p w14:paraId="7B57A933">
      <w:pPr>
        <w:spacing w:line="570" w:lineRule="exact"/>
        <w:jc w:val="center"/>
        <w:rPr>
          <w:rFonts w:hAnsi="宋体" w:eastAsia="仿宋_GB2312" w:cs="宋体"/>
          <w:kern w:val="0"/>
          <w:sz w:val="30"/>
          <w:szCs w:val="30"/>
        </w:rPr>
      </w:pPr>
    </w:p>
    <w:p w14:paraId="265563A6">
      <w:pPr>
        <w:spacing w:line="570" w:lineRule="exact"/>
        <w:jc w:val="center"/>
        <w:rPr>
          <w:rFonts w:hAnsi="宋体" w:eastAsia="仿宋_GB2312" w:cs="宋体"/>
          <w:kern w:val="0"/>
          <w:sz w:val="30"/>
          <w:szCs w:val="30"/>
        </w:rPr>
      </w:pPr>
    </w:p>
    <w:p w14:paraId="016A6ED2">
      <w:pPr>
        <w:spacing w:line="570" w:lineRule="exact"/>
        <w:jc w:val="center"/>
        <w:rPr>
          <w:rFonts w:hAnsi="宋体" w:eastAsia="仿宋_GB2312" w:cs="宋体"/>
          <w:kern w:val="0"/>
          <w:sz w:val="30"/>
          <w:szCs w:val="30"/>
        </w:rPr>
      </w:pPr>
    </w:p>
    <w:p w14:paraId="5A5587C5">
      <w:pPr>
        <w:spacing w:line="570" w:lineRule="exact"/>
        <w:jc w:val="center"/>
        <w:rPr>
          <w:rFonts w:hAnsi="宋体" w:eastAsia="仿宋_GB2312" w:cs="宋体"/>
          <w:kern w:val="0"/>
          <w:sz w:val="30"/>
          <w:szCs w:val="30"/>
        </w:rPr>
      </w:pPr>
    </w:p>
    <w:p w14:paraId="65646CBA">
      <w:pPr>
        <w:spacing w:line="570" w:lineRule="exact"/>
        <w:jc w:val="center"/>
        <w:rPr>
          <w:rFonts w:hAnsi="宋体" w:eastAsia="仿宋_GB2312" w:cs="宋体"/>
          <w:kern w:val="0"/>
          <w:sz w:val="30"/>
          <w:szCs w:val="30"/>
        </w:rPr>
      </w:pPr>
    </w:p>
    <w:p w14:paraId="392061C4">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2022年基本公共卫生服务项目</w:t>
      </w:r>
    </w:p>
    <w:p w14:paraId="690C7926">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卫生健康委员会</w:t>
      </w:r>
    </w:p>
    <w:p w14:paraId="355D8FC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卫生健康委员会</w:t>
      </w:r>
    </w:p>
    <w:p w14:paraId="5941041D">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魏金娟</w:t>
      </w:r>
    </w:p>
    <w:p w14:paraId="5BDDCF2D">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2023年04月12日</w:t>
      </w:r>
    </w:p>
    <w:p w14:paraId="2300B4F2">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BFE0EC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B438795">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2AA0F4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基本公共卫生服务项目实施前期、过程及效果，评价财政预算资金使用的效率及效益。为加强和规范基本公共卫生服务资金管理，规范资金安排、分配、使用、监管的等管理方式、压实资金管理责任，提高财政资金经济效益和社会效益，通过实施十四项基本公共卫生服务项目，对城乡居民健康问题主要卫生问题实施干预，减少主要健康危险因素，推进公共卫生服务均等化水平。结合我县实际，特制定本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为做好2022年我县基本公共卫生服务项目，提高质量，现拨付2022年中央基本公共卫生服务补助资金到达两批共1518（1279.5+238.5）万元，请各单位收到后按规定程序使用。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基本公共卫生类：2022年中央基本公共卫生服务项目资金1266万元（中央补助资金），依据《国家基本公共卫生服务规范（第三版）》，拨付至我县15个乡镇（场）卫生院和社区卫生服务中心，用于实施建立居民健康档案、健康教育、预防接种、儿童健康管理、孕产妇健康管理、老年人健康管理、高血压和糖尿病等慢性病患者健康管理、卫生监督协管等公卫14项项目服务，提高居民健康保健意识和健康知识知晓率，提高居民健康水平，改善公共卫生均等化水平，使城乡居民逐步享有均等化的公共卫生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2.重大疾病检测类：项目资金8.4万元其中：重大疾病与健康危险因素监测项目6.4万元拨付</w:t>
      </w:r>
      <w:bookmarkStart w:id="0" w:name="_GoBack"/>
      <w:bookmarkEnd w:id="0"/>
      <w:r>
        <w:rPr>
          <w:rStyle w:val="18"/>
          <w:rFonts w:hint="eastAsia" w:ascii="仿宋" w:hAnsi="仿宋" w:eastAsia="仿宋" w:cs="仿宋"/>
          <w:b w:val="0"/>
          <w:bCs w:val="0"/>
          <w:spacing w:val="-4"/>
          <w:sz w:val="32"/>
          <w:szCs w:val="32"/>
          <w:lang w:eastAsia="zh-CN"/>
        </w:rPr>
        <w:t>疾病预防控制中心</w:t>
      </w:r>
      <w:r>
        <w:rPr>
          <w:rStyle w:val="18"/>
          <w:rFonts w:hint="eastAsia" w:ascii="仿宋" w:hAnsi="仿宋" w:eastAsia="仿宋" w:cs="仿宋"/>
          <w:b w:val="0"/>
          <w:bCs w:val="0"/>
          <w:spacing w:val="-4"/>
          <w:sz w:val="32"/>
          <w:szCs w:val="32"/>
        </w:rPr>
        <w:t>，妇幼卫生监测2万元拨付至妇幼保健计划服务中心，有效预防和控制重点传染病，提高公共卫生服务和突发公共卫生事件应急处置能力。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3.地方病类：项目资金14万元拨付</w:t>
      </w:r>
      <w:r>
        <w:rPr>
          <w:rStyle w:val="18"/>
          <w:rFonts w:hint="eastAsia" w:ascii="仿宋" w:hAnsi="仿宋" w:eastAsia="仿宋" w:cs="仿宋"/>
          <w:b w:val="0"/>
          <w:bCs w:val="0"/>
          <w:spacing w:val="-4"/>
          <w:sz w:val="32"/>
          <w:szCs w:val="32"/>
          <w:lang w:eastAsia="zh-CN"/>
        </w:rPr>
        <w:t>疾病预防控制中心</w:t>
      </w:r>
      <w:r>
        <w:rPr>
          <w:rStyle w:val="18"/>
          <w:rFonts w:hint="eastAsia" w:ascii="仿宋" w:hAnsi="仿宋" w:eastAsia="仿宋" w:cs="仿宋"/>
          <w:b w:val="0"/>
          <w:bCs w:val="0"/>
          <w:spacing w:val="-4"/>
          <w:sz w:val="32"/>
          <w:szCs w:val="32"/>
        </w:rPr>
        <w:t>，用于地方的防治。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4.卫生监督类：项目资金1.6万元拨付至卫生监督执法局，用于国家随机监督抽查项目。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5.职业病防治类：项目资金25万元拨付至卫生监督执法局，用于职业病防治。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6.妇幼卫生类：项目资金76万元拨付至妇幼保健计划服务中心。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7.人口监测类：项目资金7万元拨付至卫健委计生办，主要用于村（居）计划生育专（兼）职人员对全员人口信息进行收集、登记、更新、录入等环节中的培训 、购买入户慰问品、劳务交通等补助支出，印制宣传品。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8.鼠疫类：共计20万元，其中18万元拨付至县疾病预防控制中心，其中15万用于采购皮卡车1辆（捕鼠（獭）工作车），3万元用于鼠疫监测点车辆正常运维、维修、加油等。2万元拨付至县</w:t>
      </w:r>
      <w:r>
        <w:rPr>
          <w:rStyle w:val="18"/>
          <w:rFonts w:hint="eastAsia" w:ascii="仿宋" w:hAnsi="仿宋" w:eastAsia="仿宋" w:cs="仿宋"/>
          <w:b w:val="0"/>
          <w:bCs w:val="0"/>
          <w:spacing w:val="-4"/>
          <w:sz w:val="32"/>
          <w:szCs w:val="32"/>
          <w:lang w:eastAsia="zh-CN"/>
        </w:rPr>
        <w:t>卫健委</w:t>
      </w:r>
      <w:r>
        <w:rPr>
          <w:rStyle w:val="18"/>
          <w:rFonts w:hint="eastAsia" w:ascii="仿宋" w:hAnsi="仿宋" w:eastAsia="仿宋" w:cs="仿宋"/>
          <w:b w:val="0"/>
          <w:bCs w:val="0"/>
          <w:spacing w:val="-4"/>
          <w:sz w:val="32"/>
          <w:szCs w:val="32"/>
        </w:rPr>
        <w:t>疾控办用于开展人间和动物间鼠疫监测工作，培训演练等。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9.中医药健康服务建设类：100万元分配给阿克陶镇、皮拉力乡、皮拉力乡恰瓦克和加马铁力克乡卫生院，每个卫生院25万元用于中医馆建设和提高中医药服务能力和技术水平。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印发基本公共卫生服务等5项补助资金管理办法的通知》（财社〔2019〕113号）文件、《关于印发2020年自治区基本公共卫生服务项目经费参考标准的通知》（新卫基层发〔2020〕2号）文件以及《关于提前下达2022年中央基本公共卫生服务补助资金预算的通知》（克财社〔2021〕90号）文件和《关于拨付2022年中央基本公共卫生服务补助资金（第二批）的通知》（克财社〔2022〕42号）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基层公共卫生服务项目工作的推进，进一步明确了各基层医疗卫生机构公共卫生服务职能为主的职能定位。通过项目的实施对全县居民健康问题实施干预，减少了主要健康危害因素，有效预防和控制了传染病及慢性疾病，城乡居民逐步获得均等化的基本公共卫生服务，健康水平得到进一步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1.居民健康档案管理。截止12月31日，全县共建有电子健康档案229917份，建档率达99％，新建档案49537份。年内活动档案数171831份，动态管理率为74.71%。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健康教育。各单位高度重视健康教育工作，建立健全了健康教育工作网络，设立专(兼)职健康教育人员，制定相关工作制度。全年全县共发放健康教育宣传资料6.0760万余份，更换健康教育宣传栏529期，举办健康知识讲座492次，开展公众咨询活动126次，参加健康活动及接受健康咨询71831人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3.预防接种。各单位均开展了疫苗管理，接种单位配有医用冰箱，规范了“一苗一告知”、“三查七对一验证”及“免后观察30分钟”等接种行为，2022年全县疫苗建证率100%。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4.0-6岁儿童健康管理。新生儿家庭访视进一步规范，新生儿访视记录填写较完整，部分单位新生儿家庭访视率达到了100%。二是档案质量进一步提高，空项、错项明显减少。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孕产妇健康管理。孕产妇健康管理服务逐步规范，均按照《国家基本公共卫生服务规范（第三版）》要求为孕产妇进行健康管理服务。服务内容的真实性、完整性、准确性逐步提高，早孕建册率和产后访视率较上半年有所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6.老年人健康管理。全县65岁及以上老年人建档数12461份，系统年内体检数11691份，接受健康管理人数10448人，健康管理率达到83.85%。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高血压和2型糖尿病健康管理。至12月31日止，全县系统统计管理高血压患者15309人，按照规范要求提供高血压患者健康管理14142人，规范管理率92.38％；管理2型糖尿病患者3041人，按照规范要求提供糖尿病患者健康管理2779人，规范管理率91.38%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8.严重精神障碍患者健康管理。截止12月31日，全县系统统计管理严重精神障碍患者783人，规范管理783人，规范管理率100％，服药人数522人，规律服药率67.03%。服药率83.65%。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9.传染病及突发公共卫生事件报告和处理。各单位均开展了传染病相关知识宣传及培训，预检分诊严格入口管理，发热病例筛查、登记、诊疗、报告等流程日趋规范。大部分单位加强了传染病疫情搜索及自查工作，无传染病病例漏报、迟报，网络报告综合质量较好。全县全年无突发公共卫生事件报告，无因处置不力而导致传染病疫情扩散与流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10.卫生计生监督协管服务。全县全年共发现食源性疾病、饮用水卫生安全巡查、学校卫生服务、非法行医和非法采供血等卫生监督协管事件或线索数14次；食品安全、饮用水卫生、学校卫生、非法行医（采供血)巡查数202次。各项巡查记录、信息报卡比较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11.肺结核患者健康管理。全县2022年新增肺结核患者141人，其中病原学检查阳性患者100人、病原学检查涂阴患者41人。肺结核患者管理率、规则服药率较往年均有所提升。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12.中医药健康管理。全县65岁以上老年人开展了中医体质辨识和中医药保健指导的有11852人，老年人中医药健康管理率为95.11%；0-36个月儿童接受了中医药健康管理的有5729人，0-36个月儿童中医药健康管理率为97.10%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13.适龄妇女“两癌”项目。宫颈癌查项目任务数6136人，已完成4637人筛查任务，其中应检查阴道镜检查人数32人，待进一步检查确认。乳腺癌筛查任务4636人，目前已完成乳腺触诊及超声检查人数3729人。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14.孕产妇健康管理。全县活产数2377人，住院分娩活产2335人，住院分娩率98.32%。对1779名孕产妇免费享受NT彩超272人、唐氏筛查563人、思维B超414人、心脏彩超530人等产前检查，早发现妊娠并发症，从而减少这些疾病对胎儿和母亲的不良影响，从而降低围产期产妇死亡率并减少孕产妇经济压力，有效提升群众对妇幼健康工作的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15.0-6岁儿童健康管理。0-6岁儿童16625人，一次以上随访的0-6岁儿童数15161人，儿童健康管理率91.19%，5岁以下儿童8806人，0-6岁儿童眼保健和视力检查人数15081人，覆盖率90.71%。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提前下达2022年中央基本公共卫生服务补助资金预算的通知》（克财社〔2021〕90号）文件及《关于拨付2022年中央基本公共卫生服务补助资金（第二批）的通知》（克财社〔2022〕42号）文件,这次安排下达资金1518万元。资金到位率100%。预算资金实际执行1518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截至2022年12月31日，实际支出1518万元，预算执行率100%。</w:t>
      </w:r>
    </w:p>
    <w:p w14:paraId="6E70FCB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0183E6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基本公共卫生服务项目，对城乡居民健康问题主要卫生问题实施干预，减少主要健康危险因素。有效预防和控制主要传染病及慢病，提高公共卫生服务和突发公共卫生事件应急处置能力，使城乡居民逐步享有均等化的公共卫生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居民健康档案新建或维护人数指标，预期指标值为≥60119人;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0-6岁儿童健康管理人数指标，预期指标值为≥24942人；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孕产妇健康管理人数指标，预期指标值为≥2616人；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老年人健康管理人数指标，预期指标值为≥13211人;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高血压患者管理人数指标，预期指标值为≥21561人；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2型糖尿病患者管理人数指标，预期指标值为≥2824人;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严重精神障碍健康管理人数指标，预期指标值为≥766人;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肺结核健康管理人数指标，预期指标值为≥260人;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适龄人群国家免疫规划疫苗接种人数指标，预期指标值为≥24417人;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设置健康教育宣传栏指标，预期指标值为≥636个;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国家随机监督宣传指标，预期指标值为≥12319册;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职业病防治培训人次指标，预期指标值为≥200人;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人口出生率指标，预期指标值为≦8%;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自然增长率指标，预期指标值为≦5%;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农村妇女两癌筛查指标，预期指标值为≥3998人;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地方病防治指标，预期指标值为≧90%;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重大基本监测指标，预期指标值为≧90%;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卫生监督协管指标，预期指标值为≧90%;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乡镇卫生院、村卫生室补助发放率指标，预期指标值为≥95%;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高血压患者规范管理率指标，预期指标值为≥95%;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糖尿病患者规范管理率指标，预期指标值为≥95%;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预防接种管理率指标，预期指标值为≥97%;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老年人健康管理率指标，预期指标值为≥95%;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0-6岁儿童健康管理率指标，预期指标值为≥95%;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孕产妇健康管理率指标，预期指标值为≥95%;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严重精神障碍患者管理率指标，预期指标值为≥95%;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传染病及突发公共卫生事件报告和处理率指标，预期指标值为≥95%;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结核病患者健康管理率指标，预期指标值为≥95%;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城乡居民健康档案建档率指标，预期指标值为≥95%;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人口出生率指标，预期指标值为≦8%;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自然增长率指标，预期指标值为≦5%;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地方病防治指标，预期指标值为≥90%;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重大基本监测指标，预期指标值为≥90%;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健康检查受检率指标，预期指标值为≥95%.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项目完成时效指标，预期指标值为12月。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居民健康档案新建或维护补助指标，预期指标值为=10元/人；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0-6岁儿童健康管理补助指标，预期指标值为=213元/人；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孕产妇健康管理补助指标，预期指标值为=274元/人；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老年人健康管理补助指标，预期指标值为=129元/人；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原发性高血压健康管理补助指标，预期指标值为=79元/人；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2型糖尿病健康管理补助指标，预期指标值为=98元/人；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严重精神障碍健康管理补助指标，预期指标值为=154元/人；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肺结核健康管理补助指标，预期指标值为=410元/年；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适龄人群国家免疫规划疫苗接种补助指标，预期指标值为=23元/人；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设置健康教育宣传栏补助指标，预期指标值为=100元/期；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国家随机监督宣传费指标，预期指标值为=1.3元/册；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职业病防治培训费指标，预期指标值为=50元/人；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人口监测费用成本指标，预期指标值为=70000元；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农村妇女两癌筛查指标，预期指标值为=40元/人；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地方病防治成本指标，预期指标值为=115000元；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重大基本监测成本指标，预期指标值为=84000元；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卫生监督协管指标，预期指标值为=2400元/卫生室。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居民健康保健意识和健康知识知晓率指标，预期指标值为≥95%；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提高居民健康水平指标，预期指标值为有效提高；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改善公共卫生均等化水平指标，预期指标值为有效改善。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“受益乡镇卫生院满意度”指标，预期指标值为≥95%；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“受益卫生室满意度”指标，预期指标值为≥95%；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“受益群众满意度”指标，预期指标值为≥95%。</w:t>
      </w:r>
    </w:p>
    <w:p w14:paraId="12BEB4B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4DE3A73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28F532F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4F4BCA2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1EB96B9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国家基本公共卫生服务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9A768A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60A385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  长：匡春燕（县卫健委党组副书记、主任）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副组长：韩小青（县卫健委党组成员、副主任）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  员：王守辉（县卫健委党组成员、副主任）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余  新（县卫生健康综合监督执法局局长）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郭国华（县卫健委副主任、援疆挂职干部）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居马洪·奥布力（县卫健委副主任科员）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孟千君（县疾病预防控制中心党组副书记、主任）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  雷（县人民医院党委书记、副院长）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艾斯卡尔·阿西木（县维吾尔医医院党支部副书记、院长）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吾守尔·司马义（县妇幼保健与计划生育服务中心党支部副书记、主任）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丁伟（县卫健委财务办公室主任）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张永梅（县卫健委核算中心主任）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阿尔曼·阿不来提（县卫健委医政办主任）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魏金娟（县卫健委公卫办主任）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古力努尔·肉孜（县卫健委基妇办主任）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林山清 （县卫健委疾控办主任）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木沙江·多日（阿克陶镇卫生院院长）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阿布都如苏力·吾买尔（巴仁乡卫生院院长）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依丽努尔·阿卜杜克热木（皮拉勒乡卫生院院长）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努尔艾力·米吉提（皮拉勒乡恰瓦克卫生院院长）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阿布力克木·吐尔地 （玉麦乡卫生院院长）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肖开提·努如孜  （加马铁力克乡卫生院党支部书记、院长）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阿布都艾力·阿卜来提  （喀热克其克乡卫生院党支部书记、院长）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阿力普·阿布都萨依提 （奥依塔克镇卫生院党支部书记、院长）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玉苏因巴依·吾吉  （克孜勒陶镇卫生院党支部书记、院长）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布艾妮排·阿卜杜拉   （恰尔隆镇卫生院党支部书记）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航尼扎提·艾尔盖西   （布伦口乡卫生院党支部书记、院长）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卡米力·别克巴依     （木吉乡卫生院党支部书记）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买买提库尔班 ·米尔扎（塔尔塔吉克民族乡卫生院党支部书记、院长）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热比耶古丽·吾拉依木 （托尔塔依农场卫生院党支部书记、院长）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罕左合热·阿卜杜热亚提 （阿克达拉牧场管卫生院党支部书记、院长）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贾秀华（社区卫生服务中心主任）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匡春燕负责基本公共卫生服务资金管理和资金绩效管理全面工作，副组长韩小青负责资金管理分配和使用监督，领导小组下设办公室,办公室设在县卫健委基本公共卫生服务办公室,由魏金娟同志具体负责日常工作，由公卫、疾控、医政、基妇办具体负责相关资金分配和绩效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14:paraId="734F86F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3741196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国家基本公共卫生服务”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通过基层公共卫生服务项目工作的推进，进一步明确了各基层医疗卫生机构公共卫生服务职能为主的职能定位。通过项目的实施对全县居民健康问题实施干预，减少了主要健康危害因素，有效预防和控制了传染病及慢性疾病，城乡居民逐步获得均等化的基本公共卫生服务，健康水平得到进一步提高。</w:t>
      </w:r>
    </w:p>
    <w:p w14:paraId="41BD879D">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43070AA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212FBC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依据《关于印发基本公共卫生服务等5项补助资金管理办法的通知》（财社〔2019〕113号）文件、《关于印发2020年自治区基本公共卫生服务项目经费参考标准的通知》（新卫基层发〔2020〕2号）文件以及《关于提前下达2022年中央基本公共卫生服务补助资金预算的通知》（克财社〔2021〕90号）文件及《关于拨付2022年中央基本公共卫生服务补助资金（第二批）的通知》（克财社〔2022〕42号）文件，并结合阿克陶县卫生健康委员会职责组织实施。围绕阿克陶县卫生健康委员会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阿克陶县卫生健康委员会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关于提前下达2022年中央基本公共卫生服务补助资金预算的通知》（克财社〔2021〕90号）文件，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关于印发2020年自治区基本公共卫生服务项目经费参考标准的通知》（新卫基层发〔2020〕2号）文件要求为做好2022年我县基本公共卫生服务项目，提高质量，现拨付2022年中央下拨我县中央基本公共卫生服务项目资金共1279.5万元，请各单位收到后按规定程序使用。资金分配与实际相适应，根据评分标准，该指标不扣分，得5分。</w:t>
      </w:r>
    </w:p>
    <w:p w14:paraId="0B66DBC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DADB31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（1）资金到位率：该项目总投资1518万元，实际下达经费1518万元，当年财政拨款0万元。财政资金足额拨付到位，根据评分标准，该指标不扣分，得5分。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（2）预算执行率：本项目申请预算金额为1518万元，预算批复实际下达金额为 1518万元截至 2022年 12 月 31日，资金执行1518万元，资金执行率100.00%。项目资金支出总体能够按照预算执行，根据评分标准，该指标不扣分，得5分。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关于印发2020年自治区基本公共卫生服务项目经费参考标准的通知》（新卫基层发〔2020〕2号）文件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（4）管理制度健全性：该项目严格按照《阿克陶县卫生健康委员会财务制度》及相关的制度和管理规定实施，对财政专项资金进行严格管理，基本做到了专款专用，根据评分标准，该指标不扣分，得2分。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6DE5C52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7696E6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居民健康档案新建或维护人数60119，与预期目标一致，根据评分标准，该指标不扣分，得1分。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0-6岁儿童健康管理人数24942人，与预期目标一致，根据评分标准，该指标不扣分，得0.5分。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孕产妇健康管理人数2616人，与预期目标一致，根据评分标准，该指标不扣分，得0.5分。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老年人健康管理人数13211人指标，与预期目标一致，根据评分标准，该指标不扣分，得0.5分。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高血压患者管理人数21561人，与预期目标一致，根据评分标准，该指标不扣分，得0.5分。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2型糖尿病患者管理人数2824人，与预期目标一致，根据评分标准，该指标不扣分，得0.5分。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严重精神障碍健康管理人数766人，与预期目标一致，根据评分标准，该指标不扣分，得0.5分。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肺结核健康管理人数260人，与预期目标一致，根据评分标准，该指标不扣分，得0.5分。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适龄人群国家免疫规划疫苗接种人数24417人，与预期目标一致，根据评分标准，该指标不扣分，得0.5分。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设置健康教育宣传栏636个，与预期目标一致，根据评分标准，该指标不扣分，得0.5分。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国家随机监督宣传12319册，与预期目标一致，根据评分标准，该指标不扣分，得0.5分。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职业病防治培训人次200人次，与预期目标一致，根据评分标准，该指标不扣分，得0.5分。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人口出生率≦8%，与预期目标一致，根据评分标准，该指标不扣分，得0.5分。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自然增长率≦5%，与预期目标一致，根据评分标准，该指标不扣分，得0.5分。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农村妇女两癌筛查3998人，与预期目标一致，根据评分标准，该指标不扣分，得0.5分。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地方病防治率≧90%，与预期目标一致，根据评分标准，该指标不扣分，得0.5分。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重大基本监测率≧90%，与预期目标一致，根据评分标准，该指标不扣分，得1分。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卫生监督协管率≧90%，与预期目标一致，根据评分标准，该指标不扣分，得0.5分。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乡镇卫生院、村卫生室补助发放率≥95%，与预期目标一致，根据评分标准，该指标不扣分，得1分。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高血压患者规范管理率≥95%，与预期目标一致，根据评分标准，该指标不扣分，得0.5分。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糖尿病患者规范管理率≥95%，与预期目标一致，根据评分标准，该指标不扣分，得0.5分。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预防接种管理率≥97%，与预期目标一致，根据评分标准，该指标不扣分，得0.5分。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老年人健康管理率≥95%，与预期目标一致，根据评分标准，该指标不扣分，得0.5分。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0-6岁儿童健康管理率≥95%，与预期目标一致，根据评分标准，该指标不扣分，得0.5分。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孕产妇健康管理率≥95%，与预期目标一致，根据评分标准，该指标不扣分，得0.5分。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严重精神障碍患者管理率≥95%，与预期目标一致，根据评分标准，该指标不扣分，得0.5分。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传染病及突发公共卫生事件报告和处理率≥95%，与预期目标一致，根据评分标准，该指标不扣分，得0.5分。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结核病患者健康管理率≥95%，与预期目标一致，根据评分标准，该指标不扣分，得0.5分。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城乡居民健康档案建档率≥95%，与预期目标一致，根据评分标准，该指标不扣分，得1分。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人口出生率≦8%，与预期目标一致，根据评分标准，该指标不扣分，得0.5分。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自然增长率≦5%，与预期目标一致，根据评分标准，该指标不扣分，得0.5分。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地方病防治率≥90%，与预期目标一致，根据评分标准，该指标不扣分，得0.5分。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重大基本监测率≥90%，与预期目标一致，根据评分标准，该指标不扣分，得1分。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健康检查受检率≥95%，与预期目标一致，根据评分标准，该指标不扣分，得1分。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居民健康档案新建或维护补助10元/人，与预期目标一致，根据评分标准，该指标不扣分，得1分。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0-6岁儿童健康管理补助213元/人，与预期目标一致，根据评分标准，该指标不扣分，得0.5分。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孕产妇健康管理补助274元/人，与预期目标一致，根据评分标准，该指标不扣分，得0.5分。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老年人健康管理补助指标129元/人，与预期目标一致，根据评分标准，该指标不扣分，得0.5分。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原发性高血压健康管理补助79元，与预期目标一致，根据评分标准，该指标不扣分，得0.5分。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2型糖尿病健康管理补助98元/人，与预期目标一致，根据评分标准，该指标不扣分，得0.5分。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严重精神障碍健康管理补助154元/人，与预期目标一致，根据评分标准，该指标不扣分，得0.5分。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肺结核健康管理补助410元/年，与预期目标一致，根据评分标准，该指标不扣分，得0.5分。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适龄人群国家免疫规划疫苗接种补助23元/人，与预期目标一致，根据评分标准，该指标不扣分，得0.5分。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设置健康教育宣传栏补助100元/期，与预期目标一致，根据评分标准，该指标不扣分，得0.5分。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国家随机监督宣传费1.3元/册，与预期目标一致，根据评分标准，该指标不扣分，得0.5分。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职业病防治培训费50元/人，与预期目标一致，根据评分标准，该指标不扣分，得1分。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人口监测费用成本70000元，与预期目标一致，根据评分标准，该指标不扣分，得0.5分。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农村妇女两癌筛查40元/人，与预期目标一致，根据评分标准，该指标不扣分，得0.5分。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地方病防治成本115000元，与预期目标一致，根据评分标准，该指标不扣分，得0.5分。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重大基本监测成本84000元，与预期目标一致，根据评分标准，该指标不扣分，得1分。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卫生监督协管2400元/卫生室，与预期目标一致，根据评分标准，该指标不扣分，得0.5分。</w:t>
      </w:r>
    </w:p>
    <w:p w14:paraId="742148B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3E68FC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p>
    <w:p w14:paraId="14689C3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27940022">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w:t>
      </w:r>
    </w:p>
    <w:p w14:paraId="2177C0A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223DBC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p>
    <w:p w14:paraId="2764240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37A36A6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14:paraId="049ADC9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634DD6C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5FFDD7-D84E-4D28-9A79-245793246F4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1494E18-DE68-464D-99D8-19B83D36F7A4}"/>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embedRegular r:id="rId3" w:fontKey="{2672965C-E688-4DCD-B090-142787748C8F}"/>
  </w:font>
  <w:font w:name="楷体">
    <w:panose1 w:val="02010609060101010101"/>
    <w:charset w:val="86"/>
    <w:family w:val="modern"/>
    <w:pitch w:val="default"/>
    <w:sig w:usb0="800002BF" w:usb1="38CF7CFA" w:usb2="00000016" w:usb3="00000000" w:csb0="00040001" w:csb1="00000000"/>
    <w:embedRegular r:id="rId4" w:fontKey="{02DE7442-137D-474A-A4A9-E99E0CBB78EF}"/>
  </w:font>
  <w:font w:name="方正仿宋_GBK">
    <w:panose1 w:val="02000000000000000000"/>
    <w:charset w:val="86"/>
    <w:family w:val="auto"/>
    <w:pitch w:val="default"/>
    <w:sig w:usb0="A00002BF" w:usb1="38CF7CFA" w:usb2="00082016" w:usb3="00000000" w:csb0="00040001" w:csb1="00000000"/>
    <w:embedRegular r:id="rId5" w:fontKey="{8A9A6C8F-F49D-4876-8D6A-E589CA4A4B02}"/>
  </w:font>
  <w:font w:name="仿宋">
    <w:panose1 w:val="02010609060101010101"/>
    <w:charset w:val="86"/>
    <w:family w:val="modern"/>
    <w:pitch w:val="default"/>
    <w:sig w:usb0="800002BF" w:usb1="38CF7CFA" w:usb2="00000016" w:usb3="00000000" w:csb0="00040001" w:csb1="00000000"/>
    <w:embedRegular r:id="rId6" w:fontKey="{3DDB15E7-1DD7-42A8-8F07-024C998D8D9E}"/>
  </w:font>
  <w:font w:name="方正楷体_GBK">
    <w:altName w:val="微软雅黑"/>
    <w:panose1 w:val="00000000000000000000"/>
    <w:charset w:val="86"/>
    <w:family w:val="auto"/>
    <w:pitch w:val="default"/>
    <w:sig w:usb0="00000000" w:usb1="00000000" w:usb2="00000000" w:usb3="00000000" w:csb0="00040000" w:csb1="00000000"/>
    <w:embedRegular r:id="rId7" w:fontKey="{4B9235BD-15A7-449B-8492-74E0FE06F61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B22BBD6">
        <w:pPr>
          <w:pStyle w:val="12"/>
          <w:jc w:val="center"/>
        </w:pPr>
        <w:r>
          <w:fldChar w:fldCharType="begin"/>
        </w:r>
        <w:r>
          <w:instrText xml:space="preserve">PAGE   \* MERGEFORMAT</w:instrText>
        </w:r>
        <w:r>
          <w:fldChar w:fldCharType="separate"/>
        </w:r>
        <w:r>
          <w:rPr>
            <w:lang w:val="zh-CN"/>
          </w:rPr>
          <w:t>1</w:t>
        </w:r>
        <w:r>
          <w:fldChar w:fldCharType="end"/>
        </w:r>
      </w:p>
    </w:sdtContent>
  </w:sdt>
  <w:p w14:paraId="4879EF7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9443959"/>
    <w:rsid w:val="1C1B5A25"/>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35</Pages>
  <Words>12493</Words>
  <Characters>13419</Characters>
  <Lines>5</Lines>
  <Paragraphs>1</Paragraphs>
  <TotalTime>39</TotalTime>
  <ScaleCrop>false</ScaleCrop>
  <LinksUpToDate>false</LinksUpToDate>
  <CharactersWithSpaces>13475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笑问胖砸你是sei</cp:lastModifiedBy>
  <cp:lastPrinted>2018-12-31T10:56:00Z</cp:lastPrinted>
  <dcterms:modified xsi:type="dcterms:W3CDTF">2025-05-15T09:08:44Z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eyJoZGlkIjoiZDRjOWVjNjM2YjJkZDljYWZmOWE3YmM4MDE2YWI2YmUiLCJ1c2VySWQiOiI1NDY5NjEyODMifQ==</vt:lpwstr>
  </property>
  <property fmtid="{D5CDD505-2E9C-101B-9397-08002B2CF9AE}" pid="4" name="ICV">
    <vt:lpwstr>9BA9728E58CB45D6A157DD44B439D315_12</vt:lpwstr>
  </property>
</Properties>
</file>