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7AF39">
      <w:pPr>
        <w:spacing w:line="570" w:lineRule="exact"/>
        <w:jc w:val="center"/>
        <w:rPr>
          <w:rFonts w:ascii="华文中宋" w:hAnsi="华文中宋" w:eastAsia="华文中宋" w:cs="宋体"/>
          <w:b/>
          <w:kern w:val="0"/>
          <w:sz w:val="52"/>
          <w:szCs w:val="52"/>
        </w:rPr>
      </w:pPr>
    </w:p>
    <w:p w14:paraId="54950F8C">
      <w:pPr>
        <w:spacing w:line="570" w:lineRule="exact"/>
        <w:jc w:val="center"/>
        <w:rPr>
          <w:rFonts w:ascii="华文中宋" w:hAnsi="华文中宋" w:eastAsia="华文中宋" w:cs="宋体"/>
          <w:b/>
          <w:kern w:val="0"/>
          <w:sz w:val="52"/>
          <w:szCs w:val="52"/>
        </w:rPr>
      </w:pPr>
    </w:p>
    <w:p w14:paraId="4C8D67A9">
      <w:pPr>
        <w:spacing w:line="570" w:lineRule="exact"/>
        <w:jc w:val="center"/>
        <w:rPr>
          <w:rFonts w:ascii="华文中宋" w:hAnsi="华文中宋" w:eastAsia="华文中宋" w:cs="宋体"/>
          <w:b/>
          <w:kern w:val="0"/>
          <w:sz w:val="52"/>
          <w:szCs w:val="52"/>
        </w:rPr>
      </w:pPr>
    </w:p>
    <w:p w14:paraId="57E307E7">
      <w:pPr>
        <w:spacing w:line="570" w:lineRule="exact"/>
        <w:jc w:val="center"/>
        <w:rPr>
          <w:rFonts w:ascii="华文中宋" w:hAnsi="华文中宋" w:eastAsia="华文中宋" w:cs="宋体"/>
          <w:b/>
          <w:kern w:val="0"/>
          <w:sz w:val="52"/>
          <w:szCs w:val="52"/>
        </w:rPr>
      </w:pPr>
    </w:p>
    <w:p w14:paraId="610825F4">
      <w:pPr>
        <w:spacing w:line="570" w:lineRule="exact"/>
        <w:jc w:val="both"/>
        <w:rPr>
          <w:rFonts w:ascii="华文中宋" w:hAnsi="华文中宋" w:eastAsia="华文中宋" w:cs="宋体"/>
          <w:b/>
          <w:kern w:val="0"/>
          <w:sz w:val="52"/>
          <w:szCs w:val="52"/>
        </w:rPr>
      </w:pPr>
    </w:p>
    <w:p w14:paraId="50AE81CA">
      <w:pPr>
        <w:spacing w:line="570" w:lineRule="exact"/>
        <w:jc w:val="center"/>
        <w:rPr>
          <w:rFonts w:ascii="华文中宋" w:hAnsi="华文中宋" w:eastAsia="华文中宋" w:cs="宋体"/>
          <w:b/>
          <w:kern w:val="0"/>
          <w:sz w:val="52"/>
          <w:szCs w:val="52"/>
        </w:rPr>
      </w:pPr>
    </w:p>
    <w:p w14:paraId="7C099D90">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7C92131A">
      <w:pPr>
        <w:spacing w:line="570" w:lineRule="exact"/>
        <w:jc w:val="center"/>
        <w:rPr>
          <w:rFonts w:ascii="华文中宋" w:hAnsi="华文中宋" w:eastAsia="华文中宋" w:cs="宋体"/>
          <w:b/>
          <w:kern w:val="0"/>
          <w:sz w:val="52"/>
          <w:szCs w:val="52"/>
        </w:rPr>
      </w:pPr>
    </w:p>
    <w:p w14:paraId="392375D2">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AC81D89">
      <w:pPr>
        <w:spacing w:line="570" w:lineRule="exact"/>
        <w:jc w:val="center"/>
        <w:rPr>
          <w:rFonts w:hAnsi="宋体" w:eastAsia="仿宋_GB2312" w:cs="宋体"/>
          <w:kern w:val="0"/>
          <w:sz w:val="30"/>
          <w:szCs w:val="30"/>
        </w:rPr>
      </w:pPr>
    </w:p>
    <w:p w14:paraId="5C42BD48">
      <w:pPr>
        <w:spacing w:line="570" w:lineRule="exact"/>
        <w:jc w:val="center"/>
        <w:rPr>
          <w:rFonts w:hAnsi="宋体" w:eastAsia="仿宋_GB2312" w:cs="宋体"/>
          <w:kern w:val="0"/>
          <w:sz w:val="30"/>
          <w:szCs w:val="30"/>
        </w:rPr>
      </w:pPr>
    </w:p>
    <w:p w14:paraId="7E501687">
      <w:pPr>
        <w:spacing w:line="570" w:lineRule="exact"/>
        <w:jc w:val="center"/>
        <w:rPr>
          <w:rFonts w:hAnsi="宋体" w:eastAsia="仿宋_GB2312" w:cs="宋体"/>
          <w:kern w:val="0"/>
          <w:sz w:val="30"/>
          <w:szCs w:val="30"/>
        </w:rPr>
      </w:pPr>
    </w:p>
    <w:p w14:paraId="1FB453AE">
      <w:pPr>
        <w:spacing w:line="570" w:lineRule="exact"/>
        <w:jc w:val="center"/>
        <w:rPr>
          <w:rFonts w:hAnsi="宋体" w:eastAsia="仿宋_GB2312" w:cs="宋体"/>
          <w:kern w:val="0"/>
          <w:sz w:val="30"/>
          <w:szCs w:val="30"/>
        </w:rPr>
      </w:pPr>
    </w:p>
    <w:p w14:paraId="1D29957E">
      <w:pPr>
        <w:spacing w:line="570" w:lineRule="exact"/>
        <w:jc w:val="center"/>
        <w:rPr>
          <w:rFonts w:hAnsi="宋体" w:eastAsia="仿宋_GB2312" w:cs="宋体"/>
          <w:kern w:val="0"/>
          <w:sz w:val="30"/>
          <w:szCs w:val="30"/>
        </w:rPr>
      </w:pPr>
    </w:p>
    <w:p w14:paraId="42D47642">
      <w:pPr>
        <w:spacing w:line="570" w:lineRule="exact"/>
        <w:jc w:val="center"/>
        <w:rPr>
          <w:rFonts w:hAnsi="宋体" w:eastAsia="仿宋_GB2312" w:cs="宋体"/>
          <w:kern w:val="0"/>
          <w:sz w:val="30"/>
          <w:szCs w:val="30"/>
        </w:rPr>
      </w:pPr>
    </w:p>
    <w:p w14:paraId="710B6422">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2022年自治区公共卫生服务（地方公共卫生）补助项目</w:t>
      </w:r>
    </w:p>
    <w:p w14:paraId="7846EC2D">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卫生健康委员会</w:t>
      </w:r>
    </w:p>
    <w:p w14:paraId="51E36EC2">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卫生健康委员会</w:t>
      </w:r>
    </w:p>
    <w:p w14:paraId="151D23D0">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古力努尔·肉孜</w:t>
      </w:r>
    </w:p>
    <w:p w14:paraId="2CBA2D7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2023年04月10日</w:t>
      </w:r>
    </w:p>
    <w:p w14:paraId="0E7F9829">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4EF3964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DAD2203">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772A40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2022年度自治区公共卫生服务（地方公共卫生）项目实施前期、过程及效果，评价财政预算资金使用的效率及效益。为提高预算完整性，加快支出进度，做好我县2022年全民健康体检工作，根据《关于下达2022年自治区公共卫生服务（地方公共卫生）补助资金预算的通知》（克财社〔2022〕10号）文件要求，专项用于开展全民健康体检、鼠疫防治工作，全面掌握阿克陶县城乡居民健康状况，分析影响城乡居民健康的主要因素，对危害群众健康的各类疾病做到“早发现、早诊断、早预防、早治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1.全民健康体检工作：2022年第一批基本公共卫生服务项目资金1005.90万元（自治区补助资金）15-64岁人群按照100元/人、学生按照4元/人拨付我县，继续做好全民将体检工作，将公共卫生均等化水平得到充分展现。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鼠疫监测工作项目：①业务经费类：项目资金4万元，其中：技术培训、健康教育、现场指导、人员野外补助、劳务费。开展技术培训4场次、健康教育10场次、现场指导5次、人员野外补助100天/5人、劳务费(租马2匹/10天、处理宿主动物)等，达到保障鼠疫监测点工作的正常运行，有效降低人间鼠疫发生风险的效果。②基本保障类：项目资金0.5万元，其中：缴纳电费、水费、采暖费等，达到保障鼠疫监测站的正常运行，保证工作人员基本生活需求的效果。③物资采购类：项目资金3万元，其中：试剂耗材采购、应急物资采购、救治药物采购、疫区处理消毒剂、宣传材料、车辆维修、加油等，达到保障鼠疫监测站的正常运行，有效降低人间鼠疫发生风险的效果。④政府购买服务类：项目资金0.5万元，其中：引进第三方1家，开展监测点实验室设备效验等，达到鼠疫监测点进行维护、维缮，保障鼠疫监测站的正常运行效果。⑤信息化建设类：项目资金2万元，其中：建设监测点监控系统1套、引入移动网络等，达到鼠疫网络直报覆盖，突发公共卫生事件快速传递处置的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新疆籍城乡居民和新疆籍流动人口开展全民健康体检。2022年底前，全民健康体检完成率达到100%。全民健康体检受益人数≥20万人；全民健康体检业务指导次数≥1次；开展新闻媒体宣传≥4次；开展基层医疗卫生人才培训≥1次；体检完成率≥90%；全民健康体检设备到位率≥70%；全民健康体检完成及时率≥100%；体检费用补贴人均100元；公共卫生均等化水平逐步提高；居民满意度不断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卫健委牵头组织县直和各乡（镇）卫生院共18家医疗机构设立18个体检点实施，分别是：阿克陶县人民医院、县维吾尔医医院，县妇幼保健计划生育服务中心和15家乡镇卫生院。主要职能是县卫健委：负责协调相关部门，组织开展检查、督导和验收评估等工作，统筹各级、各类医疗卫生资源，做好全民健康体检和完善健康档案工作。各级全民健康体检医疗机构职责是对新疆籍城乡居民和新疆籍流动人口开展全民健康体检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根据《关于下达2022年自治区公共卫生服务（地方公共卫生）补助资金预算的通知》（克财社〔2022〕10号）文件，将1005.90万元资金拨付到位,资金到位率100%。预算资金实际执行1005.9万元。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截至2022年12月31日，实际支出1005.9万元，预算执行率100%。</w:t>
      </w:r>
    </w:p>
    <w:p w14:paraId="597D6DC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32BB98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全民健康体检工作，全民健康体检覆盖率100%；全民健康体检信息系统建设率》50%；居民健康档案规范化电子建档率》75%；全民健康体检设备到位率》70%；2022年11月底前完成。居民健康保健意识和知晓率逐步提高；居民健康水平提高。新建鼠疫监测点生物安全实验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“全民健康体检督导次数”指标，预期指标值为≥1次；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“15-64岁健康体检受益人数”指标，预期指标值为≥96197人；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“企业退休人员体检受益人数”指标，预期指标值为≥554人；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“流动人口体检受益人数”,预期指标值为≥1093人；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“学生健康体检受益人数”,预期指标值为≥43650人；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“鼠疫监测点生物安全实验室能力提升”,预期指标值为≥1间实验室；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“鼠疫检查体系能力建设”,预期指标值为100%；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体检完成率，预期指标值为≥100；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居民健康档案规范化电子建档率，预期指标值为≥75%;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全民健康体检设备到位率，预期指标值为≥70%;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全民健康信息系统建设率，预期指标值为≥50%;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鼠疫检查体系能力建设，预期指标值为1间；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项目完成时效指标，预期指标值为12月。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15-64岁健康体检补助指标，预期指标值为=100元/人；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企业退休人员体检补助指标，预期指标值为=100元/人；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流动人口体检补助指标，预期指标值为=100元/人；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学生健康体检补助指标，预期指标值为=4元/人；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防治鼠疫项目完成成本控制指标，预期指标值为=100000元/人。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掌握重点区域数亿的鼠疫控制，掌握对健康危害因素，降低鼠疫发生风险。预期指标值为有效提升；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居民健康保健意识和知晓率指标，预期指标值为有效提高；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提高健康水平指标，预期指标值为有效提高；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提高人民群众的使用等烈性传染病的预防疾病意识和控制传染病的保护意识。预期指标值为促进传染病的预防、控制意识。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预防控制鼠疫，并保持社会经济的可持续发展有重大影响，预期指标值为有效有效预防；</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“全民健康体检受益人满意度”指标，预期指标值为≥90%。</w:t>
      </w:r>
    </w:p>
    <w:p w14:paraId="7C3869C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EC1D4E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4089C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65DAC52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40D8A1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公共卫生服务（地方公共卫生）补助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07BED6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8A317C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  长：匡春燕（县卫健委党组副书记、主任）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副组长：韩小青（县卫健委党组成员、副主任）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  员：王守辉（县卫健委党组成员、副主任）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余  新（县卫生健康综合监督执法局局长）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郭国华（县卫健委副主任、援疆挂职干部）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居马洪·奥布力（县卫健委副主任科员）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孟千君（县疾病预防控制中心党组副书记、主任）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  雷（县人民医院党委书记、副院长）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艾斯卡尔·阿西木（县维吾尔医医院党支部副书记、院长）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吾守尔·司马义（县妇幼保健与计划生育服务中心党支部副书记、主任）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丁伟（县卫健委财务办公室主任）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张永梅（县卫健委核算中心主任）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阿尔曼·阿不来提（县卫健委医政办主任）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魏金娟（县卫健委公卫办主任）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古力努尔·肉孜（县卫健委基妇办主任）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林山清 （县卫健委疾控办主任）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木沙江·多日（阿克陶镇卫生院院长）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阿布都如苏力·吾买尔（巴仁乡卫生院院长）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依丽努尔·阿卜杜克热木（皮拉勒乡卫生院院长）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努尔艾力·米吉提（皮拉勒乡恰瓦克卫生院院长）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阿布力克木·吐尔地 （玉麦乡卫生院院长）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肖开提·努如孜  （加马铁力克乡卫生院党支部书记、院长）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阿布都艾力·阿卜来提  （喀热克其克乡卫生院党支部书记、院长）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阿力普·阿布都萨依提 （奥依塔克镇卫生院党支部书记、院长）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玉苏因巴依·吾吉  （克孜勒陶镇卫生院党支部书记、院长）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布艾妮排·阿卜杜拉   （恰尔隆镇卫生院党支部书记）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航尼扎提·艾尔盖西   （布伦口乡卫生院党支部书记、院长）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卡米力·别克巴依     （木吉乡卫生院党支部书记）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买买提库尔班 ·米尔扎（塔尔塔吉克民族乡卫生院党支部书记、院长）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热比耶古丽·吾拉依木 （托尔塔依农场卫生院党支部书记、院长）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罕左合热·阿卜杜热亚提 （阿克达拉牧场管卫生院党支部书记、院长）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贾秀华（社区卫生服务中心主任）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匡春燕负责基本公共卫生服务资金管理和资金绩效管理全面工作，副组长韩小青负责资金管理分配和使用监督，领导小组下设办公室,办公室设在县卫健委全民健康体检领导小组办公室,由古力努尔·肉孜同志具体负责日常工作，由公卫、疾控、医政、基妇办具体负责相关资金分配和绩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0C19B82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14D72C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共卫生服务（地方公共卫生）补助”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通过全民健康体检项目的推进，进一步明确了各基层医疗卫生机构服务职能为主的职能定位。通过项目的实施开展形式多样的卫生健康教育，引导群众养成积极健康的生活方式，减少了主要健康危害因素，有效预防和控制了传染病及慢性疾病，城乡居民逐步获得均等化的基本公共卫生服务，健康水平得到进一步提高。</w:t>
      </w:r>
    </w:p>
    <w:p w14:paraId="7AFEB67B">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015C4D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8B05BD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关于下达2022年自治区公共卫生服务（地方公共卫生）补助资金预算的通知》（克财社〔2022〕10号）文件，并结合阿克陶县卫生健康委员会职责组织实施。围绕阿克陶县卫生健康委员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卫生健康委员会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关于下达2022年自治区公共卫生服务（地方公共卫生）补助资金预算的通知》（克财社〔2022〕10号），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自治区全民健康体检领导小组《关于有序开展2020年全民健康体检工作的通知》（新体检办发〔2020〕1号），《关于进一步做好2021年度常态化疫情防控下全民健康体检工作的通知》（新体检发〔2021〕1号）等文件要求，组织开展我县2022年度全民金康体检工作。资金分配与实际相适应，根据评分标准，该指标不扣分，得5分。</w:t>
      </w:r>
    </w:p>
    <w:p w14:paraId="544477E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1C9C32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（1）资金到位率：该项目总投资1005.90万元，实际下达经费1005.90万元，当年财政拨款1005.90万元。财政资金足额拨付到位，根据评分标准，该指标不扣分，得5分。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（2）预算执行率：本项目申请预算金额为1005.90万元，预算批复实际下达金额为 1005.90万元截至 2022年 12 月 31日，资金执行1005.96万元，资金执行率100.00%。项目资金支出总体能够按照预算执行，根据评分标准，该指标不扣分，得5分。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关于印发2020年自治区基本公共卫生服务项目经费参考标准的通知》（新卫基层发〔2020〕2号）文件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（4）管理制度健全性：该项目严格按照《阿克陶县卫生健康委员会财务制度》及相关的制度和管理规定实施，对财政专项资金进行严格管理，基本做到了专款专用，根据评分标准，该指标不扣分，得2分。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755F98A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9D3F4D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全民健康体检督导次数≥1次，与预期目标一致，根据评分标准，该指标不扣分，得1分。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15-64岁健康体检受益人数≥96197人，与预期目标一致，根据评分标准，该指标不扣分，得2分。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企业退休人员体检受益人数≥554人指标，与预期目标一致，根据评分标准，该指标不扣分，得2分。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流动人口体检受益人数≥1093人,与预期目标一致，根据评分标准，该指标不扣分，得2分。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学生健康体检受益人数≥43650人,与预期目标一致，根据评分标准，该指标不扣分，得2分。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鼠疫监测点生物安全实验室能力提升≥1,与预期目标一致，根据评分标准，该指标不扣分，得0.5分。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鼠疫检查体系能力建设率100%,与预期目标一致，根据评分标准，该指标不扣分，得0.5分。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居民健康档案规范化电子建档率≥75%，与预期目标一致，根据评分标准，该指标不扣分，得2分；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全民健康体检设备到位率≥70%，与预期目标一致，根据评分标准，该指标不扣分，得2分；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全民健康信息系统建设率≥50%，与预期目标一致，根据评分标准，该指标不扣分，得2分；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鼠疫检查体系能力建设1间，与预期目标一致，根据评分标准，该指标不扣分，得2分；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任务完成时间2022年12月，与预期目标指标一致，根据评分标准，该指标不扣分，得10分。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该项目本年支出金额1005.90万元，项目经费能够控制在绩效目标范围内，根据评分标准，该指标不扣分，得10分。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14:paraId="610BA32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3C507C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对于“经济效益指标”： 掌握重点区域数亿的鼠疫控制，掌握对健康危害因素，降低鼠疫发生风险，与预期指标一致，根据评分标准，该指标不扣分，得2分；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对于“社会效益指标”：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①居民健康保健意识和知晓率指标，与预期指标一致，根据评分标准，该指标不扣分，得2分；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②提高健康水平指标，与预期指标一致，根据评分标准，该指标不扣分，得2分；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提高人民群众的使用等烈性传染病的预防疾病意识和控制传染病的保护意识，与预期指标一致，根据评分标准，该指标不扣分，得2分；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预防控制鼠疫，并保持社会经济的可持续发展有重大影响，与预期指标一致，根据评分标准，该指标不扣分，得2分；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对于满意度指标：全民健康体检受益人满意度≥95%，与预期指标一致，根据评分标准，该指标不扣分，得10分；</w:t>
      </w:r>
    </w:p>
    <w:p w14:paraId="337EDEF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C05047E">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2022年度自治区公共卫生服务（地方公共卫生）补助项目预算1005.90万元，到位1005.90万元，实际支出1005.90万元，预算执行率为100%，项目绩效指标总体完成率为100%，预算执行进度与绩效指标无偏差。</w:t>
      </w:r>
    </w:p>
    <w:p w14:paraId="332D365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56FAC64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高位推动，有序组织。阿克陶县始终将实施全民健康体检工程与落实克州卫生工作安排相结合，与各族群众关心的惠民暖心工程相结合，与疫情防控工作相结合，我县制定下发了《阿克陶县2020年全民健康体检工程实施方案》，《关于做好2022年阿克陶县全民健康体检工作的通知》调整了县全民健康体检领导小组，明确了各成员单位工作职责，形成了县级分管领导亲自抓，一级抓一级，层层抓落实的工作格局，召开全民健康体检动员部署、多次召开日间推进会议。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抓好宣传，营造氛围。各乡（镇、场）、社区、村利用广播、大喇叭、各级干部入户等多种形式，向群众宣传全健民康体检工程的意义和党的惠民政策。各乡（镇、场）卫生院在体检点通过悬挂横幅、张贴体检指示牌、公示体检项目及流程等方式进行宣传，今年我县统一印制了9万余份含十种疾病的农村版健康教育指导宣传单，发放到体检对象手中；各体检机构均设有全民健康体检宣传栏，让群众充分了解健康体格的好处、时间节点、体检项目、注意事项，更重要的是要让群众了解健康体检是政府关心群众疾苦，提高群众健康素质，不收取群众任何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强化培训，提高水平。我县组织医疗机构行政管理、主检医师、体检医师、辅助检查医师、信息录入人员、督导检查人员等100余人（次）参加了自治区举办的全民健康体检视频培训班，为确保培训效果，扩大参培人员范围，我县联系自治区移动云视讯工作人员，将信号接通到我县各乡镇卫生院，方便各卫生院工作人员在本单位就能参加培训。此后为进一步强化培训效果，再次举办培训班再次学习了自治区全民健康体检课件内容，并组织参培人员进行了测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加强防控，安全体检。新冠肺炎疫情防控工作开展以来，我们紧扣县疫情防控工作总体安排部署，坚决贯彻习近平总书记提出的“坚定信心、同舟共济、科学防治、精准施策”要求，开展场所防控、个人防护、应急处置等方面工作，我县各体检医疗机构专门设置了预检分诊，提前将发热病人与体检人员进行隔离，保障各体检机构工作人员的手套、口罩等防护物资充足，体检区域严格落实消杀工作，医务人员及时做好自我防护，对所有体检人员做好测体温和登记，同时每日严格控制体检人数，参检居民按照每人间隔一米的距离佩戴好口罩,等候体检，注意做好自我防控,科学有序推动我县全民健康体检工作，全力做好百姓的健康“守门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有序引导，提升服务。以乡镇为单位、以村为单元、以村民小组为分解、每天控制体检人数，有序组织农民参检；在各体检点设置醒目的引导标识、体检侯检等待区，实行座位隔位安排，配备引导员、宣讲员、服务员等组织引导体检群众；各体检点按照体检的项目时间节点，为群众准备开水、牛奶和馕等食品，待群众空腹体检项目完成后，对需要适当补充体能的群众，安排错时进餐；在群众侯检期间安排相关人员进行党的惠民政策、地方病、传染病预防、计划生育、法律法规、民族团结等方面的宣传教育；落实自治区全民健康体检异常结果管理办法，执行A类、B类重要异常结果筛查流程，有效化解社会矛盾、上访纠纷，确保了每一名群众都能得到及时可靠的诊断和治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6、完善制度，保质保量。我县建立“周报”制度，定期汇总体检人数。由专人做统计分析，及时上报</w:t>
      </w:r>
      <w:r>
        <w:rPr>
          <w:rStyle w:val="18"/>
          <w:rFonts w:hint="eastAsia" w:ascii="仿宋" w:hAnsi="仿宋" w:eastAsia="仿宋" w:cs="仿宋"/>
          <w:b w:val="0"/>
          <w:bCs w:val="0"/>
          <w:spacing w:val="-4"/>
          <w:sz w:val="32"/>
          <w:szCs w:val="32"/>
          <w:lang w:eastAsia="zh-CN"/>
        </w:rPr>
        <w:t>县委、县政府</w:t>
      </w:r>
      <w:r>
        <w:rPr>
          <w:rStyle w:val="18"/>
          <w:rFonts w:hint="eastAsia" w:ascii="仿宋" w:hAnsi="仿宋" w:eastAsia="仿宋" w:cs="仿宋"/>
          <w:b w:val="0"/>
          <w:bCs w:val="0"/>
          <w:spacing w:val="-4"/>
          <w:sz w:val="32"/>
          <w:szCs w:val="32"/>
        </w:rPr>
        <w:t>和自治州有关部门，使各级领导和分管领导及时掌握体检每日、每周完成情况，以便于加强对各乡（镇、场）体检进度的监督；成立专项指导组，不定期、不定点的对工作开展情况进行指导，完善全民健康体检档案；注重体检结果运用，各体检点在居民体检后一周内向居民告知体检结果，加强对重要阳性指标的管理，每周统计汇总体检阳性数据统计表制，综合分析，分类施策，采取针对性措施，切实做好对危害群众健康的各类疾病“早发现、早诊断、早治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注重体检后的跟踪随访。为了让体检真正能够达到指导群众健康生活的目的，通过反馈体检结果，指导健康生活，开展形式多样的健康教育，引导群众养成积极健康的生活方式，提高群众健康知识知晓率和健康行为形成率；对全体参检群众，我县为其安排1+1+1的家庭医生服务团队，为其开展家庭医生签约服务；对检出的患病群众，对符合住院指征的开通救治绿色通道，并通过居民医保、大病保险、民政及贫困救助等多渠道降低医疗费用；符合条件的按分级诊疗政策上转治疗；对肺结核患者需要隔离治疗的，规劝其到县结核病隔离点隔离治疗；对高血压、糖尿病、精神病患者纳入公共卫生</w:t>
      </w:r>
      <w:bookmarkStart w:id="0" w:name="_GoBack"/>
      <w:bookmarkEnd w:id="0"/>
      <w:r>
        <w:rPr>
          <w:rStyle w:val="18"/>
          <w:rFonts w:hint="eastAsia" w:ascii="仿宋" w:hAnsi="仿宋" w:eastAsia="仿宋" w:cs="仿宋"/>
          <w:b w:val="0"/>
          <w:bCs w:val="0"/>
          <w:spacing w:val="-4"/>
          <w:sz w:val="32"/>
          <w:szCs w:val="32"/>
          <w:lang w:eastAsia="zh-CN"/>
        </w:rPr>
        <w:t>常态化</w:t>
      </w:r>
      <w:r>
        <w:rPr>
          <w:rStyle w:val="18"/>
          <w:rFonts w:hint="eastAsia" w:ascii="仿宋" w:hAnsi="仿宋" w:eastAsia="仿宋" w:cs="仿宋"/>
          <w:b w:val="0"/>
          <w:bCs w:val="0"/>
          <w:spacing w:val="-4"/>
          <w:sz w:val="32"/>
          <w:szCs w:val="32"/>
        </w:rPr>
        <w:t>管理，及时予以健康指导，定期检查，指导用药，跟踪随访，做到检查周到细致，随访服务跟踪到户。</w:t>
      </w:r>
    </w:p>
    <w:p w14:paraId="12B972A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7277A4B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3．评价工作应从项目实施方案源头抓起，评价工作和意识应贯穿项目整个过程</w:t>
      </w:r>
    </w:p>
    <w:p w14:paraId="7C1B3E8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03DDDD94">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665987-E13F-4C08-AE25-B8C1DB05E2F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F360C2E-4163-4B56-8D29-FB700CB22932}"/>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embedRegular r:id="rId3" w:fontKey="{250263E7-182A-4713-A06A-A07A554DF211}"/>
  </w:font>
  <w:font w:name="仿宋">
    <w:panose1 w:val="02010609060101010101"/>
    <w:charset w:val="86"/>
    <w:family w:val="modern"/>
    <w:pitch w:val="default"/>
    <w:sig w:usb0="800002BF" w:usb1="38CF7CFA" w:usb2="00000016" w:usb3="00000000" w:csb0="00040001" w:csb1="00000000"/>
    <w:embedRegular r:id="rId4" w:fontKey="{9AE5753D-70A0-4B97-83F1-0D2C56C56D85}"/>
  </w:font>
  <w:font w:name="楷体">
    <w:panose1 w:val="02010609060101010101"/>
    <w:charset w:val="86"/>
    <w:family w:val="modern"/>
    <w:pitch w:val="default"/>
    <w:sig w:usb0="800002BF" w:usb1="38CF7CFA" w:usb2="00000016" w:usb3="00000000" w:csb0="00040001" w:csb1="00000000"/>
    <w:embedRegular r:id="rId5" w:fontKey="{C9999507-726A-4ADD-8739-5ECE2D4150A9}"/>
  </w:font>
  <w:font w:name="方正仿宋_GBK">
    <w:panose1 w:val="02000000000000000000"/>
    <w:charset w:val="86"/>
    <w:family w:val="auto"/>
    <w:pitch w:val="default"/>
    <w:sig w:usb0="A00002BF" w:usb1="38CF7CFA" w:usb2="00082016" w:usb3="00000000" w:csb0="00040001" w:csb1="00000000"/>
    <w:embedRegular r:id="rId6" w:fontKey="{56DADFE4-07E7-4E5B-9A35-60B2FB14480C}"/>
  </w:font>
  <w:font w:name="方正楷体_GBK">
    <w:altName w:val="微软雅黑"/>
    <w:panose1 w:val="00000000000000000000"/>
    <w:charset w:val="86"/>
    <w:family w:val="auto"/>
    <w:pitch w:val="default"/>
    <w:sig w:usb0="00000000" w:usb1="00000000" w:usb2="00000000" w:usb3="00000000" w:csb0="00040000" w:csb1="00000000"/>
    <w:embedRegular r:id="rId7" w:fontKey="{45F9F4B1-B009-4B30-AA47-A0599A3BEF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7E1E28C">
        <w:pPr>
          <w:pStyle w:val="12"/>
          <w:jc w:val="center"/>
        </w:pPr>
        <w:r>
          <w:fldChar w:fldCharType="begin"/>
        </w:r>
        <w:r>
          <w:instrText xml:space="preserve">PAGE   \* MERGEFORMAT</w:instrText>
        </w:r>
        <w:r>
          <w:fldChar w:fldCharType="separate"/>
        </w:r>
        <w:r>
          <w:rPr>
            <w:lang w:val="zh-CN"/>
          </w:rPr>
          <w:t>1</w:t>
        </w:r>
        <w:r>
          <w:fldChar w:fldCharType="end"/>
        </w:r>
      </w:p>
    </w:sdtContent>
  </w:sdt>
  <w:p w14:paraId="7615260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4F20441A"/>
    <w:rsid w:val="50796DE0"/>
    <w:rsid w:val="5DA70C36"/>
    <w:rsid w:val="67DB12B4"/>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28</Pages>
  <Words>10755</Words>
  <Characters>11206</Characters>
  <Lines>5</Lines>
  <Paragraphs>1</Paragraphs>
  <TotalTime>35</TotalTime>
  <ScaleCrop>false</ScaleCrop>
  <LinksUpToDate>false</LinksUpToDate>
  <CharactersWithSpaces>11441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笑问胖砸你是sei</cp:lastModifiedBy>
  <cp:lastPrinted>2018-12-31T10:56:00Z</cp:lastPrinted>
  <dcterms:modified xsi:type="dcterms:W3CDTF">2025-05-15T09:13:16Z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eyJoZGlkIjoiZDRjOWVjNjM2YjJkZDljYWZmOWE3YmM4MDE2YWI2YmUiLCJ1c2VySWQiOiI1NDY5NjEyODMifQ==</vt:lpwstr>
  </property>
  <property fmtid="{D5CDD505-2E9C-101B-9397-08002B2CF9AE}" pid="4" name="ICV">
    <vt:lpwstr>E460ECFB813740CBA5C1D932CA15EBEA_12</vt:lpwstr>
  </property>
</Properties>
</file>