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w:t>
      </w:r>
      <w:r>
        <w:rPr>
          <w:rFonts w:hint="eastAsia" w:ascii="方正小标宋_GBK" w:hAnsi="华文中宋" w:eastAsia="方正小标宋_GBK" w:cs="宋体"/>
          <w:b/>
          <w:kern w:val="0"/>
          <w:sz w:val="44"/>
          <w:szCs w:val="44"/>
          <w:lang w:val="en-US" w:eastAsia="zh-CN"/>
        </w:rPr>
        <w:t>克州</w:t>
      </w:r>
      <w:r>
        <w:rPr>
          <w:rFonts w:hint="eastAsia" w:ascii="方正小标宋_GBK" w:hAnsi="华文中宋" w:eastAsia="方正小标宋_GBK" w:cs="宋体"/>
          <w:b/>
          <w:kern w:val="0"/>
          <w:sz w:val="44"/>
          <w:szCs w:val="44"/>
        </w:rPr>
        <w:t>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基本公共卫生服务项目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卫生健康委员会</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 xml:space="preserve"> 卫生健康委员会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2023年04月10日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（一）项目概况</w:t>
        <w:br/>
        <w:t>　　1.项目背景</w:t>
        <w:br/>
        <w:t>本项目遵循财政部《项目支出绩效评价管理办法》（财预〔2020〕10号）和自治区财政厅《自治区财政支出绩效评价管理暂行办法》（新财预〔2018〕189号）等相关政策文件与规定，旨在评价基本公共卫生服务项目实施前期、过程及效果，评价财政预算资金使用的效率及效益。为加强和规范基本公共卫生服务资金管理，规范资金安排、分配、使用、监管的等管理方式、压实资金管理责任，提高财政资金经济效益和社会效益，通过实施十四项基本公共卫生服务项目，对城乡居民健康问题主要卫生问题实施干预，减少主要健康危险因素，推进公共卫生服务均等化水平。结合我县实际，特制定本方案。</w:t>
        <w:br/>
        <w:t>2.主要内容及实施情况</w:t>
        <w:br/>
        <w:t>（1）主要内容</w:t>
        <w:br/>
        <w:t>1.基本公共卫生类：2022年基本公共卫生服务项目资金340.42万元（自治区补助资金），依据《国家基本公共卫生服务规范（第三版）》，继续实施建立居民健康档案、健康教育、预防接种、儿童健康管理、孕产妇健康管理、老年人健康管理、高血压和糖尿病等慢性病患者健康管理等项目，提高居民健康保健意识和健康知识知晓率，提高居民健康水平，改善公共卫生均等化水平，使城乡居民逐步享有均等化的公共卫生服务。</w:t>
        <w:br/>
        <w:t>2.重大疾病检测类：项目资金0.6万元（自治区补助资金），有效预防和控制重点传染病，提高公共卫生服务和突发公共卫生事件应急处置能力。</w:t>
        <w:br/>
        <w:t>　 （2）实施情况</w:t>
        <w:br/>
        <w:t xml:space="preserve">   依据《关于印发基本公共卫生服务等5项补助资金管理办法的通知》（财社〔2019〕113号）文件、《关于印发2020年自治区基本公共卫生服务项目经费参考标准的通知》（新卫基层发〔2020〕2号）文件以及《关于提前下达2022年自治区基本公共卫生服务补助资金预算的通知》（克财社〔2021〕92号）文件和《关于拨付2022年自治区基本公共卫生服务补助资金（第二批）的通知》（克财社〔2022〕49号）文件。</w:t>
        <w:br/>
        <w:t>　　3.项目实施主体</w:t>
        <w:br/>
        <w:t>通过基层公共卫生服务项目工作的推进，进一步明确了各基层医疗卫生机构公共卫生服务职能为主的职能定位。通过项目的实施对全县居民健康问题实施干预，减少了主要健康危害因素，有效预防和控制了传染病及慢性疾病，城乡居民逐步获得均等化的基本公共卫生服务，健康水平得到进一步提高。</w:t>
        <w:br/>
        <w:t>1.居民健康档案管理。截止12月31日，全县共建有电子健康档案229917份，建档率达99％，新建档案49537份。年内活动档案数171831份，动态管理率为74.71%。</w:t>
        <w:br/>
        <w:t>2.健康教育。各单位高度重视健康教育工作，建立健全了健康教育工作网络，设立专(兼)职健康教育人员，制定相关工作制度。全年全县共发放健康教育宣传资料6.0760万余份，更换健康教育宣传栏529期，举办健康知识讲座492次，开展公众咨询活动126次，参加健康活动及接受健康咨询71831人次。</w:t>
        <w:br/>
        <w:t>3.预防接种。各单位均开展了疫苗管理，接种单位配有医用冰箱，规范了“一苗一告知”、“三查七对一验证”及“免后观察30分钟”等接种行为，2022年全县疫苗建证率100%。</w:t>
        <w:br/>
        <w:t>4.0-6岁儿童健康管理。新生儿家庭访视进一步规范，新生儿访视记录填写较完整，部分单位新生儿家庭访视率达到了100%。二是档案质量进一步提高，空项、错项明显减少。</w:t>
        <w:br/>
        <w:t>5.孕产妇健康管理。孕产妇健康管理服务逐步规范，均按照《国家基本公共卫生服务规范（第三版）》要求为孕产妇进行健康管理服务。服务内容的真实性、完整性、准确性逐步提高，早孕建册率和产后访视率较上半年有所提高。</w:t>
        <w:br/>
        <w:t>6.老年人健康管理。全县65岁及以上老年人建档数12461份，系统年内体检数11691份，接受健康管理人数10448人，健康管理率达到83.85%。</w:t>
        <w:br/>
        <w:t>7.高血压和2型糖尿病健康管理。至12月31日止，全县系统统计管理高血压患者15309人，按照规范要求提供高血压患者健康管理14142人，规范管理率92.38％；管理2型糖尿病患者3041人，按照规范要求提供糖尿病患者健康管理2779人，规范管理率91.38%。</w:t>
        <w:br/>
        <w:t>8.严重精神障碍患者健康管理。截止12月31日，全县系统统计管理严重精神障碍患者783人，规范管理783人，规范管理率100％，服药人数522人，规律服药率67.03%。服药率83.65%。</w:t>
        <w:br/>
        <w:t>9.传染病及突发公共卫生事件报告和处理。各单位均开展了传染病相关知识宣传及培训，预检分诊严格入口管理，发热病例筛查、登记、诊疗、报告等流程日趋规范。大部分单位加强了传染病疫情搜索及自查工作，无传染病病例漏报、迟报，网络报告综合质量较好。全县全年无突发公共卫生事件报告，无因处置不力而导致传染病疫情扩散与流行。</w:t>
        <w:br/>
        <w:t>10.卫生计生监督协管服务。全县全年共发现食源性疾病、饮用水卫生安全巡查、学校卫生服务、非法行医和非法采供血等卫生监督协管事件或线索数14次；食品安全、饮用水卫生、学校卫生、非法行医（采供血)巡查数202次。各项巡查记录、信息报卡比较规范。</w:t>
        <w:br/>
        <w:t>11.肺结核患者健康管理。全县2022年新增肺结核患者141人，其中病原学检查阳性患者100人、病原学检查涂阴患者41人。肺结核患者管理率、规则服药率较往年均有所提升。</w:t>
        <w:br/>
        <w:t>12.中医药健康管理。全县65岁以上老年人开展了中医体质辨识和中医药保健指导的有11852人，老年人中医药健康管理率为95.11%；0-36个月儿童接受了中医药健康管理的有5729人，0-36个月儿童中医药健康管理率为97.10%。</w:t>
        <w:br/>
        <w:t>13.适龄妇女“两癌”项目。宫颈癌查项目任务数6136人，已完成4637人筛查任务，其中应检查阴道镜检查人数32人，待进一步检查确认。乳腺癌筛查任务4636人，目前已完成乳腺触诊及超声检查人数3729人。</w:t>
        <w:br/>
        <w:t>14.孕产妇健康管理。全县活产数2377人，住院分娩活产2335人，住院分娩率98.32%。对1779名孕产妇免费享受NT彩超272人、唐氏筛查563人、思维B超414人、心脏彩超530人等产前检查，早发现妊娠并发症，从而减少这些疾病对胎儿和母亲的不良影响，从而降低围产期产妇死亡率并减少孕产妇经济压力，有效提升群众对妇幼健康工作的满意度。</w:t>
        <w:br/>
        <w:t xml:space="preserve">   15.0-6岁儿童健康管理。0-6岁儿童16625人，一次以上随访的0-6岁儿童数15161人，儿童健康管理率91.19%，5岁以下儿童8806人，0-6岁儿童眼保健和视力检查人数15081人，覆盖率90.71%　.　</w:t>
        <w:br/>
        <w:t>　　3.资金投入和使用情况</w:t>
        <w:br/>
        <w:t>　 《关于提前下达2022年自治区基本公共卫生服务补助资金预算的通知》（克财社〔2021〕92号）文件及《关于拨付2022年自治区基本公共卫生服务补助资金（第二批）的通知》（克财社〔2022〕49号）文件这两次安排下达资金341.02万元。预算资金实际执行201.02万元。</w:t>
        <w:br/>
        <w:t>截至2022年12月31日，实际支出201.02万元，预算执行率58.9%。</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项目绩效目标包括项目绩效总目标和阶段性目标。</w:t>
        <w:br/>
        <w:t>　　1.项目绩效总目标</w:t>
        <w:br/>
        <w:t>　  通过实施十四项基本公共卫生服务项目，对城乡居民健康问题主要卫生问题实施干预，减少主要健康危险因素。有效预防和控制主要传染病及慢病，提高公共卫生服务和突发公共卫生事件应急处置能力，使城乡居民逐步享有均等化的公共卫生服务。</w:t>
        <w:br/>
        <w:t>　　2.阶段性目标</w:t>
        <w:b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　　（1）项目产出目标</w:t>
        <w:br/>
        <w:t>　　①数量指标</w:t>
        <w:br/>
        <w:t>　　“常住居民”指标，预期指标值为≥230746人；</w:t>
        <w:br/>
        <w:t>　　“家庭医生规范签约人数”指标，预期指标值为≥220746人；</w:t>
        <w:br/>
        <w:t>　　“居民健康档案维护人数”指标，预期指标值为≥170627人；</w:t>
        <w:br/>
        <w:t>“感染艾滋病病毒且育有10岁以下子女HIV检测工作”指标，预期指标值为≥80人；</w:t>
        <w:br/>
        <w:t>“健康教育人数”指标，预期指标值为≥221600人；</w:t>
        <w:br/>
        <w:t>“健康教育次数”指标，预期指标值为=16次/机构；</w:t>
        <w:br/>
        <w:t>“卫生监督协管”指标，预期指标值为≥23人.</w:t>
        <w:br/>
        <w:t>　　②质量指标</w:t>
        <w:br/>
        <w:t>　　家庭医生签约率指标，预期指标值为≥80%；</w:t>
        <w:br/>
        <w:t xml:space="preserve">    老年人健康签约率指标，预期指标值为=100%;</w:t>
        <w:br/>
        <w:t xml:space="preserve">    高血压患者健康签约率指标，预期指标值为=100%;</w:t>
        <w:br/>
        <w:t xml:space="preserve">    糖尿病患者健康签约率指标，预期指标值为=100%;</w:t>
        <w:br/>
        <w:t xml:space="preserve">    严重精神障碍患者签约率指标，预期指标值为=100%；</w:t>
        <w:br/>
        <w:t xml:space="preserve">    城乡居民健康档案建档率指标，预期指标值为≥95%；</w:t>
        <w:br/>
        <w:t xml:space="preserve">    居民规范化电子健康档案覆盖率指标，预期指标值为≥70%；</w:t>
        <w:br/>
        <w:t>艾滋病病毒感染者和病人的子女检测完成率指标，预期指标值为≥90%；</w:t>
        <w:br/>
        <w:t>乡镇卫生院、村卫生室补助发放率指标，预期指标值为≧95%；</w:t>
        <w:br/>
        <w:t>适龄儿童免疫规划接种率指标，预期指标值为≧90%；</w:t>
        <w:br/>
        <w:t>高血压患者规范管理率指标，预期指标值为≧95%；</w:t>
        <w:br/>
        <w:t>糖尿病患者规范管理率指标，预期指标值为≧95%；</w:t>
        <w:br/>
        <w:t>“严重精神障碍患者管理率”指标，预期指标值为≧95%；</w:t>
        <w:br/>
        <w:t>“结核病患者健康管理率”指标，预期指标值为≧95%；</w:t>
        <w:br/>
        <w:t>“老年人健康管理率”指标，预期指标值为≧75%；</w:t>
        <w:br/>
        <w:t>“卫生监督每年巡查2次完成率”指标，预期指标值为≧90%；</w:t>
        <w:br/>
        <w:t>　　③时效指标</w:t>
        <w:br/>
        <w:t xml:space="preserve">    项目完成时效指标，预期指标值为12月。</w:t>
        <w:br/>
        <w:t>　　④成本指标</w:t>
        <w:br/>
        <w:t>　　家庭医生签约指标，预期指标值为=5元/人；</w:t>
        <w:br/>
        <w:t>　　居民健康档案新建或维护补助指标，预期指标值为=10元/人；</w:t>
        <w:br/>
        <w:t>感染艾滋病病毒10岁以下子女HIV检测指标，预期指标值为=75元/人；</w:t>
        <w:br/>
        <w:t>“个体化健康教育补助”指标，预期指标值为=0.5元/人次；</w:t>
        <w:br/>
        <w:t>"健康教育补助"指标，预期指标值为=24000元/次/年；</w:t>
        <w:br/>
        <w:t>"卫生监督协管补助"指标，预期指标值为=2400元/人。</w:t>
        <w:br/>
        <w:t>（2）项目效益目标</w:t>
        <w:br/>
        <w:t xml:space="preserve">    ①经济效益指标</w:t>
        <w:br/>
        <w:t xml:space="preserve">    无</w:t>
        <w:br/>
        <w:t xml:space="preserve">    ②社会效益指标</w:t>
        <w:br/>
        <w:t xml:space="preserve">    居民健康保健意识和健康知识知晓率指标，预期指标值为≥95%；</w:t>
        <w:br/>
        <w:t xml:space="preserve">    ③生态效益指标</w:t>
        <w:br/>
        <w:t xml:space="preserve">    无</w:t>
        <w:br/>
        <w:t xml:space="preserve">    ④可持续影响</w:t>
        <w:br/>
        <w:t xml:space="preserve">    提高居民健康水平指标，预期指标值为有效提高；</w:t>
        <w:br/>
        <w:t xml:space="preserve">    改善公共卫生均等化水平指标，预期指标值为有效改善。</w:t>
        <w:br/>
        <w:t xml:space="preserve">    ⑤满意度指标</w:t>
        <w:br/>
        <w:t xml:space="preserve">    “受益乡镇卫生院满意度”指标，预期指标值为≥95%；</w:t>
        <w:br/>
        <w:t xml:space="preserve">    “受益卫生室满意度”指标，预期指标值为≥95%；</w:t>
        <w:br/>
        <w:t xml:space="preserve">    “受益群众满意度”指标，预期指标值为≥95%。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（一）绩效评价目的、对象和范围</w:t>
        <w:br/>
        <w:t>　　1.绩效评价目的</w:t>
        <w:b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　　2.绩效评价对象</w:t>
        <w:b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　　3.绩效评价范围</w:t>
        <w:br/>
        <w:t>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　　本次评价坚持定量优先、定量与定性相结合的方式，始终遵循科学规范、公正公开、分级分类、绩效相关的基本原则。通过对基本公共卫生服务项目资金进行绩效评价，旨在了解项目资金使用和项目管理情况、取得的成绩及效益，进而分析在政策执行、预算资金安排、项目实施等方面存在的问题并提出针对性建议。本次绩效评价遵循的原则包括：</w:t>
        <w:br/>
        <w:t>　（1）科学公正。绩效评价应当运用科学合理的方法，按照规范的程序，对项目绩效进行客观、公正的反映。</w:t>
        <w:br/>
        <w:t>　　（2）统筹兼顾。单位自评、部门评价和财政评价应职责明确，各有侧重，相互衔接。单位自评应由项目单位自主实施，即“谁支出、谁自评”。部门评价和财政评价应在单位自评的基础上开展，必要时可委托第三方机构实施。</w:t>
        <w:br/>
        <w:t>　　（3）激励约束。绩效评价结果应与预算安排、政策调整、改进管理实质性挂钩，体现奖优罚劣和激励相容导向，有效要安排、低效要压减、无效要问责。</w:t>
        <w:br/>
        <w:t>　　（4）公开透明。绩效评价结果应依法依规公开，并自觉接受社会监督。</w:t>
        <w:br/>
        <w:t>　　2.绩效评价指标体系</w:t>
        <w:b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　　一级指标为：决策、过程、产出、效益。</w:t>
        <w:br/>
        <w:t>　　二级指标为：项目立项、绩效目标、资金投入、资金管理、组织实施、产出数量、产出质量、产出时效、产出成本、项目效益。</w:t>
        <w:b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　　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　　（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　　4.绩效评价标准</w:t>
        <w:b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</w:t>
        <w:br/>
        <w:t>　　本次评价设计了评价方案、评价指标体系，通过资料分析、调研、访谈满意度调查等方式形成评价结论，在与项目单位沟通后确定评价意见，并出具评价报告。</w:t>
        <w:br/>
        <w:t>　　第一阶段：前期准备。认真学习相关要求与规定，成立绩效评价工作组，作为绩效评价工作具体实施机构。成员构成如下：</w:t>
        <w:br/>
        <w:t>组  长：匡春燕（县卫健委党组副书记、主任）</w:t>
        <w:br/>
        <w:t>副组长：韩小青（县卫健委党组成员、副主任）</w:t>
        <w:br/>
        <w:t>成  员：王守辉（县卫健委党组成员、副主任）</w:t>
        <w:br/>
        <w:t>余  新（县卫生健康综合监督执法局局长）</w:t>
        <w:br/>
        <w:t>郭国华（县卫健委副主任、援疆挂职干部）</w:t>
        <w:br/>
        <w:t>居马洪·奥布力（县卫健委副主任科员）</w:t>
        <w:br/>
        <w:t>孟千君（县疾病预防控制中心党组副书记、主任）</w:t>
        <w:br/>
        <w:t>张  雷（县人民医院党委书记、副院长）</w:t>
        <w:br/>
        <w:t>艾斯卡尔·阿西木（县维吾尔医医院党支部副书记、院长）</w:t>
        <w:br/>
        <w:t>吾守尔·司马义（县妇幼保健与计划生育服务中心党支部副书记、主任）</w:t>
        <w:br/>
        <w:t>丁伟（县卫健委财务办公室主任）</w:t>
        <w:br/>
        <w:t>张永梅（县卫健委核算中心主任）</w:t>
        <w:br/>
        <w:t>阿尔曼·阿不来提（县卫健委医政办主任）</w:t>
        <w:br/>
        <w:t>魏金娟（县卫健委公卫办主任）</w:t>
        <w:br/>
        <w:t>古力努尔·肉孜（县卫健委基妇办主任）</w:t>
        <w:br/>
        <w:t>林山清 （县卫健委疾控办主任）</w:t>
        <w:br/>
        <w:t>木沙江·多日（阿克陶镇卫生院院长）</w:t>
        <w:br/>
        <w:t>阿布都如苏力·吾买尔（巴仁乡卫生院院长）</w:t>
        <w:br/>
        <w:t>依丽努尔·阿卜杜克热木（皮拉勒乡卫生院院长）</w:t>
        <w:br/>
        <w:t>努尔艾力·米吉提（皮拉勒乡恰瓦克卫生院院长）</w:t>
        <w:br/>
        <w:t>阿布力克木·吐尔地 （玉麦乡卫生院院长）</w:t>
        <w:br/>
        <w:t>肖开提·努如孜  （加马铁力克乡卫生院党支部书记、院长）</w:t>
        <w:br/>
        <w:t>阿布都艾力·阿卜来提  （喀热克其克乡卫生院党支部书记、院长）</w:t>
        <w:br/>
        <w:t>阿力普·阿布都萨依提 （奥依塔克镇卫生院党支部书记、院长）</w:t>
        <w:br/>
        <w:t>玉苏因巴依·吾吉  （克孜勒陶镇卫生院党支部书记、院长）</w:t>
        <w:br/>
        <w:t>布艾妮排·阿卜杜拉   （恰尔隆镇卫生院党支部书记）</w:t>
        <w:br/>
        <w:t>航尼扎提·艾尔盖西   （布伦口乡卫生院党支部书记、院长）</w:t>
        <w:br/>
        <w:t>卡米力·别克巴依     （木吉乡卫生院党支部书记）</w:t>
        <w:br/>
        <w:t>买买提库尔班 ·米尔扎（塔尔塔吉克民族乡卫生院党支部书记、院长）</w:t>
        <w:br/>
        <w:t>热比耶古丽·吾拉依木 （托尔塔依农场卫生院党支部书记、院长）</w:t>
        <w:br/>
        <w:t>罕左合热·阿卜杜热亚提 （阿克达拉牧场管卫生院党支部书记、院长）</w:t>
        <w:br/>
        <w:t>贾秀华（社区卫生服务中心主任）</w:t>
        <w:br/>
        <w:t>组长匡春燕负责基本公共卫生服务资金管理和资金绩效管理全面工作，副组长韩小青负责资金管理分配和使用监督，领导小组下设办公室,办公室设在县卫健委基本公共卫生服务办公室,由魏金娟同志具体负责日常工作，由公卫、疾控、医政、基妇办具体负责相关资金分配和绩效管理工作。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89.79分，其中项目决策20分、项目过程15.8分、项目产出33.99分、项目效益20分。评价结果分为优、良、中、差四个等级：优（90分（含）—100分）；良（80分（含）—90分）；中（60分（含）—80分）；差（0分—60分）。</w:t>
        <w:br/>
        <w:t>　　评价组对照项目绩效评价指标体系，从决策、过程、产出和效益四个维度，通过数据采集、实地调研和问卷访谈等方式，对“国家基本公共卫生服务”项目绩效进行客观公正的评价，本项目总得分为89.79分，绩效评级属于“良”。其中，决策类指标得分20分，过程类指标得分15.8分，产出类指标得分33.99分，效益类指标得分20分。</w:t>
        <w:br/>
        <w:t>　　（二）综合评价结论</w:t>
        <w:br/>
        <w:t>经评价，本项目达到了年初设立的绩效目标，在实施过程中取得了良好的成效，具体表现在：通过基层公共卫生服务项目工作的推进，进一步明确了各基层医疗卫生机构公共卫生服务职能为主的职能定位。通过项目的实施对全县居民健康问题实施干预，减少了主要健康危害因素，有效预防和控制了传染病及慢性疾病，城乡居民逐步获得均等化的基本公共卫生服务，健康水平得到进一步提高。</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</w:t>
        <w:br/>
        <w:t>　项目决策类指标包括项目立项、绩效目标和资金投入三方面的内容，由6个三级指标构成，权重分为 20 分，实际得分20分，得分率为100%。</w:t>
        <w:br/>
        <w:t>　　（1）立项依据充分性：依据《关于印发基本公共卫生服务等5项补助资金管理办法的通知》（财社〔2019〕113号）文件、《关于印发2020年自治区基本公共卫生服务项目经费参考标准的通知》（新卫基层发〔2020〕2号）文件以及《关于提前下达2022年自治区基本公共卫生服务补助资金预算的通知》（克财社〔2021〕92号）文件和《关于拨付2022年自治区基本公共卫生服务补助资金（第二批）的通知》（克财社〔2022〕49号）文件，并结合阿克陶县卫生健康委员会职责组织实施。围绕阿克陶县卫生健康委员会年度工作重点和工作计划制定经费预算，根据评分标准，该指标不扣分，得3分。</w:t>
        <w:br/>
        <w:t>　　（2）立项程序规范性：根据决策依据编制工作计划和经费预算，经过与阿克陶县卫生健康委员会财经领导小组进行沟通、筛选确定经费预算计划，上局务会研究确定最终预算方案，根据评分标准，该指标不扣分，得2分。</w:t>
        <w:br/>
        <w:t>　　（3）绩效目标合理性：制定了实施方案，明确了总体思路及目标、并对任务进行了详细分解，对目标进行了细化，根据评分标准，该指标不扣分，得3分。</w:t>
        <w:br/>
        <w:t>　　（4）绩效指标明确性：将项目绩效目标细化分解为具体的绩效指标，根据评分标准，该指标不扣分，得2分。</w:t>
        <w:br/>
        <w:t>（5）预算编制科学性：《关于提前下达2022年自治区基本公共卫生服务补助资金预算的通知》（克财社〔2021〕92号）文件，实际完成内容与项目内容匹配，项目投资额与工作任务相匹配，根据评分标准，该指标不扣分，得5分。</w:t>
        <w:br/>
        <w:t>（6）资金分配合理性：资金分配按照《关于印发2020年自治区基本公共卫生服务项目经费参考标准的通知》（新卫基层发〔2020〕2号）文件要求为做好2022年我县基本公共卫生服务项目，提高质量，现拨付2022年自治区下拨我县自治区基本公共卫生服务项目资金共341.02万元，请各单位收到后按规定程序使用。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（二）项目过程情况</w:t>
        <w:br/>
        <w:t>　　项目过程类指标包括资金管理和组织实施两方面的内容，由 5个三级指标构成，权重分为20分，实际得分15.8分，得分率为79%。</w:t>
        <w:br/>
        <w:t>　　（1）资金到位率：该项目总投资341.02万元，实际下达经费341.02万元，当年财政拨款341.02万元。财政资金足额拨付到位，根据评分标准，该指标不扣分，得5分。   </w:t>
        <w:br/>
        <w:t>　　（2）预算执行率：本项目申请预算金额为341.02 万元，预算批复实际下达金额为341.02万元截至 2022年 12 月 31日，资金执行201.02万元，资金执行率58.9%。项目资金支出总体能够按照预算执行，根据评分标准，该指标扣4.2分，得0.8分。</w:t>
        <w:br/>
        <w:t>（3）资金使用合规性：《关于印发2020年自治区基本公共卫生服务项目经费参考标准的通知》（新卫基层发〔2020〕2号）文件要求符合预算批复规定用途，不存在截留、挤占、挪用、虚列支出等情况，未发现违规使用情况，根据评分标准，该指标不扣分，得5分。</w:t>
        <w:br/>
        <w:t>（4）管理制度健全性：该项目严格按照《阿克陶县卫生健康委员会财务制度》及相关的制度和管理规定实施，对财政专项资金进行严格管理，基本做到了专款专用，根据评分标准，该指标不扣分，得2分。</w:t>
        <w:b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项目产出类指标包括产出数量、产出质量、产出时效、产出成本四方面的内容，由4个三级指标构成，权重分为40分，实际得分33.99分，得分率为84.9%。</w:t>
        <w:br/>
        <w:t>（1）对于“产出数量”</w:t>
        <w:br/>
        <w:t>常住居民230746人，与预期目标一致，根据评分标准，该指标不扣分，得2分；</w:t>
        <w:br/>
        <w:t>家庭医生规范签约人数220746人，与预期目标一致，根据评分标准，该指标不扣分，得2分；</w:t>
        <w:br/>
        <w:t>居民健康档案维护人数170627人，与预期目标一致，根据评分标准，该指标不扣分，得2分；</w:t>
        <w:br/>
        <w:t>感染艾滋病病毒且育有10岁以下子女HIV检测工作80人，与预期目标一致，根据评分标准，该指标不扣分，得1分；</w:t>
        <w:br/>
        <w:t>健康教育人数221600人，与预期目标一致，根据评分标准，该指标不扣分，得1分；</w:t>
        <w:br/>
        <w:t>健康教育次数16次/机构，与预期目标一致，根据评分标准，该指标不扣分，得1分；</w:t>
        <w:br/>
        <w:t>卫生监督协管23人，与预期目标一致，根据评分标准，该指标不扣分，得1分。</w:t>
        <w:br/>
        <w:t></w:t>
        <w:br/>
        <w:t>（2）对于“产出质量”</w:t>
        <w:br/>
        <w:t>家庭医生签约率≧80%，与预期目标一致，根据评分标准，该指标不扣分，得1分；</w:t>
        <w:br/>
        <w:t>老年人健康签约率100%，与预期目标一致，根据评分标准，该指标不扣分，得1分；</w:t>
        <w:br/>
        <w:t>高血压患者健康签约率100%，与预期目标一致，根据评分标准，该指标不扣分，得1分；</w:t>
        <w:br/>
        <w:t>糖尿病患者健康签约率100%，与预期目标一致，根据评分标准，该指标不扣分，得1分；</w:t>
        <w:br/>
        <w:t xml:space="preserve">    严重精神障碍患者签约率100%，与预期目标一致，根据评分标准，该指标不扣分，得0.5分；</w:t>
        <w:br/>
        <w:t xml:space="preserve">    城乡居民健康档案建档率≥95%，与预期目标一致，根据评分标准，该指标不扣分，得0.5分；</w:t>
        <w:br/>
        <w:t xml:space="preserve">    居民规范化电子健康档案覆盖率≥70%，与预期目标一致，根据评分标准，该指标不扣分，得0.5分；</w:t>
        <w:br/>
        <w:t>艾滋病病毒感染者和病人的子女检测完成率≥90%，与预期目标一致，根据评分标准，该指标不扣分，得0.5分；</w:t>
        <w:br/>
        <w:t>乡镇卫生院、村卫生室补助发放率≧95%，与预期目标一致，根据评分标准，该指标不扣分，得0.5分；</w:t>
        <w:br/>
        <w:t>适龄儿童免疫规划接种率≧90%，与预期目标一致，根据评分标准，该指标不扣分，得0.5分；</w:t>
        <w:br/>
        <w:t>高血压患者规范管理率≧95%，与预期目标一致，根据评分标准，该指标不扣分，得0.5分；</w:t>
        <w:br/>
        <w:t>糖尿病患者规范管理率≧95%，与预期目标一致，根据评分标准，该指标不扣分，得0.5分；</w:t>
        <w:br/>
        <w:t>严重精神障碍患者管理率≧95%，与预期目标一致，根据评分标准，该指标不扣分，得0.5分；</w:t>
        <w:br/>
        <w:t>结核病患者健康管理率≧95%，与预期目标一致，根据评分标准，该指标不扣分，得0.5分；</w:t>
        <w:br/>
        <w:t>老年人健康管理率≧75%，与预期目标一致，根据评分标准，该指标不扣分，得0.5分；</w:t>
        <w:br/>
        <w:t>卫生监督每年巡查2次完成率≧90%，与预期目标一致，根据评分标准，该指标不扣分，得0.5分；</w:t>
        <w:br/>
        <w:t>（3）对于“产出时效”</w:t>
        <w:br/>
        <w:t xml:space="preserve"> 资金拨付及时率58.9%，与预期目标指标不一致，资金拨付不及时，根据评分标准，该指标扣4.11分，得5.89分。</w:t>
        <w:br/>
        <w:t>存在偏差：预期绩效目标341.02万元全部拨付，实际完成值为拨付201.02万元，偏差率为41.1% ，偏差原因：本年受疫情影响，未及时使用基本公共卫生服务项目经费。采取的措施：23年度将加快基本公共卫生服务项目资金使用进度。根据评分标准，该指标扣4.11分，得5.89分。</w:t>
        <w:br/>
        <w:t>（4）对于“产出成本”</w:t>
        <w:br/>
        <w:t>家庭医生签约5元/人，与预期目标一致，根据评分标准，该指标不扣分，得2分；</w:t>
        <w:br/>
        <w:t>居民健康档案新建或维护补助执行30.62万元，与预期目标有偏差，根据评分标准，该指标扣1.9分，得0.1分；</w:t>
        <w:br/>
        <w:t>感染艾滋病病毒10岁以下子女HIV检测75元/人，与预期目标一致，根据评分标准，该指标不扣分，得2分；</w:t>
        <w:br/>
        <w:t>个体化健康教育补助0.5元/人次，与预期目标一致，根据评分标准，该指标不扣分，得1分；</w:t>
        <w:br/>
        <w:t>健康教育补助24000元/次/年，与预期目标一致，根据评分标准，该指标不扣分，得1分；</w:t>
        <w:br/>
        <w:t>卫生监督协管补助2400元/人，与预期目标一致，根据评分标准，该指标不扣分，得2分；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p>
    <w:p>
      <w:pPr>
        <w:spacing w:line="570" w:lineRule="exact"/>
        <w:ind w:firstLine="624" w:firstLineChars="200"/>
        <w:rPr>
          <w:rStyle w:val="17"/>
          <w:rFonts w:ascii="黑体" w:hAnsi="黑体" w:eastAsia="黑体" w:cs="黑体"/>
          <w:b w:val="0"/>
          <w:spacing w:val="-4"/>
          <w:sz w:val="32"/>
          <w:szCs w:val="32"/>
        </w:rPr>
      </w:pPr>
      <w:bookmarkStart w:id="0" w:name="_GoBack"/>
      <w:bookmarkEnd w:id="0"/>
      <w:r>
        <w:rPr>
          <w:rStyle w:val="17"/>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7"/>
          <w:rFonts w:hint="eastAsia" w:ascii="仿宋" w:hAnsi="仿宋" w:eastAsia="仿宋" w:cs="仿宋"/>
          <w:b w:val="0"/>
          <w:bCs w:val="0"/>
          <w:spacing w:val="-4"/>
          <w:sz w:val="32"/>
          <w:szCs w:val="32"/>
        </w:rPr>
        <w:t>疫情影响及票据不全，部分资金暂未支付</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不断完善各项预算管理制度，根据新形势和新要求，结合不断出台的各项制度，制定相应的预算管理制度。强化预算管理，事前必编预算，控制经费使用，使用必问绩效，将绩效管理贯穿于预算编制、执行及决算等环节。</w:t>
        <w:br/>
        <w:t>2．加强宣传，加强对各项制度的执行力度，杜绝有令不行、有禁不止的情况发生。</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1.项目建设的程序进一步规范。项目前期做好工作计划，细化实施方案，严格执行资金管理办法和财政资金管理制度，严格按照项目工作计划及实施方案稳步推进工作，单位根据自己项目的特点进行总结。</w:t>
        <w:br/>
        <w:t>2.项目评价资料有待进一步完善。项目启动时同步做好档案的归纳与整理，及时整理、收集、汇总，健全档案资料。项目后续管理有待进一步加强和跟踪。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八、其他需要说明的问题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无</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35</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2022-03-08T10:49:50Z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