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办公楼维修费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阿克陶县城市管理综合行政执法局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阿克陶县城市管理综合行政执法局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2023年04月07日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本项目遵循财政部《项目支出绩效评价管理办法》（财预〔2020〕10号）和自治区财政厅《自治区财政支出绩效评价管理暂行办法》（新财预〔2018〕189号）等相关政策文件与规定，旨在评价办公楼维修费项目实施前期、过程及效果，评价财政预算资金使用的效率及效益。保障我单位管辖的办公大楼管理工作正常有序开展，为办公人员提供一个安全舒适良好的办公场所。</w:t>
        <w:br/>
        <w:t>　　2.主要内容及实施情况</w:t>
        <w:br/>
        <w:t>　　（1）主要内容</w:t>
        <w:br/>
        <w:t>　　对漏雨屋顶进行防水处理;对破损墙体、地面等进行修缮;对破损门窗、窗帘、灯具等进行更换。对排水系统进行阻塞处理。</w:t>
        <w:br/>
        <w:t>　　（2）实施情况</w:t>
        <w:br/>
        <w:t>　　根据陶党财字【2019】6号文件第三十一条，维护社会稳定和长治久安，创造安全，舒适良好的工作环境，从而提高幸福度和归属感。</w:t>
        <w:br/>
        <w:t>　　3.项目实施主体</w:t>
        <w:br/>
        <w:t>该项目由阿克陶县城市管理综合行政执法局实施，内设5个科室，分别是：办公室，财务室，督查室，1中队，2中队。主要职能是 为维护城市环境卫生提供监督检查保障,城市环境卫生设施建设,运营与维护,城市环境卫生监督及辖区内公安交通管理,城市辖区内工商管理,城市环境卫生作业管理。</w:t>
        <w:br/>
        <w:t>编制人数11人，其中：行政人员编制0人、工勤0人、参公11人、事业编制0人。实有在职人数17人，其中：行政在职0人、工勤0人、参公16人、事业在职1人。离退休人员7人，其中：行政退休人员6人、事业退休1人。</w:t>
        <w:br/>
        <w:t>　　3.资金投入和使用情况</w:t>
        <w:br/>
        <w:t>　  2022年度安排下达资金32万元，为本级财力安排资金，最终确定项目资金总数为32万元。其中：中央财政拨款0万元，自治区财政拨款0万元，本级财政拨款32万元，上年结余0万元。</w:t>
        <w:br/>
        <w:t>　　截至2022年12月31日，实际支出32万元，预算执行率100%。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该项目资金使用于办公楼维修费。通过该项目的实施，创造更好的工作环境，保证单位各项工作正常开展。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“办公楼维修费（平方米）”指标，预期指标值为=600.5；</w:t>
        <w:br/>
        <w:t>　　②质量指标</w:t>
        <w:br/>
        <w:t>　　“资金使用合规率（%）”指标，预期指标值为＝100%；</w:t>
        <w:br/>
        <w:t>　　③时效指标</w:t>
        <w:br/>
        <w:t>　　“资金拨付及时率（%）”指标，预期指标值为=100%。</w:t>
        <w:br/>
        <w:t>　　④成本指标</w:t>
        <w:br/>
        <w:t>　　“办公楼维修费（万元）”指标，预期指标值为=32；</w:t>
        <w:br/>
        <w:t>　　（2）项目效益目标</w:t>
        <w:br/>
        <w:t>　　①经济效益指标</w:t>
        <w:br/>
        <w:t>　　  无</w:t>
        <w:br/>
        <w:t>　　②社会效益指标</w:t>
        <w:br/>
        <w:t>　　“提升公共服务能力情况”指标，预期指标值为有效提升；</w:t>
        <w:br/>
        <w:t>　　③生态效益指标</w:t>
        <w:br/>
        <w:t>　　  无</w:t>
        <w:br/>
        <w:t>　　④可持续影响</w:t>
        <w:br/>
        <w:t>　　“提升树立良好的社会风气”指标，预期指标值为有效提升；</w:t>
        <w:br/>
        <w:t>　　⑤满意度指标</w:t>
        <w:br/>
        <w:t>　　“使用单位满意度（%）”指标，预期指标值为≥95%。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办公楼维修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王建国任评价组组长，职务为党支部书记，绩效评价工作职责为负责全盘工作。</w:t>
        <w:br/>
        <w:t>　　柳荣川任评价组副组长，绩效评价工作职责为对项目实施情况进行实地调查。</w:t>
        <w:br/>
        <w:t>　　吐尔荪阿依，热娜姑丽，张卫国任评价组成员，绩效评价工作职责为负责资料审核等工作。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办公楼维修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经评价，本项目达到了年初设立的绩效目标，在实施过程中取得了良好的成效，具体表现在：通过已完成办公楼维修项目的工作目标，推动了办公楼办公得到保障，产生了安全，美好办公环境效益。</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陶党财字【2019】6号文件第三十一条并结合阿克陶县城市管理综合行政执法局职责组织实施。围绕阿克陶县城市管理综合行政执法局年度工作重点和工作计划制定经费预算，根据评分标准，该指标不扣分，得3分。</w:t>
        <w:br/>
        <w:t>　　（2）立项程序规范性：根据决策依据编制工作计划和经费预算，经过与阿克陶县城市管理综合行政执法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（5）预算编制科学性：预算编制经过实际完成内容与项目内容匹配，项目投资额与工作任务相匹配，根据评分标准，该指标不扣分，得5分。</w:t>
        <w:br/>
        <w:t>　　（6）资金分配合理性：资金分配按照陶党财字【2019】6号文件第三十一条，资金分配与实际相适应，根据评分标准，该指标不扣分，得5分。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（二）项目过程情况</w:t>
        <w:br/>
        <w:t>　　项目过程类指标包括资金管理和组织实施两方面的内容，由 5个三级指标构成，权重分为20分，实际得分20 分，得分率为100%。</w:t>
        <w:br/>
        <w:t>　　（1）资金到位率：该项目总投资32万元，阿克陶县财政局实际下达经费32万元，其中当年财政拨款32万元，上年结转资金0万元，财政资金足额拨付到位，根据评分标准，该指标不扣分，得5分。   </w:t>
        <w:br/>
        <w:t>　　（2）预算执行率：本项目申请预算金额为32 万元，预算批复实际下达金额为32万元截至 2022年 12 月 31日，资金执行32万元，资金执行率100.00%。项目资金支出总体能够按照预算执行，根据评分标准，该指标不扣分，得5分。</w:t>
        <w:br/>
        <w:t>　　（3）资金使用合规性：办公楼维修费项目符合预算批复规定用途，不存在截留、挤占、挪用、虚列支出等情况，未发现违规使用情况，根据评分标准，该指标不扣分，得5分。</w:t>
        <w:br/>
        <w:t>　　（4）管理制度健全性：该项目严格按照《阿克陶县城市管理综合行政执法局财务制度》的制度和管理规定实施，对财政专项资金进行严格管理，基本做到了专款专用，根据评分标准，该指标不扣分，得2分。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（三）项目产出情况</w:t>
        <w:br/>
        <w:t>　　项目产出类指标包括产出数量、产出质量、产出时效、产出成本四方面的内容，由4个三级指标构成，权重分为40分，实际得分40分，得分率为100%。</w:t>
        <w:br/>
        <w:t>　　（1）对于“产出数量”</w:t>
        <w:br/>
        <w:t>办公楼维修费（平方米），与预期目标一致，根据评分标准，该指标不扣分，得10分。</w:t>
        <w:br/>
        <w:t>　　（2）对于“产出质量”：</w:t>
        <w:br/>
        <w:t>　　资金使用合规率（%），与预期目标一致，根据评分标准，该指标不扣分，得10分。</w:t>
        <w:br/>
        <w:t>　　合计得10分。</w:t>
        <w:br/>
        <w:t>　　（3）对于“产出时效”：</w:t>
        <w:br/>
        <w:t>资金拨付及时率（%），与预期目标指标一致，根据评分标准，该指标不扣分，得10分。</w:t>
        <w:br/>
        <w:t>　　（4）对于“产出成本”：</w:t>
        <w:br/>
        <w:t>该项目本年支出金额32万元，项目经费能够控制在绩效目标范围内，根据评分标准，该指标不扣分，得10分。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（四）项目效益情况</w:t>
        <w:br/>
        <w:t>　　项目效益类指标包括项目效益1个方面的内容，由2个三级指标构成，权重分为20分，实际得分20分，得分率为100%。</w:t>
        <w:br/>
        <w:t>　　（1）实施效益指标：</w:t>
        <w:br/>
        <w:t>　　对于“社会效益指标”：</w:t>
        <w:br/>
        <w:t>提升公共服务能力情况，与预期指标一致，根据评分标准，该指标不扣分，得5分。</w:t>
        <w:br/>
        <w:t>　　对于“可持续影响指标”：</w:t>
        <w:br/>
        <w:t>提升树立良好的社会风气，与预期指标一致，根据评分标准，该指标不扣分，得5分。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对于满意度指标：使用单位满意度95%，与预期目标一致，根据评分标准，该指标不扣分，得10分。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办公楼维修费项目预算32万元，到位32万元，实际支出32万元，预算执行率为100%，项目绩效指标总体完成率为100%，预算执行进度与绩效指标无偏差。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1.建议充分落实绩效目标管理政策要求，提升绩效目标与项目实施内容的匹配度：</w:t>
        <w:br/>
        <w:t>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三是建议项目实施单位做好项目绩效跟踪监控工作，对实际开展工作与预期目标值产生较大偏差情况，应及时做好偏差原因分析和纠偏工作，不断提升绩效目标与项目实际工作的匹配度。</w:t>
        <w:br/>
        <w:t>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