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克州财政项目支出绩效自评报告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7"/>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7"/>
          <w:rFonts w:hint="eastAsia" w:ascii="仿宋" w:hAnsi="仿宋" w:eastAsia="仿宋" w:cs="仿宋"/>
          <w:b w:val="0"/>
          <w:bCs w:val="0"/>
          <w:spacing w:val="-4"/>
          <w:sz w:val="32"/>
          <w:szCs w:val="32"/>
        </w:rPr>
        <w:t>2023年自治区困难群众救助补助项目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7"/>
          <w:rFonts w:hint="eastAsia" w:ascii="仿宋" w:hAnsi="仿宋" w:eastAsia="仿宋" w:cs="仿宋"/>
          <w:b w:val="0"/>
          <w:bCs w:val="0"/>
          <w:spacing w:val="-4"/>
          <w:sz w:val="32"/>
          <w:szCs w:val="32"/>
        </w:rPr>
        <w:t>民政局</w:t>
      </w:r>
    </w:p>
    <w:p>
      <w:pPr>
        <w:spacing w:line="54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主管部门（公章）：</w:t>
      </w:r>
      <w:r>
        <w:rPr>
          <w:rStyle w:val="17"/>
          <w:rFonts w:hint="eastAsia" w:ascii="仿宋" w:hAnsi="仿宋" w:eastAsia="仿宋" w:cs="仿宋"/>
          <w:b w:val="0"/>
          <w:bCs w:val="0"/>
          <w:spacing w:val="-4"/>
          <w:sz w:val="32"/>
          <w:szCs w:val="32"/>
        </w:rPr>
        <w:t>阿克陶县民政局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7"/>
          <w:rFonts w:hint="eastAsia" w:ascii="仿宋" w:hAnsi="仿宋" w:eastAsia="仿宋" w:cs="仿宋"/>
          <w:b w:val="0"/>
          <w:bCs w:val="0"/>
          <w:spacing w:val="-4"/>
          <w:sz w:val="32"/>
          <w:szCs w:val="32"/>
        </w:rPr>
        <w:t>波拉提江·塔力甫</w:t>
      </w:r>
    </w:p>
    <w:p>
      <w:pPr>
        <w:spacing w:line="540" w:lineRule="exact"/>
        <w:ind w:firstLine="360" w:firstLineChars="100"/>
        <w:rPr>
          <w:rStyle w:val="17"/>
          <w:rFonts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7"/>
          <w:rFonts w:hint="eastAsia" w:ascii="仿宋" w:hAnsi="仿宋" w:eastAsia="仿宋" w:cs="仿宋"/>
          <w:b w:val="0"/>
          <w:bCs w:val="0"/>
          <w:spacing w:val="-4"/>
          <w:sz w:val="32"/>
          <w:szCs w:val="32"/>
        </w:rPr>
        <w:t>2024年03月14日</w:t>
      </w:r>
    </w:p>
    <w:p>
      <w:pPr>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br w:type="page"/>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一、基本情况</w:t>
      </w:r>
    </w:p>
    <w:p>
      <w:pPr>
        <w:spacing w:line="570" w:lineRule="exact"/>
        <w:ind w:firstLine="627" w:firstLineChars="200"/>
        <w:rPr>
          <w:rStyle w:val="17"/>
          <w:rFonts w:ascii="方正楷体_GBK" w:hAnsi="方正楷体_GBK" w:eastAsia="方正楷体_GBK" w:cs="方正楷体_GBK"/>
          <w:bCs w:val="0"/>
          <w:spacing w:val="-4"/>
          <w:sz w:val="32"/>
          <w:szCs w:val="32"/>
        </w:rPr>
      </w:pPr>
      <w:r>
        <w:rPr>
          <w:rStyle w:val="17"/>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1.项目背景</w:t>
        <w:br/>
        <w:t>本项目遵循财政部《项目支出绩效评价管理办法》（财预〔2020〕10号）和自治区财政厅《自治区财政支出绩效评价管理暂行办法》（新财预〔2018〕189号）等相关政策文件与规定，旨在评价2023年自治区困难群众救助补助项目实施前期、过程及效果，评价财政预算资金使用的效率及效益。该项资金用于全县困难群众的救助，确保全县29255名城乡最低生活保障对象相关工作顺利开展。</w:t>
        <w:br/>
        <w:t>2.主要内容及实施情况</w:t>
        <w:br/>
        <w:t>（1）主要内容</w:t>
        <w:br/>
        <w:t>根据（新财社【2022】225号）文件2023年自治区困难群众救助补助资金522万元，实施地点分布在阿克陶县及13个乡镇场。</w:t>
        <w:br/>
        <w:t>（2）实施情况</w:t>
        <w:br/>
        <w:t>根据（新财社【2022】225号）文件2023年自治区困难群众救助补助资金522万元，实施地点分布在阿克陶县及13个乡镇场。用于规范城乡低保政策实施合理确定保障标准是低保对象基本生活得到有效保障；统筹城乡特困人员救助供养工作，合理确定保障标准；规范实施临时救助政策，实现及时高效，救急解难；为生活无着流浪乞讨人员提供临时食宿，急病救治，协助返回等救助，并妥善安置返乡受助人员；对存在流浪风险的未成年人开展摸底排查。家庭监护，评估，监护监督等工作，为其提供临时照料，医疗救治，心理疏导，行为矫治，社会融入，家庭关系调适。法律援助等专业服务，从源头上预防未成年人外出流浪。</w:t>
        <w:br/>
        <w:t>3.项目实施主体</w:t>
        <w:br/>
        <w:t>该项目由阿克陶县民政局实施，内设7个科室，分别是：办公室、财务室、社会救助办、社会事务办、区划地名办、项目办和婚姻登记中心。主要职能是：贯彻执行社会救助的方针、政策；组织实施社会保险事业发展规划和年度计划；管理城乡社会救济，负责“五保户”供养和城乡社会特困户救济；社会福利的发展规划；全县行政区域的设立、撤销、更名、界限变更以及乡镇以上人民政府驻地前途的审核报批工作；负责县级社团的审批登记、监督管理；本县单位所属民办非企业单位的登记和年检、全县婚姻登记和儿童收养、协调流浪乞讨人员的收容遣送、推行殡葬改革和婚姻习俗改革；承担民政信访、宣传、咨询、查询等业务；完成上级交办的其他工作。</w:t>
        <w:br/>
        <w:t>编制人数14人，实有在职人数27人，其中：行政在职8人、事业在职19、离退休人员13人，自聘人员1人。</w:t>
        <w:br/>
        <w:t>4.资金投入和使用情况</w:t>
        <w:br/>
        <w:t>根据（新财社【2022】225号）文件本年度安排下达资金522万元，最终确定项目资金总数为522万元。其中：中央财政拨款0万元，自治区财政拨款522万元，本级财政拨款0万元，上年结余0万元。</w:t>
        <w:br/>
        <w:t>截至2023年12月31日，实际支出522万元，预算执行率100%。</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（二）项目绩效目标。包括总体目标和阶段性目标。</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1.项目绩效总目标</w:t>
        <w:br/>
        <w:t>该项资金资金用于规范城乡低保政策实施合理确定保障标准是低保对象基本生活得到有效保障；统筹城乡特困人员救助供养工作，合理确定保障标准；规范实施临时救助政策，实现及时高效，救急解难；为生活无着流浪乞讨人员提供临时食宿，急病救治，协助返回等救助，并妥善安置返乡受助人员；对存在流浪风险的未成年人开展摸底排查。家庭监护，评估，监护监督等工作，为其提供临时照料，医疗救治，心理疏导，行为矫治，社会融入，家庭关系调适。法律援助等专业服务，从源头上预防未成年人外出流浪。</w:t>
        <w:br/>
        <w:t>2.阶段性目标</w:t>
        <w:br/>
        <w:t>根据《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</w:t>
        <w:br/>
        <w:t>（1）项目产出目标</w:t>
        <w:br/>
        <w:t>①数量指标</w:t>
        <w:br/>
        <w:t>“临时救助人次（人）”指标，预期指标值为≥2088人次；</w:t>
        <w:br/>
        <w:t>②质量指标</w:t>
        <w:br/>
        <w:t>“补助覆盖率（%）”指标，预期指标值为≥95%</w:t>
        <w:br/>
        <w:t>③时效指标</w:t>
        <w:br/>
        <w:t>“保障月数（月）”，预期指标值为=12个月</w:t>
        <w:br/>
        <w:t>④成本指标</w:t>
        <w:br/>
        <w:t>临时救助支出成本，预期指标值为≤522万元</w:t>
        <w:br/>
        <w:t>（2）项目效益目标</w:t>
        <w:br/>
        <w:t>①社会效益指标</w:t>
        <w:br/>
        <w:t>“困难群众生活水平提升”指标，预期指标值为提升；“逐步完善困难群众保障制度”指标，预期指标值为完善；</w:t>
        <w:br/>
        <w:t>②满意度指标</w:t>
        <w:br/>
        <w:t>“社会公众满意度”指标，预期指标值为≥95%。</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二、绩效评价工作开展情况</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（一）绩效评价目的、对象和范围。</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1.绩效评价目的</w:t>
        <w:br/>
        <w:t>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</w:t>
        <w:br/>
        <w:t>2.绩效评价对象</w:t>
        <w:br/>
        <w:t>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3.绩效评价范围</w:t>
        <w:b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1.绩效评价原则</w:t>
        <w:br/>
        <w:t>本次评价坚持定量优先、定量与定性相结合的方式，始终遵循科学规范、公正公开、分级分类、绩效相关的基本原则。通过对2023年自治区困难群众救助补助资金项目进行绩效评价，旨在了解项目资金使用和项目管理情况、取得的成绩及效益，进而分析在政策执行、预算资金安排、项目实施等方面存在的问题并提出针对性建议。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2.绩效评价指标体系</w:t>
        <w:br/>
        <w:t>绩效评价指标体系根据《预算绩效评价共性指标体系框架》（财预〔2013〕53号）、《自治区党委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</w:t>
        <w:br/>
        <w:t>一级指标为：决策、过程、产出、效益。</w:t>
        <w:br/>
        <w:t>二级指标为：项目立项、绩效目标、资金投入、资金管理、组织实施、产出数量、产出质量、产出时效、产出成本、项目效益。</w:t>
        <w:b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</w:t>
        <w:br/>
        <w:t>3.绩效评价方法</w:t>
        <w:br/>
        <w:t>本次绩效评价方法的选用坚持简便有效的原则采用成本效益分析法、比较法、综合指数评价法、公众评判法等多种方法，具体评价方法如下：</w:t>
        <w:br/>
        <w:t>（1）成本效益分析法，是指将一定时期内总成本与总效益进行对比分析，以评价绩效目标实现程度。</w:t>
        <w:br/>
        <w:t>（2）比较法，通过整理本项目相关资料和数据，评价数量指标的完成情况；通过分析项目的实施情况与绩效目标实现情况，评价项目实施的效果；通过分析项目资金使用情况及产生的效果，评价预算资金分配的合理性。</w:t>
        <w:br/>
        <w:t>（3）综合指数评价法，是指把各项绩效指标的实际水平，对照评价标准值，分别计算各项指标评价得分，再按照设定的各项指标权数计算出综合评价得分，分析评价绩效目标实现情况的评价方法。</w:t>
        <w:br/>
        <w:t>（4）公众评判法，评价组采用实地访谈、远程访谈相结合方式，对本项目的实施情况进行充分调研，了解掌握资金分配、资金管理、资金使用、制度建设、制度执行情况。采用问卷调查方式，对受益对象开展满意度调查，进行综合评价。</w:t>
        <w:br/>
        <w:t>4.绩效评价标准</w:t>
        <w:b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（三）绩效评价工作过程。</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本次评价成立了评价工作组，成员如下：</w:t>
        <w:br/>
        <w:t>本次评价设计了评价方案、评价指标体系，通过资料分析、调研、访谈满意度调查等方式形成评价结论，在与项目单位沟通后确定评价意见，并出具评价报告。</w:t>
        <w:br/>
        <w:t>第一阶段：前期准备。认真学习相关要求与规定，成立绩效评价工作组，作为绩效评价工作具体实施机构。成员构成如下：</w:t>
        <w:br/>
        <w:t>波拉提江·塔力甫任评价组组长，职务为党组副书记、局长，绩效评价工作职责为负责全盘工作。</w:t>
        <w:br/>
        <w:t>豆晓丹任评价组副组长，职务为党组成员、副局长，绩效评价工作职责为对项目实施情况进行实地调查。</w:t>
        <w:br/>
        <w:t>努尔比亚·麦海提、热依汗姑·托乎提、陆伟、赵丽丽任评价组成员，绩效评价工作职责为负责资料审核等工作。</w:t>
        <w:br/>
        <w:t>第二阶段：组织实施。经评价组通过实地调研等方式，采用综合分析法对项目的决策、管理、绩效进行的综合评价分析。</w:t>
        <w:br/>
        <w:t>第三阶段：分析评价。首先按照指标体系进行定量、定性分析。其次开展量化打分、综合评价工作，形成初步评价结论。最后归纳整体项目情况与存在问题，撰写部门绩效评价报告。</w:t>
        <w:br/>
        <w:t>第四阶段：撰写与提交评价报告</w:t>
        <w:br/>
        <w:t>项目撰写绩效评价报告，按照财政局大平台绩效系统中统一格式和文本框架撰写绩效评价报告。</w:t>
        <w:br/>
        <w:t>第五阶段：归集档案</w:t>
        <w:br/>
        <w:t>建立和落实档案管理制度，将项目相关资料存档，包括但不限于：评价项目基本情况和相关文件、评价实施方案、项目支付资料等相关档案。</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三、综合评价情况及评价结论</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（一）综合评价情况</w:t>
        <w:br/>
        <w:t>依据《项目支出绩效评价管理办法》财预（2020）10号文件精神，评价工作组从绩效目标、绩效控制、产出及效果进行评价分析。绩效目标主要针对目标明确性、目标合理性和目标细化程度进行分析；绩效控制主要针对资金使用及管理情况、项目组织情况、项目管理情况进行分析；项目产出及效果主要针对项目的经济性、效率性和效益性进行分析。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</w:t>
        <w:br/>
        <w:t>评价组对照项目绩效评价指标体系，从决策、过程、产出和效益四个维度，通过数据采集、实地调研和问卷访谈等方式，对“2023年自治区困难群众救助补助”项目绩效进行客观公正的评价，本项目总得分为100分，绩效评级属于“优”。其中，决策类指标得分20分，过程类指标得分20分，产出类指标得分40分，效益类指标得分20分。</w:t>
        <w:br/>
        <w:t>（二）综合评价结论</w:t>
        <w:br/>
        <w:t>经评价，本项目达到了年初设立的绩效目标，在实施过程中取得了良好的成效，具体表现在：救助农村低保12131户25596人134.4216万元，城市低保1696户2777人103.4036万元，临时救助3571人284.1748万元。通过该项目的实施，规范城乡低保政策实施合理确定保障标准是低保对象基本生活得到有效保障；规范实施临时救助政策，实现及时高效，救急解难。</w:t>
      </w:r>
    </w:p>
    <w:p>
      <w:pPr>
        <w:spacing w:line="570" w:lineRule="exact"/>
        <w:ind w:firstLine="624" w:firstLineChars="200"/>
        <w:rPr>
          <w:rStyle w:val="17"/>
          <w:rFonts w:ascii="黑体" w:hAnsi="黑体" w:eastAsia="黑体" w:cs="黑体"/>
          <w:b w:val="0"/>
          <w:sz w:val="32"/>
          <w:szCs w:val="32"/>
        </w:rPr>
      </w:pPr>
      <w:r>
        <w:rPr>
          <w:rStyle w:val="17"/>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项目决策类指标包括项目立项、绩效目标和资金投入三方面的内容，由6个三级指标构成，权重分为20分，实际得分20分，得分率为100%。</w:t>
        <w:br/>
        <w:t>（1）立项依据充分性：《关于提前下达2023年自治区财政困难群众救助补助资金预算的通知》（克财社【2022】83号）文件要求、中共中央办公厅国务院办公厅印发《关于改革完善社会救助制度的意见》（中办发【2020】18号）、关于扎实做好困难群众基本生活保障有关工作的通知（新民传[2021]5号）、关于印发《自治区财政困难群众救助补助资金管理办法》的通知（新财社【2018】119号）及关于修改自治区财政困难群众救助资金管理办法的通知（新财社【2021】156号）等文件并结合阿克陶县民政局职责组织实施。围绕阿克陶县困难群众救助补助工作方案制定资金预算，根据评分标准，该指标不扣分，得3分。</w:t>
        <w:br/>
        <w:t>（2）立项程序规范性：根据决策依据编制工作计划和经费预算，经过与阿克陶县民政局财经领导小组进行沟通、筛选确定资金预算计划，上局务会研究确定最终预算方案，根据评分标准，该指标不扣分，得2分。</w:t>
        <w:br/>
        <w:t>（3）绩效目标合理性：制定了实施方案，明确了总体思路及目标、并对任务进行了详细分解，对目标进行了细化，根据评分标准，该指标不扣分，得3分。</w:t>
        <w:br/>
        <w:t>（4）绩效指标明确性：将项目绩效目标细化分解为具体的绩效指标，根据评分标准，该指标不扣分，得2分。</w:t>
        <w:br/>
        <w:t>（5）预算编制科学性：预算编制经过预算标准下拨，实际完成内容与项目内容匹配，项目投资额与工作任务相匹配，根据评分标准，该指标不扣分，得5分。</w:t>
        <w:br/>
        <w:t>（6）资金分配合理性：资金分配按照《关于提前下达2023年自治区财政困难群众救助补助资金预算的通知》（克财社【2022】83号）文件要求，资金分配与实际相适应，根据评分标准，该指标不扣分，得5分。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项目过程类指标包括资金管理和组织实施两方面的内容，由5个三级指标构成，权重分为20分，实际得分20分，得分率为100%。</w:t>
        <w:br/>
        <w:t>（1）资金到位率：该项目总投资522万元，自治区财政实际下达经费522万元，其中当年财政拨款522万元，上年结转资金0万元，财政资金足额拨付到位，根据评分标准，该指标不扣分，得5分。</w:t>
        <w:br/>
        <w:t>（2）预算执行率：本项目申请预算金额为522万元，预算批复实际下达金额为522万元，截至2023年12月31日，资金执行522万元，资金执行率100%。项目资金支出总体能够按照预算执行，根据评分标准，该指标不扣分，得5分。</w:t>
        <w:br/>
        <w:t>（3）资金使用合规性：《关于提前下达2023年自治区财政困难群众救助补助资金预算的通知》（克财社【2022】83号）文件要求符合预算批复规定用途，不存在截留、挤占、挪用、虚列支出等情况，未发现违规使用情况，根据评分标准，该指标不扣分，得5分。</w:t>
        <w:br/>
        <w:t>（4）管理制度健全性：该项目严格按照《阿克陶县民政局财务制度》及困难群众救助补助资金相关的制度和管理规定实施，对财政专项资金进行严格管理，基本做到了专款专用，根据评分标准，该指标不扣分，得2分。</w:t>
        <w:br/>
        <w:t>（5）制度执行有效性：由部门提出经费预算支出可行性方案，经过与财经领导小组沟通后，报局务会会议研究执行，财务对资金的使用合法合规性进行监督，年底对资金使用效果进行自评，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项目产出类指标包括产出数量、产出质量、产出时效、产出成本四方面的内容，由4个三级指标构成，权重分为40分，实际得分40分，得分率为100%。</w:t>
        <w:br/>
        <w:t>（1）对于“产出数量”</w:t>
        <w:br/>
        <w:t>临时救助人数3571人，与预期目标一致，根据评分标准，该指标不扣分，得10分。</w:t>
        <w:br/>
        <w:t>（2）对于“产出质量”</w:t>
        <w:br/>
        <w:t>补助覆盖率100%，与预期目标一致，根据评分标准，该指标不扣分，得10分。</w:t>
        <w:br/>
        <w:t>（3）对于“产出时效”</w:t>
        <w:br/>
        <w:t>保障月数12个月，与预期目标一致，根据评分标准，该指标不扣分，得10分。</w:t>
        <w:br/>
        <w:t>（4）对于“产出成本”</w:t>
        <w:br/>
        <w:t>临时救助支出成本522万元，与预期目标一致，根据评分标准，该指标不扣分，得10分。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w:t>
      </w:r>
      <w:r>
        <w:rPr>
          <w:rFonts w:hint="eastAsia" w:ascii="楷体" w:hAnsi="楷体" w:eastAsia="楷体" w:cs="楷体"/>
          <w:b/>
          <w:spacing w:val="-4"/>
          <w:sz w:val="32"/>
          <w:szCs w:val="32"/>
          <w:lang w:val="en-US" w:eastAsia="zh-CN"/>
        </w:rPr>
        <w:t>四</w:t>
      </w:r>
      <w:r>
        <w:rPr>
          <w:rFonts w:hint="eastAsia" w:ascii="楷体" w:hAnsi="楷体" w:eastAsia="楷体" w:cs="楷体"/>
          <w:b/>
          <w:spacing w:val="-4"/>
          <w:sz w:val="32"/>
          <w:szCs w:val="32"/>
        </w:rPr>
        <w:t>）项目效益情况。</w:t>
      </w:r>
    </w:p>
    <w:p>
      <w:pPr>
        <w:spacing w:line="540" w:lineRule="exact"/>
        <w:ind w:firstLine="567"/>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项目效益类指标包括项目效益1个方面的内容，由2个三级指标构成，权重分为20分，实际得分20分，得分率为100%。</w:t>
        <w:br/>
        <w:t>（1）实施效益指标：</w:t>
        <w:br/>
        <w:t>对于“社会效益指标”：</w:t>
        <w:br/>
        <w:t>提升困难群众生活水平，与预期指标一致，根据评分标准，该指标不扣分，得5分。</w:t>
        <w:br/>
        <w:t>逐步完善困难群众保障制度，预期指标一致，根据评分标准，该指标不扣分，得5分。</w:t>
        <w:br/>
        <w:t>（2）满意度指标：</w:t>
        <w:br/>
        <w:t>对于满意度指标：</w:t>
        <w:br/>
        <w:t>社会公众满意度100%，与预期指标一致，根据评分标准，该指标不扣分，得10分。</w:t>
      </w:r>
      <w:bookmarkStart w:id="0" w:name="_GoBack"/>
      <w:bookmarkEnd w:id="0"/>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五、主要经验及做法、存在的问题及原因分析</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（一）主要经验及做法</w:t>
        <w:br/>
        <w:t>1．不断完善各项预算管理制度，根据新形势和新要求，结合不断出台的各项制度，制定相应的预算管理制度。强化预算管理，事前必编预算，控制经费使用，使用必问绩效，将绩效管理贯穿于预算编制、执行及决算等环节。</w:t>
        <w:br/>
        <w:t>2．加强宣传，加强对各项制度的执行力度，杜绝有令不行、有禁不止的情况发生。</w:t>
        <w:br/>
        <w:t>（二）存在问题及原因分析</w:t>
        <w:br/>
        <w:t>截止自评节点，本项目不存在资金及项目管理问题。</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六、有关建议</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1.绩效管理方面</w:t>
        <w:br/>
        <w:t>绩效目标设置是预算批复和预算安排的前置条件，是实施绩效监控、开展绩效评价等工作的重要基础和依据，统领预算绩效管理。建议预算单位严格按照自治区印发的相关通知要求，切实提升绩效目标和指标的编制水平，强化目标对项目实施的约束力。</w:t>
        <w:br/>
        <w:t>2.资金管理方面</w:t>
        <w:br/>
        <w:t>建议预算单位要树立起预算执行主体责任意识和效率意识，强化预算执行管理，根据项目实施计划，严格把控项目资金支出进度，对项目实施过程中遇到影响项目完成进度或资金支付进度的问题，在自身不能采取有效措施进行解决的情况下应尽快向财政部门反馈，使财政部门能够对涉及的资金进行适当调整，充分提高财政资金使用效益。</w:t>
        <w:br/>
        <w:t>3.项目管理方面</w:t>
        <w:br/>
        <w:t>建议预算单位加强对项目建设、实施进度以及质量的管控，定期监督检查项目执行进度和实施质量，及时采取措施对发现的问题进行纠偏整改，对需要及时协调各方共同解决的问题，应加强各责任部门之间的沟通，共同推动项目管理水平的提升。</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七、其他需要说明的问题</w:t>
      </w:r>
    </w:p>
    <w:p>
      <w:pPr>
        <w:spacing w:line="540" w:lineRule="exact"/>
        <w:ind w:firstLine="567"/>
        <w:rPr>
          <w:rStyle w:val="17"/>
          <w:rFonts w:ascii="仿宋" w:hAnsi="仿宋" w:eastAsia="仿宋"/>
          <w:b w:val="0"/>
          <w:spacing w:val="-4"/>
          <w:sz w:val="32"/>
          <w:szCs w:val="32"/>
        </w:rPr>
      </w:pPr>
      <w:r>
        <w:rPr>
          <w:rStyle w:val="17"/>
          <w:rFonts w:hint="eastAsia" w:ascii="仿宋" w:hAnsi="仿宋" w:eastAsia="仿宋" w:cs="仿宋"/>
          <w:b w:val="0"/>
          <w:bCs w:val="0"/>
          <w:spacing w:val="-4"/>
          <w:sz w:val="32"/>
          <w:szCs w:val="32"/>
        </w:rPr>
        <w:t>我单位对上述项目支出绩效评价报告内反映内容的真实性、完整性负责，接受上级部门及社会监督。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3000509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1A33"/>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E6335"/>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46021"/>
    <w:rsid w:val="00E655F7"/>
    <w:rsid w:val="00E7612A"/>
    <w:rsid w:val="00E769FE"/>
    <w:rsid w:val="00E774CE"/>
    <w:rsid w:val="00E96D03"/>
    <w:rsid w:val="00EA2CBE"/>
    <w:rsid w:val="00EB10A0"/>
    <w:rsid w:val="00F32FEE"/>
    <w:rsid w:val="00FB10BB"/>
    <w:rsid w:val="00FF3B44"/>
    <w:rsid w:val="07D931EA"/>
    <w:rsid w:val="2AE11386"/>
    <w:rsid w:val="2D4C6AD2"/>
    <w:rsid w:val="2D5A6638"/>
    <w:rsid w:val="340D5924"/>
    <w:rsid w:val="43B04001"/>
    <w:rsid w:val="45687296"/>
    <w:rsid w:val="4609551D"/>
    <w:rsid w:val="4D2606A1"/>
    <w:rsid w:val="4DD42C22"/>
    <w:rsid w:val="50796DE0"/>
    <w:rsid w:val="5DA70C36"/>
    <w:rsid w:val="716B6B6A"/>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6">
    <w:name w:val="Default Paragraph Font"/>
    <w:semiHidden/>
    <w:unhideWhenUsed/>
    <w:uiPriority w:val="1"/>
  </w:style>
  <w:style w:type="table" w:default="1" w:styleId="19">
    <w:name w:val="Normal Table"/>
    <w:semiHidden/>
    <w:unhideWhenUsed/>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Theme="minorHAnsi" w:hAnsiTheme="minorHAnsi"/>
      <w:b/>
      <w:i/>
      <w:iCs/>
    </w:rPr>
  </w:style>
  <w:style w:type="character" w:customStyle="1" w:styleId="20">
    <w:name w:val="标题 1 字符"/>
    <w:basedOn w:val="16"/>
    <w:link w:val="2"/>
    <w:qFormat/>
    <w:uiPriority w:val="9"/>
    <w:rPr>
      <w:rFonts w:asciiTheme="majorHAnsi" w:hAnsiTheme="majorHAnsi" w:eastAsiaTheme="majorEastAsia"/>
      <w:b/>
      <w:bCs/>
      <w:kern w:val="32"/>
      <w:sz w:val="32"/>
      <w:szCs w:val="32"/>
    </w:rPr>
  </w:style>
  <w:style w:type="character" w:customStyle="1" w:styleId="21">
    <w:name w:val="标题 2 字符"/>
    <w:basedOn w:val="16"/>
    <w:link w:val="3"/>
    <w:semiHidden/>
    <w:qFormat/>
    <w:uiPriority w:val="9"/>
    <w:rPr>
      <w:rFonts w:asciiTheme="majorHAnsi" w:hAnsiTheme="majorHAnsi" w:eastAsiaTheme="majorEastAsia"/>
      <w:b/>
      <w:bCs/>
      <w:i/>
      <w:iCs/>
      <w:sz w:val="28"/>
      <w:szCs w:val="28"/>
    </w:rPr>
  </w:style>
  <w:style w:type="character" w:customStyle="1" w:styleId="22">
    <w:name w:val="标题 3 字符"/>
    <w:basedOn w:val="16"/>
    <w:link w:val="4"/>
    <w:semiHidden/>
    <w:qFormat/>
    <w:uiPriority w:val="9"/>
    <w:rPr>
      <w:rFonts w:asciiTheme="majorHAnsi" w:hAnsiTheme="majorHAnsi" w:eastAsiaTheme="majorEastAsia"/>
      <w:b/>
      <w:bCs/>
      <w:sz w:val="26"/>
      <w:szCs w:val="26"/>
    </w:rPr>
  </w:style>
  <w:style w:type="character" w:customStyle="1" w:styleId="23">
    <w:name w:val="标题 4 字符"/>
    <w:basedOn w:val="16"/>
    <w:link w:val="5"/>
    <w:qFormat/>
    <w:uiPriority w:val="9"/>
    <w:rPr>
      <w:b/>
      <w:bCs/>
      <w:sz w:val="28"/>
      <w:szCs w:val="28"/>
    </w:rPr>
  </w:style>
  <w:style w:type="character" w:customStyle="1" w:styleId="24">
    <w:name w:val="标题 5 字符"/>
    <w:basedOn w:val="16"/>
    <w:link w:val="6"/>
    <w:semiHidden/>
    <w:qFormat/>
    <w:uiPriority w:val="9"/>
    <w:rPr>
      <w:b/>
      <w:bCs/>
      <w:i/>
      <w:iCs/>
      <w:sz w:val="26"/>
      <w:szCs w:val="26"/>
    </w:rPr>
  </w:style>
  <w:style w:type="character" w:customStyle="1" w:styleId="25">
    <w:name w:val="标题 6 字符"/>
    <w:basedOn w:val="16"/>
    <w:link w:val="7"/>
    <w:semiHidden/>
    <w:qFormat/>
    <w:uiPriority w:val="9"/>
    <w:rPr>
      <w:b/>
      <w:bCs/>
    </w:rPr>
  </w:style>
  <w:style w:type="character" w:customStyle="1" w:styleId="26">
    <w:name w:val="标题 7 字符"/>
    <w:basedOn w:val="16"/>
    <w:link w:val="8"/>
    <w:semiHidden/>
    <w:qFormat/>
    <w:uiPriority w:val="9"/>
    <w:rPr>
      <w:sz w:val="24"/>
      <w:szCs w:val="24"/>
    </w:rPr>
  </w:style>
  <w:style w:type="character" w:customStyle="1" w:styleId="27">
    <w:name w:val="标题 8 字符"/>
    <w:basedOn w:val="16"/>
    <w:link w:val="9"/>
    <w:semiHidden/>
    <w:qFormat/>
    <w:uiPriority w:val="9"/>
    <w:rPr>
      <w:i/>
      <w:iCs/>
      <w:sz w:val="24"/>
      <w:szCs w:val="24"/>
    </w:rPr>
  </w:style>
  <w:style w:type="character" w:customStyle="1" w:styleId="28">
    <w:name w:val="标题 9 字符"/>
    <w:basedOn w:val="16"/>
    <w:link w:val="10"/>
    <w:semiHidden/>
    <w:qFormat/>
    <w:uiPriority w:val="9"/>
    <w:rPr>
      <w:rFonts w:asciiTheme="majorHAnsi" w:hAnsiTheme="majorHAnsi" w:eastAsiaTheme="majorEastAsia"/>
    </w:rPr>
  </w:style>
  <w:style w:type="character" w:customStyle="1" w:styleId="29">
    <w:name w:val="标题 字符"/>
    <w:basedOn w:val="16"/>
    <w:link w:val="15"/>
    <w:qFormat/>
    <w:uiPriority w:val="10"/>
    <w:rPr>
      <w:rFonts w:asciiTheme="majorHAnsi" w:hAnsiTheme="majorHAnsi" w:eastAsiaTheme="majorEastAsia"/>
      <w:b/>
      <w:bCs/>
      <w:kern w:val="28"/>
      <w:sz w:val="32"/>
      <w:szCs w:val="32"/>
    </w:rPr>
  </w:style>
  <w:style w:type="character" w:customStyle="1" w:styleId="30">
    <w:name w:val="副标题 字符"/>
    <w:basedOn w:val="16"/>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6"/>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6"/>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6"/>
    <w:qFormat/>
    <w:uiPriority w:val="21"/>
    <w:rPr>
      <w:b/>
      <w:i/>
      <w:sz w:val="24"/>
      <w:szCs w:val="24"/>
      <w:u w:val="single"/>
    </w:rPr>
  </w:style>
  <w:style w:type="character" w:customStyle="1" w:styleId="39">
    <w:name w:val="不明显参考1"/>
    <w:basedOn w:val="16"/>
    <w:qFormat/>
    <w:uiPriority w:val="31"/>
    <w:rPr>
      <w:sz w:val="24"/>
      <w:szCs w:val="24"/>
      <w:u w:val="single"/>
    </w:rPr>
  </w:style>
  <w:style w:type="character" w:customStyle="1" w:styleId="40">
    <w:name w:val="明显参考1"/>
    <w:basedOn w:val="16"/>
    <w:qFormat/>
    <w:uiPriority w:val="32"/>
    <w:rPr>
      <w:b/>
      <w:sz w:val="24"/>
      <w:u w:val="single"/>
    </w:rPr>
  </w:style>
  <w:style w:type="character" w:customStyle="1" w:styleId="41">
    <w:name w:val="书籍标题1"/>
    <w:basedOn w:val="16"/>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6"/>
    <w:link w:val="13"/>
    <w:qFormat/>
    <w:uiPriority w:val="99"/>
    <w:rPr>
      <w:rFonts w:ascii="Calibri" w:hAnsi="Calibri" w:eastAsia="宋体"/>
      <w:kern w:val="2"/>
      <w:sz w:val="18"/>
      <w:szCs w:val="18"/>
    </w:rPr>
  </w:style>
  <w:style w:type="character" w:customStyle="1" w:styleId="44">
    <w:name w:val="页脚 字符"/>
    <w:basedOn w:val="16"/>
    <w:link w:val="12"/>
    <w:qFormat/>
    <w:uiPriority w:val="99"/>
    <w:rPr>
      <w:rFonts w:ascii="Calibri" w:hAnsi="Calibri" w:eastAsia="宋体"/>
      <w:kern w:val="2"/>
      <w:sz w:val="18"/>
      <w:szCs w:val="18"/>
    </w:rPr>
  </w:style>
  <w:style w:type="character" w:customStyle="1" w:styleId="45">
    <w:name w:val="批注框文本 字符"/>
    <w:basedOn w:val="16"/>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3</Pages>
  <Words>107</Words>
  <Characters>615</Characters>
  <Lines>5</Lines>
  <Paragraphs>1</Paragraphs>
  <TotalTime>40</TotalTime>
  <ScaleCrop>false</ScaleCrop>
  <LinksUpToDate>false</LinksUpToDate>
  <CharactersWithSpaces>721</CharactersWithSpaces>
  <Application>WPS Office_11.1.0.7989_F1E327BC-269C-435d-A152-05C5408002CA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Administrator</cp:lastModifiedBy>
  <cp:lastPrinted>2018-12-31T10:56:00Z</cp:lastPrinted>
  <dcterms:modified xsi:type="dcterms:W3CDTF">2024-03-04T10:45:17Z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2052-11.1.0.7989</vt:lpwstr>
  </property>
</Properties>
</file>