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克州财政项目支出绩效自评报告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2023年中央基本公共卫生服务项目资金</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卫生健康委员会</w:t>
      </w:r>
    </w:p>
    <w:p>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阿克陶县卫生健康委员会</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韩小青</w:t>
      </w:r>
    </w:p>
    <w:p>
      <w:pPr>
        <w:spacing w:line="540" w:lineRule="exact"/>
        <w:ind w:firstLine="360" w:firstLineChars="100"/>
        <w:rPr>
          <w:rStyle w:val="17"/>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2024年03月19日</w:t>
      </w:r>
    </w:p>
    <w:p>
      <w:pPr>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1.项目背景</w:t>
        <w:br/>
        <w:t>本项目遵循财政部《项目支出绩效评价管理办法》（财预〔2020〕10号）和自治区财政厅《自治区财政支出绩效评价管理暂行办法》（新财预〔2018〕189号）等相关政策文件与规定，旨在评价2023年度中央基本公共卫生服务项目项目实施前期、过程及效果，评价财政预算资金使用的效率及效益。为加强和规范基本公共卫生服务资金管理，规范资金安排、分配、使用、监管的等管理方式、压实资金管理责任，提高财政资金经济效益和社会效益，通过实施十四项基本公共卫生服务项目，对城乡居民健康问题主要卫生问题实施干预，减少主要健康危险因素，推进公共卫生服务均等化水平。结合我县实际，特制定本方案。</w:t>
        <w:br/>
        <w:t>2.主要内容及实施情况</w:t>
        <w:br/>
        <w:t>（1）主要内容</w:t>
        <w:br/>
        <w:t>为做好2023年我县基本公共卫生服务项目，提高质量，现拨付2023年中央基本公共卫生服务补助资金到达两批共1351.3万元，请各单位收到后按规定程序使用。</w:t>
        <w:br/>
        <w:t>基本公共卫生类：2023年中央基本公共卫生服务项目资金1351.3万元（中央补助资金），依据《国家基本公共卫生服务规范（第三版）》，拨付至我县15个乡镇（场）卫生院和社区卫生服务中心，用于实施建立居民健康档案、健康教育、预防接种、儿童健康管理、孕产妇健康管理、老年人健康管理、高血压和糖尿病等慢性病患者健康管理、卫生监督协管等12项基本公共卫生服务项目，提高居民健康保健意识和健康知识知晓率，提高居民健康水平，改善公共卫生均等化水平，使城乡居民逐步享有均等化的公共卫生服务。</w:t>
        <w:br/>
        <w:t>（2）实施情况</w:t>
        <w:br/>
        <w:t>依据《关于印发基本公共卫生服务等5项补助资金管理办法的通知》（财社〔2019〕113号）文件、《关于印发2020年自治区基本公共卫生服务项目经费参考标准的通知》（新卫基层发〔2020〕2号）文件以及《关于提前下达2023年中央财政基本公共卫生服务补助资金预算的通知》（克财社〔2022〕79号）文件。</w:t>
        <w:br/>
        <w:t>3.项目实施主体</w:t>
        <w:br/>
        <w:t>通过基层公共卫生服务项目工作的推进，进一步明确了各基层医疗卫生机构公共卫生服务职能为主的职能定位。通过项目的实施对全县居民健康问题实施干预，减少了主要健康危害因素，有效预防和控制了传染病及慢性疾病，城乡居民逐步获得均等化的基本公共卫生服务，健康水平得到进一步提高。</w:t>
        <w:br/>
        <w:t>1.居民健康档案管理。截止12月31日，全县共建有电子健康档案226078份，建档率达98％，年内活动档案数182618份，动态管理率为80.78%。</w:t>
        <w:br/>
        <w:t>2.健康教育。各单位高度重视健康教育工作，建立健全了健康教育工作网络，设立专(兼)职健康教育人员，制定相关工作制度。全年全县共发放健康教育宣传资料14.9342万余份，更换健康教育宣传栏729期，举办健康知识讲座1058次，开展公众咨询活动652次，参加健康活动及接受健康咨询111794人次。</w:t>
        <w:br/>
        <w:t>3.预防接种。各单位均开展了疫苗管理，接种单位配有医用冰箱，规范了“一苗一告知”、“三查七对一验证”及“免后观察30分钟”等接种行为，2023年全县疫苗建证率100%。</w:t>
        <w:br/>
        <w:t>4.0-6岁儿童健康管理。一是新生儿家庭访视进一步规范，新生儿访视记录填写较完整，部分单位新生儿家庭访视率达到了93.04%。二是档案质量进一步提高，空项、错项明显减少。</w:t>
        <w:br/>
        <w:t>5.孕产妇健康管理。孕产妇健康管理服务逐步规范，均按照《国家基本公共卫生服务规范（第三版）》要求为孕产妇进行健康管理服务。服务内容的真实性、完整性、准确性逐步提高，早孕建册率和产后访视率较上半年有所提高。</w:t>
        <w:br/>
        <w:t>6.老年人健康管理。全县65岁及以上老年人建档数12715份，系统年内体检数11883份，接受健康管理人数11018人，健康管理率达到86.65%。</w:t>
        <w:br/>
        <w:t>7.高血压和2型糖尿病健康管理。至12月31日止，全县系统统计管理高血压患者16021人，按照规范要求提供高血压患者健康管理15117人，规范管理率94.36％；管理2型糖尿病患者3384人，按照规范要求提供糖尿病患者健康管理3184人，规范管理率94.09%。</w:t>
        <w:br/>
        <w:t>8.严重精神障碍患者健康管理。截止12月31日，全县系统统计管理严重精神障碍患者764人，规范管理764人，规范管理率100％，服药人数522人，规律服药率67.03%。服药率83.65%。</w:t>
        <w:br/>
        <w:t>9.传染病及突发公共卫生事件报告和处理。各单位均开展了传染病相关知识宣传及培训，预检分诊严格入口管理，发热病例筛查、登记、诊疗、报告等流程日趋规范。大部分单位加强了传染病疫情搜索及自查工作，无传染病病例漏报、迟报，网络报告综合质量较好。全县全年无突发公共卫生事件报告，无因处置不力而导致传染病疫情扩散与流行。</w:t>
        <w:br/>
        <w:t>10.卫生计生监督协管服务。全县全年共发现食源性疾病、饮用水卫生安全巡查、学校卫生服务、非法行医和非法采供血等卫生监督协管事件或线索数0次；食品安全、饮用水卫生、学校卫生、非法行医（采供血)巡查数828次。各项巡查记录、信息报卡比较规范。</w:t>
        <w:br/>
        <w:t>11.肺结核患者健康管理。全县2023年管理肺结核患者294人，规范服药294人，肺结核患者管理率100%。</w:t>
        <w:br/>
        <w:t>12.中医药健康管理。全县65岁以上老年人开展了中医体质辨识和中医药保健指导的有12156人，老年人中医药健康管理率为95.60%；0-36个月儿童接受了中医药健康管理的有5794人，0-36个月儿童中医药健康管理率为86.98%。</w:t>
        <w:br/>
        <w:t>13.适龄妇女“两癌”项目。宫颈癌查项目任务数6536人，已完成6534人筛查任务，其中应检查阴道镜检查人数32人，待进一步检查确认。乳腺癌筛查任务2538人，目前已完成乳腺触诊及超声检查人数2536人。</w:t>
        <w:br/>
        <w:t>14.孕产妇健康管理。全县活产数2774人，住院分娩活产2738人，住院分娩率98.7%。</w:t>
        <w:br/>
        <w:t>15.0-6岁儿童健康管理。0-6岁儿童14780人，一次以上随访的0-6岁儿童数13394人，儿童健康管理率90.62%，5岁以下儿童9903人，0-6岁儿童眼保健和视力检查人数13472人，覆盖率90%。</w:t>
        <w:br/>
        <w:t>4.资金投入和使用情况</w:t>
        <w:br/>
        <w:t>《关于提前下达2023年中央财政基本公共卫生服务补助资金预算的通知》（克财社〔2022〕79号）文件,这次安排下达资金1351.3万元。资金到位率100%。截至2023年12月31日，实际支出1123.12万元，预算执行率83.11%。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项目绩效目标包括项目绩效总目标和阶段性目标。</w:t>
        <w:br/>
        <w:t>1.项目绩效总目标</w:t>
        <w:br/>
        <w:t>通过实施基本公共卫生服务项目，对城乡居民健康问题主要卫生问题实施干预，减少主要健康危险因素。有效预防和控制主要传染病及慢病，提高公共卫生服务和突发公共卫生事件应急处置能力，使城乡居民逐步享有均等化的公共卫生服务。</w:t>
        <w:br/>
        <w:t>2.阶段性目标</w:t>
        <w:b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（1）项目产出目标</w:t>
        <w:br/>
        <w:t>①数量指标</w:t>
        <w:br/>
        <w:t>居民健康档案新建或维护人数指标，预期指标值为≤226002人;</w:t>
        <w:br/>
        <w:t>0-6岁儿童健康管理人数指标，预期指标值为≤14708人；</w:t>
        <w:br/>
        <w:t>孕产妇健康管理人数指标，预期指标值为≤2616人；</w:t>
        <w:br/>
        <w:t>老年人健康管理人数指标，预期指标值为≤12462人;</w:t>
        <w:br/>
        <w:t>高血压患者管理人数指标，预期指标值为≤41751人/次；</w:t>
        <w:br/>
        <w:t>2型糖尿病患者管理人数指标，预期指标值为≤9123人/次;</w:t>
        <w:br/>
        <w:t>严重精神障碍健康管理人数指标，预期指标值为≤2356人/次;</w:t>
        <w:br/>
        <w:t>肺结核健康管理人数指标，预期指标值为≤139人;</w:t>
        <w:br/>
        <w:t>适龄人群国家免疫规划疫苗接种人数指标，预期指标值为≤14708人;</w:t>
        <w:br/>
        <w:t>设置健康教育宣传栏指标，预期指标值为≤636个;</w:t>
        <w:br/>
        <w:t>卫生监督协管指标，预期指标值为≤112个;</w:t>
        <w:br/>
        <w:t>②质量指标</w:t>
        <w:br/>
        <w:t>资金使用合规率指标，预期指标值为＝100%；</w:t>
        <w:br/>
        <w:t>居民健康保健意识和健康知识知晓率指标，预期指标值为≥95%；</w:t>
        <w:br/>
        <w:t>③时效指标</w:t>
        <w:br/>
        <w:t>项目按期完成率，预期指标值为=100%。</w:t>
        <w:br/>
        <w:t>④成本指标</w:t>
        <w:br/>
        <w:t>居民健康档案新建或维护补助指标，预期指标值为=10元/人；</w:t>
        <w:br/>
        <w:t>0-6岁儿童健康管理补助指标，预期指标值为=213元/人；</w:t>
        <w:br/>
        <w:t>孕产妇健康管理补助指标，预期指标值为=274元/人；</w:t>
        <w:br/>
        <w:t>老年人健康管理补助指标，预期指标值为=129元/人；</w:t>
        <w:br/>
        <w:t>原发性高血压健康管理补助指标，预期指标值为=79元/人；</w:t>
        <w:br/>
        <w:t>2型糖尿病健康管理补助指标，预期指标值为=97元/人；</w:t>
        <w:br/>
        <w:t>严重精神障碍健康管理补助指标，预期指标值为=154元/人；</w:t>
        <w:br/>
        <w:t>肺结核健康管理补助指标，预期指标值为=4100元/年；</w:t>
        <w:br/>
        <w:t>适龄人群国家免疫规划疫苗接种补助指标，预期指标值为=23元/人；</w:t>
        <w:br/>
        <w:t>设置健康教育宣传栏补助指标，预期指标值为=100元/期；</w:t>
        <w:br/>
        <w:t>卫生监督协管指标，预期指标值为=2400元/卫生室。</w:t>
        <w:br/>
        <w:t>（2）项目效益目标</w:t>
        <w:br/>
        <w:t>①经济效益指标</w:t>
        <w:br/>
        <w:t>无</w:t>
        <w:br/>
        <w:t>②社会效益指标</w:t>
        <w:br/>
        <w:t>居民健康保健意识和健康知识知晓率指标，预期指标值为提示；</w:t>
        <w:br/>
        <w:t>③生态效益指标</w:t>
        <w:br/>
        <w:t>无</w:t>
        <w:br/>
        <w:t>④满意度指标</w:t>
        <w:br/>
        <w:t>“公共卫生服务对象满意度”指标，预期指标值为≥95%。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（一）绩效评价目的、对象和范围。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（一）绩效评价目的、对象和范围</w:t>
        <w:br/>
        <w:t>1.绩效评价目的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2.绩效评价对象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（二）绩效评价原则、评价指标体系、评价方法、评价标准</w:t>
        <w:br/>
        <w:t>1.绩效评价原则</w:t>
        <w:br/>
        <w:t>本次评价坚持定量优先、定量与定性相结合的方式，始终遵循科学规范、公正公开、分级分类、绩效相关的基本原则。通过对2023年度中央基本公共卫生服务项目资金进行绩效评价，旨在了解项目资金使用和项目管理情况、取得的成绩及效益，进而分析在政策执行、预算资金安排、项目实施等方面存在的问题并提出针对性建议。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3.绩效评价方法</w:t>
        <w:br/>
        <w:t>本次绩效评价方法的选用坚持简便有效的原则采用成本效益分析法、比较法、综合指数评价法、公众评判法等多种方法，具体评价方法如下：</w:t>
        <w:br/>
        <w:t>（1）成本效益分析法，是指将一定时期内总成本与总效益进行对比分析，以评价绩效目标实现程度。</w:t>
        <w:br/>
        <w:t>（2）比较法，通过整理本项目相关资料和数据，评价数量指标的完成情况；通过分析项目的实施情况与绩效目标实现情况，评价项目实施的效果；通过分析项目资金使用情况及产生的效果，评价预算资金分配的合理性。</w:t>
        <w:br/>
        <w:t>（3）综合指数评价法，是指把各项绩效指标的实际水平，对照评价标准值，分别计算各项指标评价得分，再按照设定的各项指标权数计算出综合评价得分，分析评价绩效目标实现情况的评价方法。</w:t>
        <w:br/>
        <w:t>（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本次评价成立了评价工作组，成员如下：</w:t>
        <w:br/>
        <w:t>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组长：匡春燕（县卫健委党组副书记、主任）</w:t>
        <w:br/>
        <w:t>副组长：韩小青（县卫健委党组成员、副主任）</w:t>
        <w:br/>
        <w:t>成员：王守辉（县卫健委四级调研员）</w:t>
        <w:br/>
        <w:t>玉尔也提·亚森（县卫健委副主任科员）</w:t>
        <w:br/>
        <w:t>居马洪·奥布力（县卫健委副主任科员）</w:t>
        <w:br/>
        <w:t>努尔阿孜·艾依提巴依（县疾病预防控制中心党组书记、副主任）</w:t>
        <w:br/>
        <w:t>孟千君（县人民医院党委书记、副院长）</w:t>
        <w:br/>
        <w:t>艾斯卡尔·阿西木（县维吾尔医医院党支部副书记、院长）</w:t>
        <w:br/>
        <w:t>吾守尔·司马义（县妇幼保健与计划生育服务中心党支部副书记、主任）</w:t>
        <w:br/>
        <w:t>丁伟（县卫健委财务办公室主任）</w:t>
        <w:br/>
        <w:t>张永梅（县卫健委核算中心主任）</w:t>
        <w:br/>
        <w:t>阿尔曼·阿不来提（县卫健委医政办主任）</w:t>
        <w:br/>
        <w:t>魏金娟（县卫健委公卫办主任）</w:t>
        <w:br/>
        <w:t>古力努尔·肉孜（县卫健委基妇办主任）</w:t>
        <w:br/>
        <w:t>林山清（县卫健委疾控办主任）</w:t>
        <w:br/>
        <w:t>各乡（镇）卫生院院长</w:t>
        <w:br/>
        <w:t>社区卫生服务中心主任</w:t>
        <w:br/>
        <w:t>组长匡春燕负责基本公共卫生服务资金管理和资金绩效管理全面工作，副组长韩小青负责资金管理分配和使用监督，领导小组下设办公室,办公室设在县卫健委基本公共卫生服务办公室,由魏金娟同志具体负责日常工作，由公卫、疾控、医政、基妇办具体负责相关资金分配和绩效管理工作。</w:t>
        <w:br/>
        <w:t>第二阶段：组织实施。经评价组通过实地调研等方式，采用综合分析法对项目的决策、管理、绩效进行的综合评价分析。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</w:t>
        <w:br/>
        <w:t>第四阶段：撰写与提交评价报告</w:t>
        <w:br/>
        <w:t>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</w:t>
        <w:b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评价组对照项目绩效评价指标体系，从决策、过程、产出和效益四个维度，通过数据采集、实地调研和问卷访谈等方式，对“2023年度中央基本公共卫生服务项目”项目绩效进行客观公正的评价，本项目总得分为99.2分，绩效评级属于“优”。其中，决策类指标得分20分，过程类指标得分19.2分，产出类指标得分40分，效益类指标得分20分。</w:t>
        <w:br/>
        <w:t>（二）综合评价结论</w:t>
        <w:br/>
        <w:t>经评价，本项目达到了年初设立的绩效目标，在实施过程中取得了良好的成效，具体表现在：通过基层公共卫生服务项目工作的推进，进一步明确了各基层医疗卫生机构公共卫生服务职能为主的职能定位。通过项目的实施对全县居民健康问题实施干预，减少了主要健康危害因素，有效预防和控制了传染病及慢性疾病，城乡居民逐步获得均等化的基本公共卫生服务，健康水平得到进一步提高。</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项目决策类指标包括项目立项、绩效目标和资金投入三方面的内容，由6个三级指标构成，权重分为20分，实际得分20分，得分率为100%。</w:t>
        <w:br/>
        <w:t>（1）立项依据充分性：依据《关于印发基本公共卫生服务等5项补助资金管理办法的通知》（财社〔2019〕113号）文件、《关于印发2020年自治区基本公共卫生服务项目经费参考标准的通知》（新卫基层发〔2020〕2号）文件以及《关于提前下达2023年中央财政基本公共卫生服务补助资金预算的通知》（克财社〔2022〕79号）文件，并结合阿克陶县卫生健康委员会职责组织实施。围绕阿克陶县卫生健康委员会年度工作重点和工作计划制定经费预算，根据评分标准，该指标不扣分，得3分。</w:t>
        <w:br/>
        <w:t>（2）立项程序规范性：根据决策依据编制工作计划和经费预算，经过与阿克陶县卫生健康委员会财经领导小组进行沟通、筛选确定经费预算计划，上局务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（4）绩效指标明确性：将项目绩效目标细化分解为具体的绩效指标，根据评分标准，该指标不扣分，得2分。</w:t>
        <w:br/>
        <w:t>（5）预算编制科学性：《关于提前下达2023年中央财政基本公共卫生服务补助资金预算的通知》（克财社〔2022〕79号）文件，实际完成内容与项目内容匹配，项目投资额与工作任务相匹配，根据评分标准，该指标不扣分，得5分。</w:t>
        <w:br/>
        <w:t>（6）资金分配合理性：资金分配按照《关于印发2020年自治区基本公共卫生服务项目经费参考标准的通知》（新卫基层发〔2020〕2号）文件要求为做好2023年我县基本公共卫生服务项目，提高质量，2023年中央下拨我县中央基本公共卫生服务项目资金共1351.3万元。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项目过程类指标包括资金管理和组织实施两方面的内容，由5个三级指标构成，权重分为20分，实际得分19.2分，得分率为96%。</w:t>
        <w:br/>
        <w:t>（1）资金到位率：该项目总投资1351.3万元，实际下达经费1351.3万元，当年财政拨款0万元。财政资金足额拨付到位，根据评分标准，该指标不扣分，得5分。</w:t>
        <w:br/>
        <w:t>（2）预算执行率：本项目申请预算金额为1351.3万元，预算批复实际下达金额为1351.3万元截至2023年12月31日，实际支出1123.12万元，预算执行率83.11%。根据评分标准，该扣0.8分，得4.2分。</w:t>
        <w:br/>
        <w:t>（3）资金使用合规性：《关于印发2020年自治区基本公共卫生服务项目经费参考标准的通知》（新卫基层发〔2020〕2号）文件要求符合预算批复规定用途，不存在截留、挤占、挪用、虚列支出等情况，未发现违规使用情况，根据评分标准，该指标不扣分，得5分。</w:t>
        <w:br/>
        <w:t>（4）管理制度健全性：该项目严格按照《阿克陶县卫生健康委员会财务制度》及相关的制度和管理规定实施，对财政专项资金进行严格管理，基本做到了专款专用，根据评分标准，该指标不扣分，得2分。</w:t>
        <w:br/>
        <w:t>（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</w:t>
        <w:br/>
        <w:t>（1）对于“产出数量”</w:t>
        <w:br/>
        <w:t>居民健康档案新建或维护人数226078，与预期目标一致，根据评分标准，该指标不扣分，得1分。</w:t>
        <w:br/>
        <w:t>0-6岁儿童健康管理人数14708人，与预期目标一致，根据评分标准，该指标不扣分，得0.5分。</w:t>
        <w:br/>
        <w:t>孕产妇健康管理人数2616人，与预期目标一致，根据评分标准，该指标不扣分，得0.5分。</w:t>
        <w:br/>
        <w:t>老年人健康管理人数12462人，与预期目标一致，根据评分标准，该指标不扣分，得1分。</w:t>
        <w:br/>
        <w:t>高血压患者管理41751人/次，与预期目标一致，根据评分标准，该指标不扣分，得1分。</w:t>
        <w:br/>
        <w:t>2型糖尿病患者管理9123人/次，与预期目标一致，根据评分标准，该指标不扣分，得1分。</w:t>
        <w:br/>
        <w:t>严重精神障碍健康管理2356人/次，与预期目标一致，根据评分标准，该指标不扣分，得1分。</w:t>
        <w:br/>
        <w:t>肺结核健康管理人数139人，与预期目标一致，根据评分标准，该指标不扣分，得1分。</w:t>
        <w:br/>
        <w:t>适龄人群国家免疫规划疫苗接种人数14708人，与预期目标一致，根据评分标准，该指标不扣分，得1分。</w:t>
        <w:br/>
        <w:t>设置健康教育宣传栏752个，与预期目标一致，根据评分标准，该指标不扣分，得1分。</w:t>
        <w:br/>
        <w:t>卫生监督协管112个，与预期目标一致，根据评分标准，该指标不扣分，得1分。</w:t>
        <w:br/>
        <w:t>（2）对于“产出质量”</w:t>
        <w:br/>
        <w:t>资金使用合规率=100%，，与预期目标一致，根据评分标准，该指标不扣分，得5分。</w:t>
        <w:br/>
        <w:t>居民健康保健意识和健康知识知晓率≧95%，根据评分标准，该指标不扣分，得5分。</w:t>
        <w:br/>
        <w:t>（3）对于“产出时效”</w:t>
        <w:br/>
        <w:t>项目按期完成率100%，与预期目标一致，根据评分标准，该指标不扣分，得10分。</w:t>
        <w:br/>
        <w:t>（4）对于“产出成本”</w:t>
        <w:br/>
        <w:t>居民健康档案新建或维护补助10元/人，与预期目标一致，根据评分标准，该指标不扣分，得1分。</w:t>
        <w:br/>
        <w:t>0-6岁儿童健康管理补助213元/人，与预期目标一致，根据评分标准，该指标不扣分，得0.5分。</w:t>
        <w:br/>
        <w:t>孕产妇健康管理补助274元/人，与预期目标一致，根据评分标准，该指标不扣分，得0.5分。</w:t>
        <w:br/>
        <w:t>老年人健康管理补助指标129元/人，与预期目标一致，根据评分标准，该指标不扣分，得1分。</w:t>
        <w:br/>
        <w:t>原发性高血压健康管理补助79元，与预期目标一致，根据评分标准，该指标不扣分，得1分。</w:t>
        <w:br/>
        <w:t>2型糖尿病健康管理补助97元/人，与预期目标一致，根据评分标准，该指标不扣分，得1分。</w:t>
        <w:br/>
        <w:t>严重精神障碍健康管理补助154元/人，与预期目标一致，根据评分标准，该指标不扣分，得1分。</w:t>
        <w:br/>
        <w:t>肺结核健康管理补助4100元/年，与预期目标一致，根据评分标准，该指标不扣分，得1分。</w:t>
        <w:br/>
        <w:t>适龄人群国家免疫规划疫苗接种补助23元/人，与预期目标一致，根据评分标准，该指标不扣分，得1分。</w:t>
        <w:br/>
        <w:t>设置健康教育宣传栏补助100元/期，与预期目标一致，根据评分标准，该指标不扣分，得1分。</w:t>
        <w:br/>
        <w:t>卫生监督协管2400元/卫生室，与预期目标一致，根据评分标准，该指标不扣分，得1分。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四</w:t>
      </w:r>
      <w:r>
        <w:rPr>
          <w:rFonts w:hint="eastAsia" w:ascii="楷体" w:hAnsi="楷体" w:eastAsia="楷体" w:cs="楷体"/>
          <w:b/>
          <w:spacing w:val="-4"/>
          <w:sz w:val="32"/>
          <w:szCs w:val="32"/>
        </w:rPr>
        <w:t>）项目效益情况。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（1）实施效益指标</w:t>
        <w:br/>
        <w:t>对于“社会效益指标”</w:t>
        <w:br/>
        <w:t>提高居民健康水平，与预期指标一致，根据评分标准，该指标不扣分，得10分。</w:t>
        <w:br/>
        <w:t>（2）满意度指标</w:t>
        <w:br/>
        <w:t>对于满意度指标：公共卫生服务对象满意度95%，与预期目标一致，根据评分标准，该指标不扣分，得10分。</w:t>
      </w:r>
      <w:bookmarkStart w:id="0" w:name="_GoBack"/>
      <w:bookmarkEnd w:id="0"/>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1．不断完善各项预算管理制度，根据新形势和新要求，结合不断出台的各项制度，制定相应的预算管理制度。强化预算管理，事前必编预算，控制经费使用，使用必问绩效，将绩效管理贯穿于预算编制、执行及决算等环节。</w:t>
        <w:br/>
        <w:t>2．加强宣传，加强对各项制度的执行力度，杜绝有令不行、有禁不止的情况发生。</w:t>
        <w:br/>
        <w:t>（二）存在问题及原因分析</w:t>
        <w:br/>
        <w:t>一是组织各层级医疗机构提前谋划，做好项目实施计划的前期准备；二是狠抓资金绩效监控，严格经费使用和管理绩效监控，各基层医疗机构的经费拨付和使用情况作为重点年度绩效评价，加快项目实施和资金保障进程；三是定期通报，督促支出，及时掌握进度，提高效率。</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1.项目建设的程序进一步规范。项目前期做好工作计划，细化实施方案，严格执行资金管理办法和财政资金管理制度，严格按照项目工作计划及实施方案稳步推进工作，单位根据自己项目的特点进行总结。</w:t>
        <w:br/>
        <w:t>2.项目评价资料有待进一步完善。项目启动时同步做好档案的归纳与整理，及时整理、收集、汇总，健全档案资料。项目后续管理有待进一步加强和跟踪。</w:t>
        <w:br/>
        <w:t>3.通过绩效管理，发现实施中存在漏洞，以后加强管理，及时掌握与之相关的各类信息，减少成本，使资金效益最大化。</w:t>
        <w:br/>
        <w:t>4．评价工作应从项目实施方案源头抓起，评价工作和意识应贯穿项目整个过程。</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1A33"/>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E6335"/>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46021"/>
    <w:rsid w:val="00E655F7"/>
    <w:rsid w:val="00E7612A"/>
    <w:rsid w:val="00E769FE"/>
    <w:rsid w:val="00E774CE"/>
    <w:rsid w:val="00E96D03"/>
    <w:rsid w:val="00EA2CBE"/>
    <w:rsid w:val="00EB10A0"/>
    <w:rsid w:val="00F32FEE"/>
    <w:rsid w:val="00FB10BB"/>
    <w:rsid w:val="00FF3B44"/>
    <w:rsid w:val="07D931EA"/>
    <w:rsid w:val="2AE11386"/>
    <w:rsid w:val="2D4C6AD2"/>
    <w:rsid w:val="2D5A6638"/>
    <w:rsid w:val="340D5924"/>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uiPriority w:val="1"/>
  </w:style>
  <w:style w:type="table" w:default="1" w:styleId="19">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107</Words>
  <Characters>615</Characters>
  <Lines>5</Lines>
  <Paragraphs>1</Paragraphs>
  <TotalTime>40</TotalTime>
  <ScaleCrop>false</ScaleCrop>
  <LinksUpToDate>false</LinksUpToDate>
  <CharactersWithSpaces>721</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2024-03-04T10:45:17Z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