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阿克陶县城市管理综合行政执法局2023年度部门决算公开说明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pStyle w:val="7"/>
        <w:tabs>
          <w:tab w:val="right" w:pos="8306"/>
        </w:tabs>
        <w:rPr>
          <w:rFonts w:ascii="仿宋_GB2312" w:hAnsi="仿宋_GB2312" w:eastAsia="仿宋_GB2312" w:cs="仿宋_GB2312"/>
          <w:bCs/>
          <w:kern w:val="0"/>
          <w:sz w:val="32"/>
          <w:szCs w:val="32"/>
        </w:rPr>
      </w:pPr>
      <w:r>
        <w:rPr>
          <w:rFonts w:hint="eastAsia" w:ascii="仿宋_GB2312" w:hAnsi="仿宋_GB2312" w:eastAsia="仿宋_GB2312" w:cs="仿宋_GB2312"/>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（一）贯彻执行有关城市管理和综合行政执法方面的法律法规、政策规定等；负责起草城市管理和综合行政执法方面的规范性文件，并组织实施。</w:t>
      </w:r>
      <w:bookmarkStart w:id="48" w:name="_GoBack"/>
      <w:bookmarkEnd w:id="48"/>
      <w:r>
        <w:rPr>
          <w:rFonts w:ascii="仿宋_GB2312" w:eastAsia="仿宋_GB2312"/>
          <w:sz w:val="32"/>
          <w:szCs w:val="32"/>
        </w:rPr>
        <w:br w:type="textWrapping"/>
      </w:r>
      <w:r>
        <w:rPr>
          <w:rFonts w:ascii="仿宋_GB2312" w:eastAsia="仿宋_GB2312"/>
          <w:sz w:val="32"/>
          <w:szCs w:val="32"/>
        </w:rPr>
        <w:t>　　（二）贯彻落实新发展理念，构建权责清晰、服务为先、管理优化、执法规范、安全有序的城市管理体制，提高城市管理和公共服务水平，推动城市管理走向城市治理。</w:t>
      </w:r>
      <w:r>
        <w:rPr>
          <w:rFonts w:ascii="仿宋_GB2312" w:eastAsia="仿宋_GB2312"/>
          <w:sz w:val="32"/>
          <w:szCs w:val="32"/>
        </w:rPr>
        <w:br w:type="textWrapping"/>
      </w:r>
      <w:r>
        <w:rPr>
          <w:rFonts w:ascii="仿宋_GB2312" w:eastAsia="仿宋_GB2312"/>
          <w:sz w:val="32"/>
          <w:szCs w:val="32"/>
        </w:rPr>
        <w:t>　　（三）负责拟定</w:t>
      </w:r>
      <w:r>
        <w:rPr>
          <w:rFonts w:ascii="仿宋_GB2312" w:eastAsia="仿宋_GB2312"/>
          <w:sz w:val="32"/>
          <w:szCs w:val="32"/>
          <w:highlight w:val="green"/>
        </w:rPr>
        <w:t>全</w:t>
      </w:r>
      <w:r>
        <w:rPr>
          <w:rFonts w:hint="eastAsia" w:ascii="仿宋_GB2312" w:eastAsia="仿宋_GB2312"/>
          <w:sz w:val="32"/>
          <w:szCs w:val="32"/>
          <w:highlight w:val="green"/>
          <w:lang w:eastAsia="zh-CN"/>
        </w:rPr>
        <w:t>县</w:t>
      </w:r>
      <w:r>
        <w:rPr>
          <w:rFonts w:ascii="仿宋_GB2312" w:eastAsia="仿宋_GB2312"/>
          <w:sz w:val="32"/>
          <w:szCs w:val="32"/>
        </w:rPr>
        <w:t>城市管理发展规划，并组织实施；负责全市城市管理和综合行政执法工作的组织协调、业务指导、监督检查和考核评价；负责查处重大违法违规案件。</w:t>
      </w:r>
      <w:r>
        <w:rPr>
          <w:rFonts w:ascii="仿宋_GB2312" w:eastAsia="仿宋_GB2312"/>
          <w:sz w:val="32"/>
          <w:szCs w:val="32"/>
        </w:rPr>
        <w:br w:type="textWrapping"/>
      </w:r>
      <w:r>
        <w:rPr>
          <w:rFonts w:ascii="仿宋_GB2312" w:eastAsia="仿宋_GB2312"/>
          <w:sz w:val="32"/>
          <w:szCs w:val="32"/>
        </w:rPr>
        <w:t>　　（四）负责组织开展</w:t>
      </w:r>
      <w:r>
        <w:rPr>
          <w:rFonts w:ascii="仿宋_GB2312" w:eastAsia="仿宋_GB2312"/>
          <w:sz w:val="32"/>
          <w:szCs w:val="32"/>
          <w:highlight w:val="green"/>
        </w:rPr>
        <w:t>全</w:t>
      </w:r>
      <w:r>
        <w:rPr>
          <w:rFonts w:hint="eastAsia" w:ascii="仿宋_GB2312" w:eastAsia="仿宋_GB2312"/>
          <w:sz w:val="32"/>
          <w:szCs w:val="32"/>
          <w:highlight w:val="green"/>
          <w:lang w:eastAsia="zh-CN"/>
        </w:rPr>
        <w:t>县</w:t>
      </w:r>
      <w:r>
        <w:rPr>
          <w:rFonts w:ascii="仿宋_GB2312" w:eastAsia="仿宋_GB2312"/>
          <w:sz w:val="32"/>
          <w:szCs w:val="32"/>
        </w:rPr>
        <w:t>城市管理和综合行政执法专项活动；负责受理城市管理和综合行政执法中的信访、复议、应诉等工作。</w:t>
      </w:r>
      <w:r>
        <w:rPr>
          <w:rFonts w:ascii="仿宋_GB2312" w:eastAsia="仿宋_GB2312"/>
          <w:sz w:val="32"/>
          <w:szCs w:val="32"/>
        </w:rPr>
        <w:br w:type="textWrapping"/>
      </w:r>
      <w:r>
        <w:rPr>
          <w:rFonts w:ascii="仿宋_GB2312" w:eastAsia="仿宋_GB2312"/>
          <w:sz w:val="32"/>
          <w:szCs w:val="32"/>
        </w:rPr>
        <w:t>　　（五）负责城市管理和综合行政执法方面各类突发、特殊事件及强制事件的应急指挥和组织处置等工作。</w:t>
      </w:r>
      <w:r>
        <w:rPr>
          <w:rFonts w:ascii="仿宋_GB2312" w:eastAsia="仿宋_GB2312"/>
          <w:sz w:val="32"/>
          <w:szCs w:val="32"/>
        </w:rPr>
        <w:br w:type="textWrapping"/>
      </w:r>
      <w:r>
        <w:rPr>
          <w:rFonts w:ascii="仿宋_GB2312" w:eastAsia="仿宋_GB2312"/>
          <w:sz w:val="32"/>
          <w:szCs w:val="32"/>
        </w:rPr>
        <w:t>　　（六）负责对临时占用城市道路、临街建筑物外部装饰装修、各类建筑物外部拆改，以及临时建筑物搭建、堆放物料、占道施工的审批工作。</w:t>
      </w:r>
      <w:r>
        <w:rPr>
          <w:rFonts w:ascii="仿宋_GB2312" w:eastAsia="仿宋_GB2312"/>
          <w:sz w:val="32"/>
          <w:szCs w:val="32"/>
        </w:rPr>
        <w:br w:type="textWrapping"/>
      </w:r>
      <w:r>
        <w:rPr>
          <w:rFonts w:ascii="仿宋_GB2312" w:eastAsia="仿宋_GB2312"/>
          <w:sz w:val="32"/>
          <w:szCs w:val="32"/>
        </w:rPr>
        <w:t>　　（七）负责编制户外广告专项规划、户外广告和门店牌匾技术规范；负责户外广告、门店牌匾等标志性设施设立的核准工作。</w:t>
      </w:r>
      <w:r>
        <w:rPr>
          <w:rFonts w:ascii="仿宋_GB2312" w:eastAsia="仿宋_GB2312"/>
          <w:sz w:val="32"/>
          <w:szCs w:val="32"/>
        </w:rPr>
        <w:br w:type="textWrapping"/>
      </w:r>
      <w:r>
        <w:rPr>
          <w:rFonts w:ascii="仿宋_GB2312" w:eastAsia="仿宋_GB2312"/>
          <w:sz w:val="32"/>
          <w:szCs w:val="32"/>
        </w:rPr>
        <w:t>　　（八）负责对城区内露天商品流通市场进行日常管理，整顿无主办单位市场，依法对侵占集贸市场行为进行处理等工作。</w:t>
      </w:r>
      <w:r>
        <w:rPr>
          <w:rFonts w:ascii="仿宋_GB2312" w:eastAsia="仿宋_GB2312"/>
          <w:sz w:val="32"/>
          <w:szCs w:val="32"/>
        </w:rPr>
        <w:br w:type="textWrapping"/>
      </w:r>
      <w:r>
        <w:rPr>
          <w:rFonts w:ascii="仿宋_GB2312" w:eastAsia="仿宋_GB2312"/>
          <w:sz w:val="32"/>
          <w:szCs w:val="32"/>
        </w:rPr>
        <w:t>　　（九）负责城市景观亮化工作的规划设计、协调督促、监督检查等工作。</w:t>
      </w:r>
      <w:r>
        <w:rPr>
          <w:rFonts w:ascii="仿宋_GB2312" w:eastAsia="仿宋_GB2312"/>
          <w:sz w:val="32"/>
          <w:szCs w:val="32"/>
        </w:rPr>
        <w:br w:type="textWrapping"/>
      </w:r>
      <w:r>
        <w:rPr>
          <w:rFonts w:ascii="仿宋_GB2312" w:eastAsia="仿宋_GB2312"/>
          <w:sz w:val="32"/>
          <w:szCs w:val="32"/>
        </w:rPr>
        <w:t>　　（十）负责对责任单位“门前三包”责任制落实情况的监督、检查和考评等工作。</w:t>
      </w:r>
      <w:r>
        <w:rPr>
          <w:rFonts w:ascii="仿宋_GB2312" w:eastAsia="仿宋_GB2312"/>
          <w:sz w:val="32"/>
          <w:szCs w:val="32"/>
        </w:rPr>
        <w:br w:type="textWrapping"/>
      </w:r>
      <w:r>
        <w:rPr>
          <w:rFonts w:ascii="仿宋_GB2312" w:eastAsia="仿宋_GB2312"/>
          <w:sz w:val="32"/>
          <w:szCs w:val="32"/>
        </w:rPr>
        <w:t>　　（十一）负责依法组织实施城市临时占道费的征收以及市政公共资源有偿使用权的委托经营、招标、拍卖等市场化运作工作。</w:t>
      </w:r>
      <w:r>
        <w:rPr>
          <w:rFonts w:ascii="仿宋_GB2312" w:eastAsia="仿宋_GB2312"/>
          <w:sz w:val="32"/>
          <w:szCs w:val="32"/>
        </w:rPr>
        <w:br w:type="textWrapping"/>
      </w:r>
      <w:r>
        <w:rPr>
          <w:rFonts w:ascii="仿宋_GB2312" w:eastAsia="仿宋_GB2312"/>
          <w:sz w:val="32"/>
          <w:szCs w:val="32"/>
        </w:rPr>
        <w:t>　　（十二）完成县委、县政府交办的其他任务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阿克陶县城市管理综合行政执法局</w:t>
      </w:r>
      <w:r>
        <w:rPr>
          <w:rFonts w:ascii="仿宋_GB2312" w:eastAsia="仿宋_GB2312"/>
          <w:sz w:val="32"/>
          <w:szCs w:val="32"/>
        </w:rPr>
        <w:t>2023</w:t>
      </w:r>
      <w:r>
        <w:rPr>
          <w:rFonts w:hint="eastAsia" w:ascii="仿宋_GB2312" w:eastAsia="仿宋_GB2312"/>
          <w:sz w:val="32"/>
          <w:szCs w:val="32"/>
        </w:rPr>
        <w:t>年度，实有人数</w:t>
      </w:r>
      <w:r>
        <w:rPr>
          <w:rFonts w:ascii="仿宋_GB2312" w:eastAsia="仿宋_GB2312"/>
          <w:sz w:val="32"/>
          <w:szCs w:val="32"/>
        </w:rPr>
        <w:t>24</w:t>
      </w:r>
      <w:r>
        <w:rPr>
          <w:rFonts w:hint="eastAsia" w:ascii="仿宋_GB2312" w:eastAsia="仿宋_GB2312"/>
          <w:sz w:val="32"/>
          <w:szCs w:val="32"/>
        </w:rPr>
        <w:t>人，其中：在职人员</w:t>
      </w:r>
      <w:r>
        <w:rPr>
          <w:rFonts w:ascii="仿宋_GB2312" w:eastAsia="仿宋_GB2312"/>
          <w:sz w:val="32"/>
          <w:szCs w:val="32"/>
        </w:rPr>
        <w:t>16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8</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lang w:eastAsia="zh-CN"/>
        </w:rPr>
        <w:t>个科室，分别是</w:t>
      </w:r>
      <w:r>
        <w:rPr>
          <w:rFonts w:hint="eastAsia" w:ascii="仿宋_GB2312" w:hAnsi="黑体" w:eastAsia="仿宋_GB2312" w:cs="宋体"/>
          <w:bCs/>
          <w:kern w:val="0"/>
          <w:sz w:val="32"/>
          <w:szCs w:val="32"/>
        </w:rPr>
        <w:t>：办公室、财务室、党建办、法制办、一中队、二中队</w:t>
      </w:r>
      <w:r>
        <w:rPr>
          <w:rFonts w:hint="eastAsia" w:ascii="仿宋_GB2312" w:hAnsi="宋体" w:eastAsia="仿宋_GB2312" w:cs="宋体"/>
          <w:kern w:val="0"/>
          <w:sz w:val="32"/>
          <w:szCs w:val="32"/>
        </w:rPr>
        <w:t>。</w:t>
      </w:r>
    </w:p>
    <w:p>
      <w:pPr>
        <w:rPr>
          <w:rFonts w:ascii="黑体" w:hAnsi="黑体" w:eastAsia="黑体"/>
          <w:sz w:val="32"/>
          <w:szCs w:val="32"/>
        </w:rPr>
        <w:sectPr>
          <w:footerReference r:id="rId3" w:type="default"/>
          <w:pgSz w:w="11906" w:h="16838"/>
          <w:pgMar w:top="1440" w:right="1800" w:bottom="1440" w:left="1800" w:header="851" w:footer="992" w:gutter="0"/>
          <w:cols w:space="720" w:num="1"/>
          <w:docGrid w:type="lines" w:linePitch="312" w:charSpace="0"/>
        </w:sectPr>
      </w:pPr>
      <w:bookmarkStart w:id="6" w:name="_Toc29374"/>
      <w:bookmarkStart w:id="7" w:name="_Toc3092"/>
    </w:p>
    <w:p>
      <w:bookmarkStart w:id="8" w:name="_Toc5453"/>
      <w:bookmarkStart w:id="9" w:name="_Toc7643"/>
    </w:p>
    <w:bookmarkEnd w:id="8"/>
    <w:bookmarkEnd w:id="9"/>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10" w:name="_Toc12566"/>
      <w:bookmarkStart w:id="11" w:name="_Toc25314"/>
      <w:r>
        <w:rPr>
          <w:rFonts w:hint="eastAsia" w:ascii="黑体" w:hAnsi="黑体" w:eastAsia="黑体" w:cs="宋体"/>
          <w:bCs/>
          <w:kern w:val="0"/>
          <w:sz w:val="32"/>
          <w:szCs w:val="32"/>
        </w:rPr>
        <w:t>一、收入支出决算总体情况说明</w:t>
      </w:r>
      <w:bookmarkEnd w:id="10"/>
      <w:bookmarkEnd w:id="11"/>
    </w:p>
    <w:p>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年度收入总计400.90万元，</w:t>
      </w:r>
      <w:r>
        <w:rPr>
          <w:rFonts w:hint="eastAsia" w:ascii="仿宋_GB2312" w:eastAsia="仿宋_GB2312"/>
          <w:sz w:val="32"/>
          <w:szCs w:val="32"/>
        </w:rPr>
        <w:t>其中：本年收入合计</w:t>
      </w:r>
      <w:r>
        <w:rPr>
          <w:rFonts w:ascii="仿宋_GB2312" w:eastAsia="仿宋_GB2312"/>
          <w:sz w:val="32"/>
          <w:szCs w:val="32"/>
        </w:rPr>
        <w:t>400.81</w:t>
      </w:r>
      <w:r>
        <w:rPr>
          <w:rFonts w:hint="eastAsia" w:ascii="仿宋_GB2312" w:eastAsia="仿宋_GB2312"/>
          <w:sz w:val="32"/>
          <w:szCs w:val="32"/>
        </w:rPr>
        <w:t>万元，使用非财政拨款结余0.00万元，年初结转和结余0.09万元。</w:t>
      </w:r>
    </w:p>
    <w:p>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年度支出总计400.90万元，</w:t>
      </w:r>
      <w:r>
        <w:rPr>
          <w:rFonts w:hint="eastAsia" w:ascii="仿宋_GB2312" w:eastAsia="仿宋_GB2312"/>
          <w:sz w:val="32"/>
          <w:szCs w:val="32"/>
        </w:rPr>
        <w:t>其中：本年支出合计</w:t>
      </w:r>
      <w:r>
        <w:rPr>
          <w:rFonts w:ascii="仿宋_GB2312" w:eastAsia="仿宋_GB2312"/>
          <w:sz w:val="32"/>
          <w:szCs w:val="32"/>
        </w:rPr>
        <w:t>400.89</w:t>
      </w:r>
      <w:r>
        <w:rPr>
          <w:rFonts w:hint="eastAsia" w:ascii="仿宋_GB2312" w:eastAsia="仿宋_GB2312"/>
          <w:sz w:val="32"/>
          <w:szCs w:val="32"/>
        </w:rPr>
        <w:t>万元，结余分配0.00万元，年末结转和结余0.02万元。</w:t>
      </w:r>
    </w:p>
    <w:p>
      <w:pPr>
        <w:ind w:firstLine="643" w:firstLineChars="200"/>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rPr>
        <w:t>增加9.95万元，</w:t>
      </w:r>
      <w:r>
        <w:rPr>
          <w:rFonts w:ascii="仿宋_GB2312" w:eastAsia="仿宋_GB2312"/>
          <w:sz w:val="32"/>
          <w:szCs w:val="32"/>
        </w:rPr>
        <w:t>增长2.55</w:t>
      </w:r>
      <w:r>
        <w:rPr>
          <w:rFonts w:hint="eastAsia" w:ascii="仿宋_GB2312" w:eastAsia="仿宋_GB2312"/>
          <w:sz w:val="32"/>
          <w:szCs w:val="32"/>
        </w:rPr>
        <w:t>%，主要原因是：人员工资增长，社保、公积金基数调增，相关支出增加。</w:t>
      </w:r>
    </w:p>
    <w:p>
      <w:pPr>
        <w:ind w:firstLine="640" w:firstLineChars="200"/>
        <w:outlineLvl w:val="1"/>
        <w:rPr>
          <w:rFonts w:ascii="黑体" w:hAnsi="黑体" w:eastAsia="黑体" w:cs="宋体"/>
          <w:bCs/>
          <w:kern w:val="0"/>
          <w:sz w:val="32"/>
          <w:szCs w:val="32"/>
        </w:rPr>
      </w:pPr>
      <w:bookmarkStart w:id="12" w:name="_Toc12142"/>
      <w:bookmarkStart w:id="13" w:name="_Toc1979"/>
      <w:r>
        <w:rPr>
          <w:rFonts w:hint="eastAsia" w:ascii="黑体" w:hAnsi="黑体" w:eastAsia="黑体" w:cs="宋体"/>
          <w:bCs/>
          <w:kern w:val="0"/>
          <w:sz w:val="32"/>
          <w:szCs w:val="32"/>
        </w:rPr>
        <w:t>二、收入决算情况说明</w:t>
      </w:r>
      <w:bookmarkEnd w:id="12"/>
      <w:bookmarkEnd w:id="13"/>
    </w:p>
    <w:p>
      <w:pPr>
        <w:ind w:firstLine="643" w:firstLineChars="200"/>
        <w:rPr>
          <w:rFonts w:ascii="仿宋_GB2312" w:eastAsia="仿宋_GB2312"/>
          <w:sz w:val="32"/>
          <w:szCs w:val="32"/>
        </w:rPr>
      </w:pPr>
      <w:r>
        <w:rPr>
          <w:rFonts w:hint="eastAsia" w:ascii="仿宋_GB2312" w:eastAsia="仿宋_GB2312"/>
          <w:b/>
          <w:bCs/>
          <w:sz w:val="32"/>
          <w:szCs w:val="32"/>
        </w:rPr>
        <w:t>本年收入400.81万元，</w:t>
      </w:r>
      <w:r>
        <w:rPr>
          <w:rFonts w:hint="eastAsia" w:ascii="仿宋_GB2312" w:eastAsia="仿宋_GB2312"/>
          <w:sz w:val="32"/>
          <w:szCs w:val="32"/>
        </w:rPr>
        <w:t>其中：财政拨款收入</w:t>
      </w:r>
      <w:r>
        <w:rPr>
          <w:rFonts w:ascii="仿宋_GB2312" w:eastAsia="仿宋_GB2312"/>
          <w:sz w:val="32"/>
          <w:szCs w:val="32"/>
        </w:rPr>
        <w:t>400.67</w:t>
      </w:r>
      <w:r>
        <w:rPr>
          <w:rFonts w:hint="eastAsia" w:ascii="仿宋_GB2312" w:eastAsia="仿宋_GB2312"/>
          <w:sz w:val="32"/>
          <w:szCs w:val="32"/>
        </w:rPr>
        <w:t>万元，占99.97%；上级补助收入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0.14</w:t>
      </w:r>
      <w:r>
        <w:rPr>
          <w:rFonts w:hint="eastAsia" w:ascii="仿宋_GB2312" w:eastAsia="仿宋_GB2312"/>
          <w:sz w:val="32"/>
          <w:szCs w:val="32"/>
        </w:rPr>
        <w:t>万元，占0.03%。</w:t>
      </w:r>
    </w:p>
    <w:p>
      <w:pPr>
        <w:ind w:firstLine="640" w:firstLineChars="200"/>
        <w:outlineLvl w:val="1"/>
        <w:rPr>
          <w:rFonts w:ascii="黑体" w:hAnsi="黑体" w:eastAsia="黑体" w:cs="宋体"/>
          <w:bCs/>
          <w:kern w:val="0"/>
          <w:sz w:val="32"/>
          <w:szCs w:val="32"/>
        </w:rPr>
      </w:pPr>
      <w:bookmarkStart w:id="14" w:name="_Toc13201"/>
      <w:bookmarkStart w:id="15" w:name="_Toc27961"/>
      <w:r>
        <w:rPr>
          <w:rFonts w:hint="eastAsia" w:ascii="黑体" w:hAnsi="黑体" w:eastAsia="黑体" w:cs="宋体"/>
          <w:bCs/>
          <w:kern w:val="0"/>
          <w:sz w:val="32"/>
          <w:szCs w:val="32"/>
        </w:rPr>
        <w:t>三、支出决算情况说明</w:t>
      </w:r>
      <w:bookmarkEnd w:id="14"/>
      <w:bookmarkEnd w:id="15"/>
    </w:p>
    <w:p>
      <w:pPr>
        <w:ind w:firstLine="643" w:firstLineChars="200"/>
        <w:rPr>
          <w:rFonts w:ascii="仿宋_GB2312" w:eastAsia="仿宋_GB2312"/>
          <w:sz w:val="32"/>
          <w:szCs w:val="32"/>
        </w:rPr>
      </w:pPr>
      <w:r>
        <w:rPr>
          <w:rFonts w:hint="eastAsia" w:ascii="仿宋_GB2312" w:eastAsia="仿宋_GB2312"/>
          <w:b/>
          <w:bCs/>
          <w:sz w:val="32"/>
          <w:szCs w:val="32"/>
        </w:rPr>
        <w:t>本年支出400.89万元，</w:t>
      </w:r>
      <w:r>
        <w:rPr>
          <w:rFonts w:hint="eastAsia" w:ascii="仿宋_GB2312" w:eastAsia="仿宋_GB2312"/>
          <w:sz w:val="32"/>
          <w:szCs w:val="32"/>
        </w:rPr>
        <w:t>其中：基本支出</w:t>
      </w:r>
      <w:r>
        <w:rPr>
          <w:rFonts w:ascii="仿宋_GB2312" w:eastAsia="仿宋_GB2312"/>
          <w:sz w:val="32"/>
          <w:szCs w:val="32"/>
        </w:rPr>
        <w:t>391.91</w:t>
      </w:r>
      <w:r>
        <w:rPr>
          <w:rFonts w:hint="eastAsia" w:ascii="仿宋_GB2312" w:eastAsia="仿宋_GB2312"/>
          <w:sz w:val="32"/>
          <w:szCs w:val="32"/>
        </w:rPr>
        <w:t>万元，占97.76%；项目支出</w:t>
      </w:r>
      <w:r>
        <w:rPr>
          <w:rFonts w:ascii="仿宋_GB2312" w:eastAsia="仿宋_GB2312"/>
          <w:sz w:val="32"/>
          <w:szCs w:val="32"/>
        </w:rPr>
        <w:t>8.97</w:t>
      </w:r>
      <w:r>
        <w:rPr>
          <w:rFonts w:hint="eastAsia" w:ascii="仿宋_GB2312" w:eastAsia="仿宋_GB2312"/>
          <w:sz w:val="32"/>
          <w:szCs w:val="32"/>
        </w:rPr>
        <w:t>万元，占2.24%；上缴上级支出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pPr>
        <w:ind w:firstLine="640" w:firstLineChars="200"/>
        <w:outlineLvl w:val="1"/>
        <w:rPr>
          <w:rFonts w:ascii="黑体" w:hAnsi="黑体" w:eastAsia="黑体" w:cs="宋体"/>
          <w:bCs/>
          <w:kern w:val="0"/>
          <w:sz w:val="32"/>
          <w:szCs w:val="32"/>
        </w:rPr>
      </w:pPr>
      <w:bookmarkStart w:id="16" w:name="_Toc26564"/>
      <w:bookmarkStart w:id="17" w:name="_Toc4393"/>
      <w:r>
        <w:rPr>
          <w:rFonts w:hint="eastAsia" w:ascii="黑体" w:hAnsi="黑体" w:eastAsia="黑体" w:cs="宋体"/>
          <w:bCs/>
          <w:kern w:val="0"/>
          <w:sz w:val="32"/>
          <w:szCs w:val="32"/>
        </w:rPr>
        <w:t>四、财政拨款收入支出决算总体情况说明</w:t>
      </w:r>
      <w:bookmarkEnd w:id="16"/>
      <w:bookmarkEnd w:id="17"/>
    </w:p>
    <w:p>
      <w:pPr>
        <w:ind w:firstLine="643" w:firstLineChars="200"/>
        <w:rPr>
          <w:rFonts w:ascii="仿宋_GB2312" w:eastAsia="仿宋_GB2312"/>
          <w:sz w:val="32"/>
          <w:szCs w:val="32"/>
        </w:rPr>
      </w:pPr>
      <w:r>
        <w:rPr>
          <w:rFonts w:hint="eastAsia" w:ascii="仿宋_GB2312" w:eastAsia="仿宋_GB2312"/>
          <w:b/>
          <w:bCs/>
          <w:sz w:val="32"/>
          <w:szCs w:val="32"/>
        </w:rPr>
        <w:t>2023年度财政拨款收入总计400.67万元，</w:t>
      </w:r>
      <w:r>
        <w:rPr>
          <w:rFonts w:hint="eastAsia" w:ascii="仿宋_GB2312" w:eastAsia="仿宋_GB2312"/>
          <w:sz w:val="32"/>
          <w:szCs w:val="32"/>
        </w:rPr>
        <w:t>其中：年初财政拨款结转和结余0.00万元，本年财政拨款收入400.67万元。</w:t>
      </w:r>
      <w:r>
        <w:rPr>
          <w:rFonts w:hint="eastAsia" w:ascii="仿宋_GB2312" w:eastAsia="仿宋_GB2312"/>
          <w:b/>
          <w:bCs/>
          <w:sz w:val="32"/>
          <w:szCs w:val="32"/>
        </w:rPr>
        <w:t>财政拨款支出总计400.67万元，</w:t>
      </w:r>
      <w:r>
        <w:rPr>
          <w:rFonts w:hint="eastAsia" w:ascii="仿宋_GB2312" w:eastAsia="仿宋_GB2312"/>
          <w:sz w:val="32"/>
          <w:szCs w:val="32"/>
        </w:rPr>
        <w:t>其中：年末财政拨款结转和结余0.00万元，本年财政拨款支出400.67万元。</w:t>
      </w:r>
    </w:p>
    <w:p>
      <w:pPr>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rPr>
        <w:t>增加9.72万元，增长2.49%，主要原因是：人员工资增长，社保、公积金基数调增，相关支出增加。</w:t>
      </w:r>
      <w:bookmarkStart w:id="18" w:name="_Toc20360"/>
      <w:bookmarkStart w:id="19" w:name="_Toc13833"/>
      <w:r>
        <w:rPr>
          <w:rFonts w:hint="eastAsia" w:ascii="仿宋_GB2312" w:eastAsia="仿宋_GB2312"/>
          <w:b/>
          <w:bCs/>
          <w:sz w:val="32"/>
          <w:szCs w:val="32"/>
        </w:rPr>
        <w:t>与年初预算相比，</w:t>
      </w:r>
      <w:r>
        <w:rPr>
          <w:rFonts w:hint="eastAsia" w:ascii="仿宋_GB2312" w:eastAsia="仿宋_GB2312"/>
          <w:sz w:val="32"/>
          <w:szCs w:val="32"/>
        </w:rPr>
        <w:t>年初预算数391.81万元，决算数400.67万元，预决算差异率2.26%，主要原因是：本年度追加退休人员职业年金，追加补发工资，导致预决算差异。</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8"/>
      <w:bookmarkEnd w:id="19"/>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3" w:firstLineChars="200"/>
        <w:rPr>
          <w:rFonts w:ascii="仿宋_GB2312" w:eastAsia="仿宋_GB2312"/>
          <w:sz w:val="32"/>
          <w:szCs w:val="32"/>
        </w:rPr>
      </w:pPr>
      <w:r>
        <w:rPr>
          <w:rFonts w:hint="eastAsia" w:ascii="仿宋_GB2312" w:eastAsia="仿宋_GB2312"/>
          <w:b/>
          <w:bCs/>
          <w:sz w:val="32"/>
          <w:szCs w:val="32"/>
        </w:rPr>
        <w:t>2023年度一般公共预算财政拨款支出400.67万元，</w:t>
      </w:r>
      <w:r>
        <w:rPr>
          <w:rFonts w:hint="eastAsia" w:ascii="仿宋_GB2312" w:eastAsia="仿宋_GB2312"/>
          <w:sz w:val="32"/>
          <w:szCs w:val="32"/>
        </w:rPr>
        <w:t>占本年支出合计的</w:t>
      </w:r>
      <w:r>
        <w:rPr>
          <w:rFonts w:ascii="仿宋_GB2312" w:eastAsia="仿宋_GB2312"/>
          <w:sz w:val="32"/>
          <w:szCs w:val="32"/>
        </w:rPr>
        <w:t>99.95</w:t>
      </w:r>
      <w:r>
        <w:rPr>
          <w:rFonts w:hint="eastAsia" w:ascii="仿宋_GB2312" w:eastAsia="仿宋_GB2312"/>
          <w:sz w:val="32"/>
          <w:szCs w:val="32"/>
        </w:rPr>
        <w:t>%。</w:t>
      </w:r>
      <w:r>
        <w:rPr>
          <w:rFonts w:hint="eastAsia" w:ascii="仿宋_GB2312" w:eastAsia="仿宋_GB2312"/>
          <w:b/>
          <w:bCs/>
          <w:sz w:val="32"/>
          <w:szCs w:val="32"/>
        </w:rPr>
        <w:t>与上年相比，</w:t>
      </w:r>
      <w:r>
        <w:rPr>
          <w:rFonts w:ascii="仿宋_GB2312" w:eastAsia="仿宋_GB2312"/>
          <w:sz w:val="32"/>
          <w:szCs w:val="32"/>
        </w:rPr>
        <w:t>增加9.72</w:t>
      </w:r>
      <w:r>
        <w:rPr>
          <w:rFonts w:hint="eastAsia" w:ascii="仿宋_GB2312" w:eastAsia="仿宋_GB2312"/>
          <w:sz w:val="32"/>
          <w:szCs w:val="32"/>
        </w:rPr>
        <w:t>万元，</w:t>
      </w:r>
      <w:r>
        <w:rPr>
          <w:rFonts w:ascii="仿宋_GB2312" w:eastAsia="仿宋_GB2312"/>
          <w:sz w:val="32"/>
          <w:szCs w:val="32"/>
        </w:rPr>
        <w:t>增长2.49</w:t>
      </w:r>
      <w:r>
        <w:rPr>
          <w:rFonts w:hint="eastAsia" w:ascii="仿宋_GB2312" w:eastAsia="仿宋_GB2312"/>
          <w:sz w:val="32"/>
          <w:szCs w:val="32"/>
        </w:rPr>
        <w:t>%，主要原因是：人员工资增长，社保、公积金基数调增，相关支出增加。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ascii="仿宋_GB2312" w:eastAsia="仿宋_GB2312"/>
          <w:sz w:val="32"/>
          <w:szCs w:val="32"/>
        </w:rPr>
        <w:t>391.81</w:t>
      </w:r>
      <w:r>
        <w:rPr>
          <w:rFonts w:hint="eastAsia" w:ascii="仿宋_GB2312" w:eastAsia="仿宋_GB2312"/>
          <w:sz w:val="32"/>
          <w:szCs w:val="32"/>
        </w:rPr>
        <w:t>万元，决算数</w:t>
      </w:r>
      <w:r>
        <w:rPr>
          <w:rFonts w:ascii="仿宋_GB2312" w:eastAsia="仿宋_GB2312"/>
          <w:sz w:val="32"/>
          <w:szCs w:val="32"/>
        </w:rPr>
        <w:t>400.67</w:t>
      </w:r>
      <w:r>
        <w:rPr>
          <w:rFonts w:hint="eastAsia" w:ascii="仿宋_GB2312" w:eastAsia="仿宋_GB2312"/>
          <w:sz w:val="32"/>
          <w:szCs w:val="32"/>
        </w:rPr>
        <w:t>万元，预决算差异率</w:t>
      </w:r>
      <w:r>
        <w:rPr>
          <w:rFonts w:ascii="仿宋_GB2312" w:eastAsia="仿宋_GB2312"/>
          <w:sz w:val="32"/>
          <w:szCs w:val="32"/>
        </w:rPr>
        <w:t>2.26</w:t>
      </w:r>
      <w:r>
        <w:rPr>
          <w:rFonts w:hint="eastAsia" w:ascii="仿宋_GB2312" w:eastAsia="仿宋_GB2312"/>
          <w:sz w:val="32"/>
          <w:szCs w:val="32"/>
        </w:rPr>
        <w:t>%，主要原因是：本年度追加退休人员职业年金，追加补发工资，导致预决算差异。</w:t>
      </w:r>
    </w:p>
    <w:p>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ind w:firstLine="640" w:firstLineChars="200"/>
        <w:rPr>
          <w:rFonts w:ascii="黑体" w:hAnsi="黑体" w:eastAsia="黑体"/>
          <w:sz w:val="32"/>
          <w:szCs w:val="32"/>
        </w:rPr>
      </w:pPr>
      <w:r>
        <w:rPr>
          <w:rFonts w:hint="eastAsia" w:ascii="仿宋_GB2312" w:eastAsia="仿宋_GB2312"/>
          <w:sz w:val="32"/>
          <w:szCs w:val="32"/>
        </w:rPr>
        <w:t>1.社会保障和就业支出(类)48.46万元,占12.09%。</w:t>
      </w:r>
    </w:p>
    <w:p>
      <w:pPr>
        <w:ind w:firstLine="640" w:firstLineChars="200"/>
        <w:outlineLvl w:val="2"/>
        <w:rPr>
          <w:rFonts w:ascii="黑体" w:hAnsi="黑体" w:eastAsia="黑体"/>
          <w:sz w:val="32"/>
          <w:szCs w:val="32"/>
        </w:rPr>
      </w:pPr>
      <w:r>
        <w:rPr>
          <w:rFonts w:hint="eastAsia" w:ascii="仿宋_GB2312" w:eastAsia="仿宋_GB2312"/>
          <w:sz w:val="32"/>
          <w:szCs w:val="32"/>
        </w:rPr>
        <w:t>2.卫生健康支出(类)19.91万元,占4.97%。</w:t>
      </w:r>
    </w:p>
    <w:p>
      <w:pPr>
        <w:ind w:firstLine="640" w:firstLineChars="200"/>
        <w:outlineLvl w:val="2"/>
        <w:rPr>
          <w:rFonts w:ascii="黑体" w:hAnsi="黑体" w:eastAsia="黑体"/>
          <w:sz w:val="32"/>
          <w:szCs w:val="32"/>
        </w:rPr>
      </w:pPr>
      <w:r>
        <w:rPr>
          <w:rFonts w:hint="eastAsia" w:ascii="仿宋_GB2312" w:eastAsia="仿宋_GB2312"/>
          <w:sz w:val="32"/>
          <w:szCs w:val="32"/>
        </w:rPr>
        <w:t>3.城乡社区支出(类)296.89万元,占74.10%。</w:t>
      </w:r>
    </w:p>
    <w:p>
      <w:pPr>
        <w:ind w:firstLine="640" w:firstLineChars="200"/>
        <w:outlineLvl w:val="2"/>
        <w:rPr>
          <w:rFonts w:ascii="黑体" w:hAnsi="黑体" w:eastAsia="黑体"/>
          <w:sz w:val="32"/>
          <w:szCs w:val="32"/>
        </w:rPr>
      </w:pPr>
      <w:r>
        <w:rPr>
          <w:rFonts w:hint="eastAsia" w:ascii="仿宋_GB2312" w:eastAsia="仿宋_GB2312"/>
          <w:sz w:val="32"/>
          <w:szCs w:val="32"/>
        </w:rPr>
        <w:t>4.住房保障支出(类)26.45万元,占6.60%。</w:t>
      </w:r>
    </w:p>
    <w:p>
      <w:pPr>
        <w:ind w:firstLine="640" w:firstLineChars="200"/>
        <w:outlineLvl w:val="2"/>
        <w:rPr>
          <w:rFonts w:ascii="黑体" w:hAnsi="黑体" w:eastAsia="黑体"/>
          <w:sz w:val="32"/>
          <w:szCs w:val="32"/>
        </w:rPr>
      </w:pPr>
      <w:r>
        <w:rPr>
          <w:rFonts w:hint="eastAsia" w:ascii="仿宋_GB2312" w:eastAsia="仿宋_GB2312"/>
          <w:sz w:val="32"/>
          <w:szCs w:val="32"/>
        </w:rPr>
        <w:t>5.其他支出(类)8.97万元,占2.24%。</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仿宋_GB2312" w:eastAsia="仿宋_GB2312"/>
          <w:b/>
          <w:bCs/>
          <w:sz w:val="32"/>
          <w:szCs w:val="32"/>
          <w:highlight w:val="yellow"/>
          <w:lang w:eastAsia="zh-CN"/>
        </w:rPr>
      </w:pPr>
      <w:r>
        <w:rPr>
          <w:rFonts w:hint="eastAsia" w:ascii="仿宋_GB2312" w:eastAsia="仿宋_GB2312"/>
          <w:sz w:val="32"/>
          <w:szCs w:val="32"/>
        </w:rPr>
        <w:t>1.社会保障和就业支出(类)行政事业单位养老支出(款)行政单位离退休(项):支出决算数为7.65万元，</w:t>
      </w:r>
      <w:r>
        <w:rPr>
          <w:rFonts w:hint="eastAsia" w:ascii="仿宋_GB2312" w:eastAsia="仿宋_GB2312"/>
          <w:sz w:val="32"/>
          <w:szCs w:val="32"/>
          <w:lang w:eastAsia="zh-CN"/>
        </w:rPr>
        <w:t>较上年</w:t>
      </w:r>
      <w:r>
        <w:rPr>
          <w:rFonts w:hint="eastAsia" w:ascii="仿宋_GB2312" w:eastAsia="仿宋_GB2312"/>
          <w:sz w:val="32"/>
          <w:szCs w:val="32"/>
        </w:rPr>
        <w:t>决算增加2.69万元，增长54.23%</w:t>
      </w:r>
      <w:r>
        <w:rPr>
          <w:rFonts w:ascii="仿宋_GB2312" w:eastAsia="仿宋_GB2312"/>
          <w:sz w:val="32"/>
          <w:szCs w:val="32"/>
        </w:rPr>
        <w:t>,</w:t>
      </w:r>
      <w:r>
        <w:rPr>
          <w:rFonts w:hint="eastAsia" w:ascii="仿宋_GB2312" w:eastAsia="仿宋_GB2312"/>
          <w:sz w:val="32"/>
          <w:szCs w:val="32"/>
        </w:rPr>
        <w:t>主要原因是:退休人员待遇调增，退休经费增加</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bookmarkStart w:id="20" w:name="_Toc30870"/>
      <w:bookmarkStart w:id="21" w:name="_Toc11146"/>
      <w:r>
        <w:rPr>
          <w:rFonts w:hint="eastAsia" w:ascii="仿宋_GB2312" w:eastAsia="仿宋_GB2312"/>
          <w:sz w:val="32"/>
          <w:szCs w:val="32"/>
        </w:rPr>
        <w:t>2.社会保障和就业支出(类)行政事业单位养老支出(款)事业单位离退休(项):支出决算数为0.38万元，</w:t>
      </w:r>
      <w:r>
        <w:rPr>
          <w:rFonts w:hint="eastAsia" w:ascii="仿宋_GB2312" w:eastAsia="仿宋_GB2312"/>
          <w:sz w:val="32"/>
          <w:szCs w:val="32"/>
          <w:lang w:eastAsia="zh-CN"/>
        </w:rPr>
        <w:t>较上年</w:t>
      </w:r>
      <w:r>
        <w:rPr>
          <w:rFonts w:hint="eastAsia" w:ascii="仿宋_GB2312" w:eastAsia="仿宋_GB2312"/>
          <w:sz w:val="32"/>
          <w:szCs w:val="32"/>
        </w:rPr>
        <w:t>决算增加0.38万元，增长100.00%</w:t>
      </w:r>
      <w:r>
        <w:rPr>
          <w:rFonts w:ascii="仿宋_GB2312" w:eastAsia="仿宋_GB2312"/>
          <w:sz w:val="32"/>
          <w:szCs w:val="32"/>
        </w:rPr>
        <w:t>,</w:t>
      </w:r>
      <w:r>
        <w:rPr>
          <w:rFonts w:hint="eastAsia" w:ascii="仿宋_GB2312" w:eastAsia="仿宋_GB2312"/>
          <w:sz w:val="32"/>
          <w:szCs w:val="32"/>
        </w:rPr>
        <w:t>主要原因是:2023年功能科目调整，上年度事业退休人员经费在行政单位离退休科目中列支，本年单独科目列支，经费增加</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3.社会保障和就业支出(类)行政事业单位养老支出(款)机关事业单位基本养老保险缴费支出(项):支出决算数为32.61万元，</w:t>
      </w:r>
      <w:r>
        <w:rPr>
          <w:rFonts w:hint="eastAsia" w:ascii="仿宋_GB2312" w:eastAsia="仿宋_GB2312"/>
          <w:sz w:val="32"/>
          <w:szCs w:val="32"/>
          <w:lang w:eastAsia="zh-CN"/>
        </w:rPr>
        <w:t>较上年</w:t>
      </w:r>
      <w:r>
        <w:rPr>
          <w:rFonts w:hint="eastAsia" w:ascii="仿宋_GB2312" w:eastAsia="仿宋_GB2312"/>
          <w:sz w:val="32"/>
          <w:szCs w:val="32"/>
        </w:rPr>
        <w:t>决算减少1.58万元，下降4.62%</w:t>
      </w:r>
      <w:r>
        <w:rPr>
          <w:rFonts w:ascii="仿宋_GB2312" w:eastAsia="仿宋_GB2312"/>
          <w:sz w:val="32"/>
          <w:szCs w:val="32"/>
        </w:rPr>
        <w:t>,</w:t>
      </w:r>
      <w:r>
        <w:rPr>
          <w:rFonts w:hint="eastAsia" w:ascii="仿宋_GB2312" w:eastAsia="仿宋_GB2312"/>
          <w:sz w:val="32"/>
          <w:szCs w:val="32"/>
        </w:rPr>
        <w:t>主要原因是:本年度减少</w:t>
      </w:r>
      <w:r>
        <w:rPr>
          <w:rFonts w:hint="eastAsia" w:ascii="仿宋_GB2312" w:eastAsia="仿宋_GB2312"/>
          <w:sz w:val="32"/>
          <w:szCs w:val="32"/>
          <w:lang w:val="en-US" w:eastAsia="zh-CN"/>
        </w:rPr>
        <w:t>1</w:t>
      </w:r>
      <w:r>
        <w:rPr>
          <w:rFonts w:hint="eastAsia" w:ascii="仿宋_GB2312" w:eastAsia="仿宋_GB2312"/>
          <w:sz w:val="32"/>
          <w:szCs w:val="32"/>
        </w:rPr>
        <w:t>人，相关基本养老保险缴费支出减少</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4.社会保障和就业支出(类)行政事业单位养老支出(款)机关事业单位职业年金缴费支出(项):支出决算数为7.82万元，</w:t>
      </w:r>
      <w:r>
        <w:rPr>
          <w:rFonts w:hint="eastAsia" w:ascii="仿宋_GB2312" w:eastAsia="仿宋_GB2312"/>
          <w:sz w:val="32"/>
          <w:szCs w:val="32"/>
          <w:lang w:eastAsia="zh-CN"/>
        </w:rPr>
        <w:t>较上年</w:t>
      </w:r>
      <w:r>
        <w:rPr>
          <w:rFonts w:hint="eastAsia" w:ascii="仿宋_GB2312" w:eastAsia="仿宋_GB2312"/>
          <w:sz w:val="32"/>
          <w:szCs w:val="32"/>
        </w:rPr>
        <w:t>决算增加7.82万元，增长100.00%</w:t>
      </w:r>
      <w:r>
        <w:rPr>
          <w:rFonts w:ascii="仿宋_GB2312" w:eastAsia="仿宋_GB2312"/>
          <w:sz w:val="32"/>
          <w:szCs w:val="32"/>
        </w:rPr>
        <w:t>,</w:t>
      </w:r>
      <w:r>
        <w:rPr>
          <w:rFonts w:hint="eastAsia" w:ascii="仿宋_GB2312" w:eastAsia="仿宋_GB2312"/>
          <w:sz w:val="32"/>
          <w:szCs w:val="32"/>
        </w:rPr>
        <w:t>主要原因是:本年度在职转退休1人，相关职业年金缴费支出增加</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5.卫生健康支出(类)行政事业单位医疗(款)行政单位医疗(项):支出决算数为18.91万元，</w:t>
      </w:r>
      <w:r>
        <w:rPr>
          <w:rFonts w:hint="eastAsia" w:ascii="仿宋_GB2312" w:eastAsia="仿宋_GB2312"/>
          <w:sz w:val="32"/>
          <w:szCs w:val="32"/>
          <w:lang w:eastAsia="zh-CN"/>
        </w:rPr>
        <w:t>较上年</w:t>
      </w:r>
      <w:r>
        <w:rPr>
          <w:rFonts w:hint="eastAsia" w:ascii="仿宋_GB2312" w:eastAsia="仿宋_GB2312"/>
          <w:sz w:val="32"/>
          <w:szCs w:val="32"/>
        </w:rPr>
        <w:t>决算减少0.31万元，下降1.61%</w:t>
      </w:r>
      <w:r>
        <w:rPr>
          <w:rFonts w:ascii="仿宋_GB2312" w:eastAsia="仿宋_GB2312"/>
          <w:sz w:val="32"/>
          <w:szCs w:val="32"/>
        </w:rPr>
        <w:t>,</w:t>
      </w:r>
      <w:r>
        <w:rPr>
          <w:rFonts w:hint="eastAsia" w:ascii="仿宋_GB2312" w:eastAsia="仿宋_GB2312"/>
          <w:sz w:val="32"/>
          <w:szCs w:val="32"/>
        </w:rPr>
        <w:t>主要原因是:本年度行政在职1人减少，相关医疗保险</w:t>
      </w:r>
      <w:r>
        <w:rPr>
          <w:rFonts w:hint="eastAsia" w:ascii="仿宋_GB2312" w:eastAsia="仿宋_GB2312"/>
          <w:sz w:val="32"/>
          <w:szCs w:val="32"/>
          <w:lang w:val="en-US" w:eastAsia="zh-CN"/>
        </w:rPr>
        <w:t>缴费</w:t>
      </w:r>
      <w:r>
        <w:rPr>
          <w:rFonts w:hint="eastAsia" w:ascii="仿宋_GB2312" w:eastAsia="仿宋_GB2312"/>
          <w:sz w:val="32"/>
          <w:szCs w:val="32"/>
        </w:rPr>
        <w:t>减少</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6.卫生健康支出(类)行政事业单位医疗(款)事业单位医疗(项):支出决算数为0.99万元，</w:t>
      </w:r>
      <w:r>
        <w:rPr>
          <w:rFonts w:hint="eastAsia" w:ascii="仿宋_GB2312" w:eastAsia="仿宋_GB2312"/>
          <w:sz w:val="32"/>
          <w:szCs w:val="32"/>
          <w:lang w:eastAsia="zh-CN"/>
        </w:rPr>
        <w:t>较上年</w:t>
      </w:r>
      <w:r>
        <w:rPr>
          <w:rFonts w:hint="eastAsia" w:ascii="仿宋_GB2312" w:eastAsia="仿宋_GB2312"/>
          <w:sz w:val="32"/>
          <w:szCs w:val="32"/>
        </w:rPr>
        <w:t>决算减少0.14万元，下降12.39%</w:t>
      </w:r>
      <w:r>
        <w:rPr>
          <w:rFonts w:ascii="仿宋_GB2312" w:eastAsia="仿宋_GB2312"/>
          <w:sz w:val="32"/>
          <w:szCs w:val="32"/>
        </w:rPr>
        <w:t>,</w:t>
      </w:r>
      <w:r>
        <w:rPr>
          <w:rFonts w:hint="eastAsia" w:ascii="仿宋_GB2312" w:eastAsia="仿宋_GB2312"/>
          <w:sz w:val="32"/>
          <w:szCs w:val="32"/>
        </w:rPr>
        <w:t>主要原因是:本年度事业在职1人减少，相关医疗保险</w:t>
      </w:r>
      <w:r>
        <w:rPr>
          <w:rFonts w:hint="eastAsia" w:ascii="仿宋_GB2312" w:eastAsia="仿宋_GB2312"/>
          <w:sz w:val="32"/>
          <w:szCs w:val="32"/>
          <w:lang w:val="en-US" w:eastAsia="zh-CN"/>
        </w:rPr>
        <w:t>缴费</w:t>
      </w:r>
      <w:r>
        <w:rPr>
          <w:rFonts w:hint="eastAsia" w:ascii="仿宋_GB2312" w:eastAsia="仿宋_GB2312"/>
          <w:sz w:val="32"/>
          <w:szCs w:val="32"/>
        </w:rPr>
        <w:t>也减少</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7.城乡社区支出(类)城乡社区管理事务(款)城管执法(项):支出决算数为296.89万元，</w:t>
      </w:r>
      <w:r>
        <w:rPr>
          <w:rFonts w:hint="eastAsia" w:ascii="仿宋_GB2312" w:eastAsia="仿宋_GB2312"/>
          <w:sz w:val="32"/>
          <w:szCs w:val="32"/>
          <w:lang w:eastAsia="zh-CN"/>
        </w:rPr>
        <w:t>较上年</w:t>
      </w:r>
      <w:r>
        <w:rPr>
          <w:rFonts w:hint="eastAsia" w:ascii="仿宋_GB2312" w:eastAsia="仿宋_GB2312"/>
          <w:sz w:val="32"/>
          <w:szCs w:val="32"/>
        </w:rPr>
        <w:t>决算增加5.47万元，增长1.88%</w:t>
      </w:r>
      <w:r>
        <w:rPr>
          <w:rFonts w:ascii="仿宋_GB2312" w:eastAsia="仿宋_GB2312"/>
          <w:sz w:val="32"/>
          <w:szCs w:val="32"/>
        </w:rPr>
        <w:t>,</w:t>
      </w:r>
      <w:r>
        <w:rPr>
          <w:rFonts w:hint="eastAsia" w:ascii="仿宋_GB2312" w:eastAsia="仿宋_GB2312"/>
          <w:sz w:val="32"/>
          <w:szCs w:val="32"/>
        </w:rPr>
        <w:t>主要原因是:本年度</w:t>
      </w:r>
      <w:r>
        <w:rPr>
          <w:rFonts w:hint="eastAsia" w:ascii="仿宋_GB2312" w:eastAsia="仿宋_GB2312"/>
          <w:sz w:val="32"/>
          <w:szCs w:val="32"/>
          <w:lang w:val="en-US" w:eastAsia="zh-CN"/>
        </w:rPr>
        <w:t>在职人员</w:t>
      </w:r>
      <w:r>
        <w:rPr>
          <w:rFonts w:hint="eastAsia" w:ascii="仿宋_GB2312" w:eastAsia="仿宋_GB2312"/>
          <w:sz w:val="32"/>
          <w:szCs w:val="32"/>
        </w:rPr>
        <w:t>调资，补发工资，相关人员经费支出增加</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8.住房保障支出(类)住房改革支出(款)住房公积金(项):支出决算数为26.45万元，</w:t>
      </w:r>
      <w:r>
        <w:rPr>
          <w:rFonts w:hint="eastAsia" w:ascii="仿宋_GB2312" w:eastAsia="仿宋_GB2312"/>
          <w:sz w:val="32"/>
          <w:szCs w:val="32"/>
          <w:lang w:eastAsia="zh-CN"/>
        </w:rPr>
        <w:t>较上年</w:t>
      </w:r>
      <w:r>
        <w:rPr>
          <w:rFonts w:hint="eastAsia" w:ascii="仿宋_GB2312" w:eastAsia="仿宋_GB2312"/>
          <w:sz w:val="32"/>
          <w:szCs w:val="32"/>
        </w:rPr>
        <w:t>决算减少1.45万元，下降5.20%</w:t>
      </w:r>
      <w:r>
        <w:rPr>
          <w:rFonts w:ascii="仿宋_GB2312" w:eastAsia="仿宋_GB2312"/>
          <w:sz w:val="32"/>
          <w:szCs w:val="32"/>
        </w:rPr>
        <w:t>,</w:t>
      </w:r>
      <w:r>
        <w:rPr>
          <w:rFonts w:hint="eastAsia" w:ascii="仿宋_GB2312" w:eastAsia="仿宋_GB2312"/>
          <w:sz w:val="32"/>
          <w:szCs w:val="32"/>
        </w:rPr>
        <w:t>主要原因是:本年度减少</w:t>
      </w:r>
      <w:r>
        <w:rPr>
          <w:rFonts w:hint="eastAsia" w:ascii="仿宋_GB2312" w:eastAsia="仿宋_GB2312"/>
          <w:sz w:val="32"/>
          <w:szCs w:val="32"/>
          <w:lang w:val="en-US" w:eastAsia="zh-CN"/>
        </w:rPr>
        <w:t>1</w:t>
      </w:r>
      <w:r>
        <w:rPr>
          <w:rFonts w:hint="eastAsia" w:ascii="仿宋_GB2312" w:eastAsia="仿宋_GB2312"/>
          <w:sz w:val="32"/>
          <w:szCs w:val="32"/>
        </w:rPr>
        <w:t>人，相关住房公积金缴费支出减少</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9.其他支出(类)其他支出(款)其他支出(项):支出决算数为8.97万元，</w:t>
      </w:r>
      <w:r>
        <w:rPr>
          <w:rFonts w:hint="eastAsia" w:ascii="仿宋_GB2312" w:eastAsia="仿宋_GB2312"/>
          <w:sz w:val="32"/>
          <w:szCs w:val="32"/>
          <w:lang w:eastAsia="zh-CN"/>
        </w:rPr>
        <w:t>较上年</w:t>
      </w:r>
      <w:r>
        <w:rPr>
          <w:rFonts w:hint="eastAsia" w:ascii="仿宋_GB2312" w:eastAsia="仿宋_GB2312"/>
          <w:sz w:val="32"/>
          <w:szCs w:val="32"/>
        </w:rPr>
        <w:t>决算减少3.15万元，下降25.99%</w:t>
      </w:r>
      <w:r>
        <w:rPr>
          <w:rFonts w:ascii="仿宋_GB2312" w:eastAsia="仿宋_GB2312"/>
          <w:sz w:val="32"/>
          <w:szCs w:val="32"/>
        </w:rPr>
        <w:t>,</w:t>
      </w:r>
      <w:r>
        <w:rPr>
          <w:rFonts w:hint="eastAsia" w:ascii="仿宋_GB2312" w:eastAsia="仿宋_GB2312"/>
          <w:sz w:val="32"/>
          <w:szCs w:val="32"/>
        </w:rPr>
        <w:t>主要原因是:本年度</w:t>
      </w:r>
      <w:r>
        <w:rPr>
          <w:rFonts w:hint="eastAsia" w:ascii="仿宋_GB2312" w:eastAsia="仿宋_GB2312"/>
          <w:sz w:val="32"/>
          <w:szCs w:val="32"/>
          <w:lang w:val="en-US" w:eastAsia="zh-CN"/>
        </w:rPr>
        <w:t>为民办实事</w:t>
      </w:r>
      <w:r>
        <w:rPr>
          <w:rFonts w:hint="eastAsia" w:ascii="仿宋_GB2312" w:eastAsia="仿宋_GB2312"/>
          <w:sz w:val="32"/>
          <w:szCs w:val="32"/>
        </w:rPr>
        <w:t>工作队经费支出减少</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年度一般公共预算财政拨款基本支出</w:t>
      </w:r>
      <w:r>
        <w:rPr>
          <w:rFonts w:ascii="仿宋_GB2312" w:eastAsia="仿宋_GB2312"/>
          <w:sz w:val="32"/>
          <w:szCs w:val="32"/>
        </w:rPr>
        <w:t>391.70</w:t>
      </w:r>
      <w:r>
        <w:rPr>
          <w:rFonts w:hint="eastAsia" w:ascii="仿宋_GB2312" w:eastAsia="仿宋_GB2312"/>
          <w:sz w:val="32"/>
          <w:szCs w:val="32"/>
        </w:rPr>
        <w:t>万元，其中：</w:t>
      </w:r>
      <w:r>
        <w:rPr>
          <w:rFonts w:hint="eastAsia" w:ascii="仿宋_GB2312" w:eastAsia="仿宋_GB2312"/>
          <w:b/>
          <w:bCs/>
          <w:sz w:val="32"/>
          <w:szCs w:val="32"/>
        </w:rPr>
        <w:t>人员经费375.15万元，</w:t>
      </w:r>
      <w:r>
        <w:rPr>
          <w:rFonts w:hint="eastAsia" w:ascii="仿宋_GB2312" w:eastAsia="仿宋_GB2312"/>
          <w:sz w:val="32"/>
          <w:szCs w:val="32"/>
        </w:rPr>
        <w:t>包括：基本工资、津贴补贴、奖金、机关事业单位基本养老保险缴费、职业年金缴费、职工基本医疗保险缴费、其他社会保障缴费、住房公积金、退休费、生活补助、其他对个人和家庭的补助。</w:t>
      </w:r>
    </w:p>
    <w:p>
      <w:pPr>
        <w:ind w:firstLine="643" w:firstLineChars="200"/>
        <w:rPr>
          <w:rFonts w:ascii="仿宋_GB2312" w:hAnsi="宋体" w:eastAsia="仿宋_GB2312" w:cs="宋体"/>
          <w:kern w:val="0"/>
          <w:sz w:val="32"/>
          <w:szCs w:val="32"/>
        </w:rPr>
      </w:pPr>
      <w:r>
        <w:rPr>
          <w:rFonts w:hint="eastAsia" w:ascii="仿宋_GB2312" w:eastAsia="仿宋_GB2312"/>
          <w:b/>
          <w:bCs/>
          <w:sz w:val="32"/>
          <w:szCs w:val="32"/>
        </w:rPr>
        <w:t>公用经费16.55万元，</w:t>
      </w:r>
      <w:r>
        <w:rPr>
          <w:rFonts w:hint="eastAsia" w:ascii="仿宋_GB2312" w:eastAsia="仿宋_GB2312"/>
          <w:sz w:val="32"/>
          <w:szCs w:val="32"/>
        </w:rPr>
        <w:t>包括：办公费、印刷费、水费、电费、邮电费、培训费、公务用车运行维护费、其他交通费用。</w:t>
      </w:r>
    </w:p>
    <w:p>
      <w:pPr>
        <w:ind w:firstLine="640" w:firstLineChars="200"/>
        <w:outlineLvl w:val="1"/>
        <w:rPr>
          <w:rFonts w:ascii="黑体" w:hAnsi="黑体" w:eastAsia="黑体" w:cs="宋体"/>
          <w:bCs/>
          <w:kern w:val="0"/>
          <w:sz w:val="32"/>
          <w:szCs w:val="32"/>
        </w:rPr>
      </w:pPr>
      <w:bookmarkStart w:id="22" w:name="_Toc21518"/>
      <w:bookmarkStart w:id="23" w:name="_Toc7190"/>
      <w:r>
        <w:rPr>
          <w:rFonts w:hint="eastAsia" w:ascii="黑体" w:hAnsi="黑体" w:eastAsia="黑体" w:cs="宋体"/>
          <w:bCs/>
          <w:kern w:val="0"/>
          <w:sz w:val="32"/>
          <w:szCs w:val="32"/>
        </w:rPr>
        <w:t>七、财政拨款“三公”经费支出决算情况说明</w:t>
      </w:r>
      <w:bookmarkEnd w:id="22"/>
      <w:bookmarkEnd w:id="23"/>
    </w:p>
    <w:p>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年度财政拨款“三公”经费支出</w:t>
      </w:r>
      <w:r>
        <w:rPr>
          <w:rFonts w:ascii="仿宋_GB2312" w:eastAsia="仿宋_GB2312"/>
          <w:b/>
          <w:bCs/>
          <w:sz w:val="32"/>
          <w:szCs w:val="32"/>
        </w:rPr>
        <w:t>3.50</w:t>
      </w:r>
      <w:r>
        <w:rPr>
          <w:rFonts w:hint="eastAsia" w:ascii="仿宋_GB2312" w:eastAsia="仿宋_GB2312"/>
          <w:b/>
          <w:bCs/>
          <w:sz w:val="32"/>
          <w:szCs w:val="32"/>
        </w:rPr>
        <w:t>万元，</w:t>
      </w:r>
      <w:r>
        <w:rPr>
          <w:rFonts w:hint="eastAsia" w:ascii="仿宋_GB2312" w:eastAsia="仿宋_GB2312"/>
          <w:sz w:val="32"/>
          <w:szCs w:val="32"/>
          <w:lang w:eastAsia="zh-CN"/>
        </w:rPr>
        <w:t>较上年</w:t>
      </w:r>
      <w:r>
        <w:rPr>
          <w:rFonts w:ascii="仿宋_GB2312" w:eastAsia="仿宋_GB2312"/>
          <w:sz w:val="32"/>
          <w:szCs w:val="32"/>
        </w:rPr>
        <w:t>减少0.07</w:t>
      </w:r>
      <w:r>
        <w:rPr>
          <w:rFonts w:hint="eastAsia" w:ascii="仿宋_GB2312" w:eastAsia="仿宋_GB2312"/>
          <w:sz w:val="32"/>
          <w:szCs w:val="32"/>
        </w:rPr>
        <w:t>万元，</w:t>
      </w:r>
      <w:r>
        <w:rPr>
          <w:rFonts w:ascii="仿宋_GB2312" w:eastAsia="仿宋_GB2312"/>
          <w:sz w:val="32"/>
          <w:szCs w:val="32"/>
        </w:rPr>
        <w:t>下降1.96</w:t>
      </w:r>
      <w:r>
        <w:rPr>
          <w:rFonts w:hint="eastAsia" w:ascii="仿宋_GB2312" w:eastAsia="仿宋_GB2312"/>
          <w:sz w:val="32"/>
          <w:szCs w:val="32"/>
        </w:rPr>
        <w:t>%，主要原因是：</w:t>
      </w:r>
      <w:r>
        <w:rPr>
          <w:rFonts w:ascii="仿宋_GB2312" w:eastAsia="仿宋_GB2312"/>
          <w:sz w:val="32"/>
          <w:szCs w:val="32"/>
        </w:rPr>
        <w:t>节约经费，合理使用，严格控制经费支出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w:t>
      </w:r>
      <w:r>
        <w:rPr>
          <w:rFonts w:hint="eastAsia" w:ascii="仿宋_GB2312" w:eastAsia="仿宋_GB2312"/>
          <w:sz w:val="32"/>
          <w:szCs w:val="32"/>
          <w:lang w:eastAsia="zh-CN"/>
        </w:rPr>
        <w:t>较上年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3.50</w:t>
      </w:r>
      <w:r>
        <w:rPr>
          <w:rFonts w:hint="eastAsia" w:ascii="仿宋_GB2312" w:eastAsia="仿宋_GB2312"/>
          <w:sz w:val="32"/>
          <w:szCs w:val="32"/>
        </w:rPr>
        <w:t>万元，占</w:t>
      </w:r>
      <w:r>
        <w:rPr>
          <w:rFonts w:ascii="仿宋_GB2312" w:eastAsia="仿宋_GB2312"/>
          <w:sz w:val="32"/>
          <w:szCs w:val="32"/>
        </w:rPr>
        <w:t>100.00</w:t>
      </w:r>
      <w:r>
        <w:rPr>
          <w:rFonts w:hint="eastAsia" w:ascii="仿宋_GB2312" w:eastAsia="仿宋_GB2312"/>
          <w:sz w:val="32"/>
          <w:szCs w:val="32"/>
        </w:rPr>
        <w:t>%，</w:t>
      </w:r>
      <w:r>
        <w:rPr>
          <w:rFonts w:hint="eastAsia" w:ascii="仿宋_GB2312" w:eastAsia="仿宋_GB2312"/>
          <w:sz w:val="32"/>
          <w:szCs w:val="32"/>
          <w:lang w:eastAsia="zh-CN"/>
        </w:rPr>
        <w:t>较上年</w:t>
      </w:r>
      <w:r>
        <w:rPr>
          <w:rFonts w:ascii="仿宋_GB2312" w:eastAsia="仿宋_GB2312"/>
          <w:sz w:val="32"/>
          <w:szCs w:val="32"/>
        </w:rPr>
        <w:t>减少0.07</w:t>
      </w:r>
      <w:r>
        <w:rPr>
          <w:rFonts w:hint="eastAsia" w:ascii="仿宋_GB2312" w:eastAsia="仿宋_GB2312"/>
          <w:sz w:val="32"/>
          <w:szCs w:val="32"/>
        </w:rPr>
        <w:t>万元，</w:t>
      </w:r>
      <w:r>
        <w:rPr>
          <w:rFonts w:ascii="仿宋_GB2312" w:eastAsia="仿宋_GB2312"/>
          <w:sz w:val="32"/>
          <w:szCs w:val="32"/>
        </w:rPr>
        <w:t>下降1.96</w:t>
      </w:r>
      <w:r>
        <w:rPr>
          <w:rFonts w:hint="eastAsia" w:ascii="仿宋_GB2312" w:eastAsia="仿宋_GB2312"/>
          <w:sz w:val="32"/>
          <w:szCs w:val="32"/>
        </w:rPr>
        <w:t>%，主要原因是：</w:t>
      </w:r>
      <w:r>
        <w:rPr>
          <w:rFonts w:ascii="仿宋_GB2312" w:eastAsia="仿宋_GB2312"/>
          <w:sz w:val="32"/>
          <w:szCs w:val="32"/>
        </w:rPr>
        <w:t>节约经费，合理使用，严格控制经费支出</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w:t>
      </w:r>
      <w:r>
        <w:rPr>
          <w:rFonts w:hint="eastAsia" w:ascii="仿宋_GB2312" w:eastAsia="仿宋_GB2312"/>
          <w:sz w:val="32"/>
          <w:szCs w:val="32"/>
          <w:lang w:eastAsia="zh-CN"/>
        </w:rPr>
        <w:t>较上年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p>
    <w:p>
      <w:pPr>
        <w:ind w:firstLine="643" w:firstLineChars="200"/>
        <w:rPr>
          <w:rFonts w:ascii="仿宋_GB2312" w:eastAsia="仿宋_GB2312"/>
          <w:b/>
          <w:bCs/>
          <w:sz w:val="32"/>
          <w:szCs w:val="32"/>
        </w:rPr>
      </w:pPr>
      <w:r>
        <w:rPr>
          <w:rFonts w:hint="eastAsia" w:ascii="仿宋_GB2312" w:eastAsia="仿宋_GB2312"/>
          <w:b/>
          <w:bCs/>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3.50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3.50</w:t>
      </w:r>
      <w:r>
        <w:rPr>
          <w:rFonts w:hint="eastAsia" w:ascii="仿宋_GB2312" w:eastAsia="仿宋_GB2312"/>
          <w:sz w:val="32"/>
          <w:szCs w:val="32"/>
        </w:rPr>
        <w:t>万元。公务用车运行维护费开支内容包括车辆维修费，车辆燃油费，车辆保险费。公务用车购置数</w:t>
      </w:r>
      <w:r>
        <w:rPr>
          <w:rFonts w:ascii="仿宋_GB2312" w:eastAsia="仿宋_GB2312"/>
          <w:sz w:val="32"/>
          <w:szCs w:val="32"/>
        </w:rPr>
        <w:t>0</w:t>
      </w:r>
      <w:r>
        <w:rPr>
          <w:rFonts w:hint="eastAsia" w:ascii="仿宋_GB2312" w:eastAsia="仿宋_GB2312"/>
          <w:sz w:val="32"/>
          <w:szCs w:val="32"/>
        </w:rPr>
        <w:t>辆，公务用车保有量4辆。国有资产占用情况中固定资产车辆</w:t>
      </w:r>
      <w:r>
        <w:rPr>
          <w:rFonts w:ascii="仿宋_GB2312" w:eastAsia="仿宋_GB2312"/>
          <w:sz w:val="32"/>
          <w:szCs w:val="32"/>
        </w:rPr>
        <w:t>4</w:t>
      </w:r>
      <w:r>
        <w:rPr>
          <w:rFonts w:hint="eastAsia" w:ascii="仿宋_GB2312" w:eastAsia="仿宋_GB2312"/>
          <w:sz w:val="32"/>
          <w:szCs w:val="32"/>
        </w:rPr>
        <w:t>辆，与公务用车保有量差异原因是：本单位固定资产车辆与公务用车保有量一致无差异。</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3" w:firstLineChars="200"/>
        <w:rPr>
          <w:rFonts w:ascii="仿宋_GB2312" w:eastAsia="仿宋_GB2312"/>
          <w:sz w:val="32"/>
          <w:szCs w:val="32"/>
        </w:rPr>
      </w:pPr>
      <w:r>
        <w:rPr>
          <w:rFonts w:hint="eastAsia" w:ascii="仿宋_GB2312" w:eastAsia="仿宋_GB2312"/>
          <w:b/>
          <w:bCs/>
          <w:sz w:val="32"/>
          <w:szCs w:val="32"/>
        </w:rPr>
        <w:t>与全年预算相比，</w:t>
      </w:r>
      <w:r>
        <w:rPr>
          <w:rFonts w:hint="eastAsia" w:ascii="仿宋_GB2312" w:eastAsia="仿宋_GB2312"/>
          <w:sz w:val="32"/>
          <w:szCs w:val="32"/>
        </w:rPr>
        <w:t>财政拨款“三公”经费支出全年预算数3.50万元，决算数</w:t>
      </w:r>
      <w:r>
        <w:rPr>
          <w:rFonts w:ascii="仿宋_GB2312" w:eastAsia="仿宋_GB2312"/>
          <w:sz w:val="32"/>
          <w:szCs w:val="32"/>
        </w:rPr>
        <w:t>3.50</w:t>
      </w:r>
      <w:r>
        <w:rPr>
          <w:rFonts w:hint="eastAsia" w:ascii="仿宋_GB2312" w:eastAsia="仿宋_GB2312"/>
          <w:sz w:val="32"/>
          <w:szCs w:val="32"/>
        </w:rPr>
        <w:t>万元，预决算差异率0.00%，主要原因是：预决算一致无差异。</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预算数3.50万元，决算数3.50万元，预决算差异率0.00%，主要原因是：预决算一致无差异；</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4" w:name="_Toc7927"/>
      <w:bookmarkStart w:id="25" w:name="_Toc5810"/>
      <w:r>
        <w:rPr>
          <w:rFonts w:hint="eastAsia" w:ascii="黑体" w:hAnsi="黑体" w:eastAsia="黑体" w:cs="宋体"/>
          <w:bCs/>
          <w:kern w:val="0"/>
          <w:sz w:val="32"/>
          <w:szCs w:val="32"/>
        </w:rPr>
        <w:t>八、政府性基金预算财政拨款收入支出决算情况说明</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outlineLvl w:val="2"/>
        <w:rPr>
          <w:rFonts w:ascii="黑体" w:hAnsi="黑体" w:eastAsia="黑体"/>
          <w:sz w:val="32"/>
          <w:szCs w:val="32"/>
        </w:rPr>
      </w:pPr>
      <w:r>
        <w:rPr>
          <w:rFonts w:hint="eastAsia" w:ascii="仿宋_GB2312" w:eastAsia="仿宋_GB2312"/>
          <w:sz w:val="32"/>
          <w:szCs w:val="32"/>
        </w:rPr>
        <w:t>2023年度阿克陶县城市管理综合行政执法局（行政单位和参照公务员法管理事业单位）机关运行经费支出</w:t>
      </w:r>
      <w:r>
        <w:rPr>
          <w:rFonts w:ascii="仿宋_GB2312" w:eastAsia="仿宋_GB2312"/>
          <w:sz w:val="32"/>
          <w:szCs w:val="32"/>
        </w:rPr>
        <w:t>16.55</w:t>
      </w:r>
      <w:r>
        <w:rPr>
          <w:rFonts w:hint="eastAsia" w:ascii="仿宋_GB2312" w:eastAsia="仿宋_GB2312"/>
          <w:sz w:val="32"/>
          <w:szCs w:val="32"/>
        </w:rPr>
        <w:t>万元，</w:t>
      </w:r>
      <w:r>
        <w:rPr>
          <w:rFonts w:hint="eastAsia" w:ascii="仿宋_GB2312" w:eastAsia="仿宋_GB2312"/>
          <w:sz w:val="32"/>
          <w:szCs w:val="32"/>
          <w:lang w:eastAsia="zh-CN"/>
        </w:rPr>
        <w:t>较上年</w:t>
      </w:r>
      <w:r>
        <w:rPr>
          <w:rFonts w:hint="eastAsia" w:ascii="仿宋_GB2312" w:eastAsia="仿宋_GB2312"/>
          <w:sz w:val="32"/>
          <w:szCs w:val="32"/>
        </w:rPr>
        <w:t>减少19.99万元，下降54.71%，主要原因是：本年度办公费减少，导致公用经费减少。</w:t>
      </w:r>
    </w:p>
    <w:p>
      <w:pPr>
        <w:ind w:firstLine="640" w:firstLineChars="200"/>
        <w:rPr>
          <w:rFonts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2023年度政府采购支出总额</w:t>
      </w:r>
      <w:r>
        <w:rPr>
          <w:rFonts w:ascii="仿宋_GB2312" w:eastAsia="仿宋_GB2312"/>
          <w:sz w:val="32"/>
          <w:szCs w:val="32"/>
        </w:rPr>
        <w:t>20.30</w:t>
      </w:r>
      <w:r>
        <w:rPr>
          <w:rFonts w:hint="eastAsia" w:ascii="仿宋_GB2312" w:eastAsia="仿宋_GB2312"/>
          <w:sz w:val="32"/>
          <w:szCs w:val="32"/>
        </w:rPr>
        <w:t>万元，其中：政府采购货物支出</w:t>
      </w:r>
      <w:r>
        <w:rPr>
          <w:rFonts w:ascii="仿宋_GB2312" w:eastAsia="仿宋_GB2312"/>
          <w:sz w:val="32"/>
          <w:szCs w:val="32"/>
        </w:rPr>
        <w:t>13.30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7.00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19.73</w:t>
      </w:r>
      <w:r>
        <w:rPr>
          <w:rFonts w:hint="eastAsia" w:ascii="仿宋_GB2312" w:eastAsia="仿宋_GB2312"/>
          <w:sz w:val="32"/>
          <w:szCs w:val="32"/>
        </w:rPr>
        <w:t>万元，占政府采购支出总额的</w:t>
      </w:r>
      <w:r>
        <w:rPr>
          <w:rFonts w:ascii="仿宋_GB2312" w:eastAsia="仿宋_GB2312"/>
          <w:sz w:val="32"/>
          <w:szCs w:val="32"/>
        </w:rPr>
        <w:t>97.19</w:t>
      </w:r>
      <w:r>
        <w:rPr>
          <w:rFonts w:hint="eastAsia" w:ascii="仿宋_GB2312" w:eastAsia="仿宋_GB2312"/>
          <w:sz w:val="32"/>
          <w:szCs w:val="32"/>
        </w:rPr>
        <w:t>%，其中：授予小微企业合同金额</w:t>
      </w:r>
      <w:r>
        <w:rPr>
          <w:rFonts w:ascii="仿宋_GB2312" w:eastAsia="仿宋_GB2312"/>
          <w:sz w:val="32"/>
          <w:szCs w:val="32"/>
        </w:rPr>
        <w:t>17.02</w:t>
      </w:r>
      <w:r>
        <w:rPr>
          <w:rFonts w:hint="eastAsia" w:ascii="仿宋_GB2312" w:eastAsia="仿宋_GB2312"/>
          <w:sz w:val="32"/>
          <w:szCs w:val="32"/>
        </w:rPr>
        <w:t>万元，占政府采购支出总额的</w:t>
      </w:r>
      <w:r>
        <w:rPr>
          <w:rFonts w:ascii="仿宋_GB2312" w:eastAsia="仿宋_GB2312"/>
          <w:sz w:val="32"/>
          <w:szCs w:val="32"/>
        </w:rPr>
        <w:t>83.84</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6" w:name="_Toc8391"/>
      <w:bookmarkStart w:id="27" w:name="_Toc4591"/>
      <w:r>
        <w:rPr>
          <w:rFonts w:hint="eastAsia" w:ascii="黑体" w:hAnsi="黑体" w:eastAsia="黑体"/>
          <w:sz w:val="32"/>
          <w:szCs w:val="32"/>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截至2023年12月31日，固定资产原值45.78万元，房屋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4</w:t>
      </w:r>
      <w:r>
        <w:rPr>
          <w:rFonts w:hint="eastAsia" w:ascii="仿宋_GB2312" w:eastAsia="仿宋_GB2312"/>
          <w:sz w:val="32"/>
          <w:szCs w:val="32"/>
        </w:rPr>
        <w:t>辆，价值</w:t>
      </w:r>
      <w:r>
        <w:rPr>
          <w:rFonts w:ascii="仿宋_GB2312" w:eastAsia="仿宋_GB2312"/>
          <w:sz w:val="32"/>
          <w:szCs w:val="32"/>
        </w:rPr>
        <w:t>21.15</w:t>
      </w:r>
      <w:r>
        <w:rPr>
          <w:rFonts w:hint="eastAsia" w:ascii="仿宋_GB2312" w:eastAsia="仿宋_GB2312"/>
          <w:sz w:val="32"/>
          <w:szCs w:val="32"/>
        </w:rPr>
        <w:t>万元，其中：副部（省）级及以上领导用车0辆、主要负责人用车0辆、机要通信用车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4</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辆、离退休干部服务用车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辆，其他用车主要是：我单位无其他用车；单价100万元（含）以上设备（不含车辆）</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2023</w:t>
      </w:r>
      <w:r>
        <w:rPr>
          <w:rFonts w:hint="eastAsia" w:ascii="仿宋_GB2312" w:eastAsia="仿宋_GB2312"/>
          <w:sz w:val="32"/>
          <w:szCs w:val="32"/>
        </w:rPr>
        <w:t>年度预算绩效管理整体支出绩效自评表1个，全年预算总额425.04万元，实际执行总额391.70万元；预算绩效评价项目</w:t>
      </w:r>
      <w:r>
        <w:rPr>
          <w:rFonts w:ascii="仿宋_GB2312" w:eastAsia="仿宋_GB2312"/>
          <w:sz w:val="32"/>
          <w:szCs w:val="32"/>
        </w:rPr>
        <w:t>2</w:t>
      </w:r>
      <w:r>
        <w:rPr>
          <w:rFonts w:hint="eastAsia" w:ascii="仿宋_GB2312" w:eastAsia="仿宋_GB2312"/>
          <w:sz w:val="32"/>
          <w:szCs w:val="32"/>
        </w:rPr>
        <w:t>个，全年预算数10.00万元，全年执行数10.00万元。预算绩效管理取得的成效：</w:t>
      </w:r>
      <w:r>
        <w:rPr>
          <w:rFonts w:ascii="仿宋_GB2312" w:eastAsia="仿宋_GB2312"/>
          <w:sz w:val="32"/>
          <w:szCs w:val="32"/>
        </w:rPr>
        <w:t>一是绩效管理融入预算编制、执行、监督全过程中后，更有利于强化绩效目标的管理，加强监控结果的应用，对本单位对财务工作的进一步监督提供有效数据支撑；二是绩效结果的运用较大程度</w:t>
      </w:r>
      <w:r>
        <w:rPr>
          <w:rFonts w:hint="eastAsia" w:ascii="仿宋_GB2312" w:eastAsia="仿宋_GB2312"/>
          <w:sz w:val="32"/>
          <w:szCs w:val="32"/>
          <w:lang w:eastAsia="zh-CN"/>
        </w:rPr>
        <w:t>地</w:t>
      </w:r>
      <w:r>
        <w:rPr>
          <w:rFonts w:ascii="仿宋_GB2312" w:eastAsia="仿宋_GB2312"/>
          <w:sz w:val="32"/>
          <w:szCs w:val="32"/>
        </w:rPr>
        <w:t>推进完善政策制度、加强资金利用、增强各环节工作透明度等方面的工作，对本单位财务工作的管控提供有力抓手</w:t>
      </w:r>
      <w:r>
        <w:rPr>
          <w:rFonts w:hint="eastAsia" w:ascii="仿宋_GB2312" w:eastAsia="仿宋_GB2312"/>
          <w:sz w:val="32"/>
          <w:szCs w:val="32"/>
        </w:rPr>
        <w:t>。发现的问题及原因：</w:t>
      </w:r>
      <w:r>
        <w:rPr>
          <w:rFonts w:ascii="仿宋_GB2312" w:eastAsia="仿宋_GB2312"/>
          <w:sz w:val="32"/>
          <w:szCs w:val="32"/>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hint="eastAsia" w:ascii="仿宋_GB2312" w:eastAsia="仿宋_GB2312"/>
          <w:sz w:val="32"/>
          <w:szCs w:val="32"/>
        </w:rPr>
        <w:t>。下一步改进措施：</w:t>
      </w:r>
      <w:r>
        <w:rPr>
          <w:rFonts w:ascii="仿宋_GB2312" w:eastAsia="仿宋_GB2312"/>
          <w:sz w:val="32"/>
          <w:szCs w:val="32"/>
        </w:rPr>
        <w:t>一是加强学习，进一步明确如何参照考核体系，科学合理设定绩效目标，充分发挥预算绩效管理工作效用；二是</w:t>
      </w:r>
      <w:r>
        <w:rPr>
          <w:rFonts w:hint="eastAsia" w:ascii="仿宋_GB2312" w:eastAsia="仿宋_GB2312"/>
          <w:sz w:val="32"/>
          <w:szCs w:val="32"/>
          <w:lang w:eastAsia="zh-CN"/>
        </w:rPr>
        <w:t>财务</w:t>
      </w:r>
      <w:r>
        <w:rPr>
          <w:rFonts w:ascii="仿宋_GB2312" w:eastAsia="仿宋_GB2312"/>
          <w:sz w:val="32"/>
          <w:szCs w:val="32"/>
        </w:rPr>
        <w:t>会计核算要更加详细，为本单位各项工作的开展、总结、评估提供有效数据资料支撑,为各项业务工作</w:t>
      </w:r>
      <w:r>
        <w:rPr>
          <w:rFonts w:hint="eastAsia" w:ascii="仿宋_GB2312" w:eastAsia="仿宋_GB2312"/>
          <w:sz w:val="32"/>
          <w:szCs w:val="32"/>
          <w:lang w:eastAsia="zh-CN"/>
        </w:rPr>
        <w:t>更好地</w:t>
      </w:r>
      <w:r>
        <w:rPr>
          <w:rFonts w:ascii="仿宋_GB2312" w:eastAsia="仿宋_GB2312"/>
          <w:sz w:val="32"/>
          <w:szCs w:val="32"/>
        </w:rPr>
        <w:t>开展提供帮助</w:t>
      </w:r>
      <w:r>
        <w:rPr>
          <w:rFonts w:hint="eastAsia" w:ascii="仿宋_GB2312" w:eastAsia="仿宋_GB2312"/>
          <w:sz w:val="32"/>
          <w:szCs w:val="32"/>
          <w:lang w:eastAsia="zh-CN"/>
        </w:rPr>
        <w:t>；</w:t>
      </w:r>
      <w:r>
        <w:rPr>
          <w:rFonts w:ascii="仿宋_GB2312" w:eastAsia="仿宋_GB2312"/>
          <w:sz w:val="32"/>
          <w:szCs w:val="32"/>
        </w:rPr>
        <w:t>三是从源头上强化对专项资金预算管理，实行专项资金预算管理，结合单位实际,按轻重缓急统筹安排编制预算,提高预算编制科学性和合理性，优化资金结构</w:t>
      </w:r>
      <w:r>
        <w:rPr>
          <w:rFonts w:hint="eastAsia" w:ascii="仿宋_GB2312" w:eastAsia="仿宋_GB2312"/>
          <w:sz w:val="32"/>
          <w:szCs w:val="32"/>
        </w:rPr>
        <w:t>。具体项目自评情况附绩效自评表及自评报告。</w:t>
      </w:r>
    </w:p>
    <w:p>
      <w:pPr>
        <w:rPr>
          <w:rFonts w:ascii="黑体" w:hAnsi="黑体" w:eastAsia="黑体"/>
          <w:sz w:val="32"/>
          <w:szCs w:val="32"/>
        </w:rPr>
      </w:pPr>
      <w:bookmarkStart w:id="30" w:name="_Toc3250"/>
      <w:bookmarkStart w:id="31" w:name="_Toc24143"/>
      <w:r>
        <w:rPr>
          <w:rFonts w:hint="eastAsia" w:ascii="仿宋_GB2312" w:hAnsi="宋体" w:eastAsia="仿宋_GB2312" w:cs="宋体"/>
          <w:kern w:val="0"/>
          <w:sz w:val="24"/>
          <w:szCs w:val="32"/>
        </w:rPr>
        <w:br w:type="page"/>
      </w:r>
    </w:p>
    <w:tbl>
      <w:tblPr>
        <w:tblStyle w:val="10"/>
        <w:tblW w:w="10051" w:type="dxa"/>
        <w:jc w:val="center"/>
        <w:tblInd w:w="0" w:type="dxa"/>
        <w:tblLayout w:type="fixed"/>
        <w:tblCellMar>
          <w:top w:w="0" w:type="dxa"/>
          <w:left w:w="108" w:type="dxa"/>
          <w:bottom w:w="0" w:type="dxa"/>
          <w:right w:w="108" w:type="dxa"/>
        </w:tblCellMar>
      </w:tblPr>
      <w:tblGrid>
        <w:gridCol w:w="1116"/>
        <w:gridCol w:w="697"/>
        <w:gridCol w:w="419"/>
        <w:gridCol w:w="790"/>
        <w:gridCol w:w="944"/>
        <w:gridCol w:w="661"/>
        <w:gridCol w:w="359"/>
        <w:gridCol w:w="1635"/>
        <w:gridCol w:w="916"/>
        <w:gridCol w:w="344"/>
        <w:gridCol w:w="421"/>
        <w:gridCol w:w="1050"/>
        <w:gridCol w:w="699"/>
      </w:tblGrid>
      <w:tr>
        <w:tblPrEx>
          <w:tblLayout w:type="fixed"/>
          <w:tblCellMar>
            <w:top w:w="0" w:type="dxa"/>
            <w:left w:w="108" w:type="dxa"/>
            <w:bottom w:w="0" w:type="dxa"/>
            <w:right w:w="108" w:type="dxa"/>
          </w:tblCellMar>
        </w:tblPrEx>
        <w:trPr>
          <w:cantSplit/>
          <w:jc w:val="center"/>
        </w:trPr>
        <w:tc>
          <w:tcPr>
            <w:tcW w:w="10051" w:type="dxa"/>
            <w:gridSpan w:val="13"/>
            <w:tcBorders>
              <w:top w:val="nil"/>
              <w:left w:val="nil"/>
              <w:bottom w:val="nil"/>
              <w:right w:val="nil"/>
            </w:tcBorders>
            <w:shd w:val="clear" w:color="auto" w:fill="auto"/>
            <w:vAlign w:val="center"/>
          </w:tcPr>
          <w:p>
            <w:pPr>
              <w:widowControl/>
              <w:jc w:val="center"/>
              <w:rPr>
                <w:rFonts w:ascii="宋体" w:hAnsi="宋体" w:eastAsia="仿宋_GB2312" w:cs="宋体"/>
                <w:b/>
                <w:bCs/>
                <w:color w:val="000000"/>
                <w:kern w:val="0"/>
                <w:sz w:val="32"/>
                <w:szCs w:val="32"/>
              </w:rPr>
            </w:pPr>
            <w:r>
              <w:rPr>
                <w:rFonts w:hint="eastAsia" w:ascii="宋体" w:hAnsi="宋体" w:cs="宋体"/>
                <w:sz w:val="24"/>
              </w:rPr>
              <w:t>部门（单位）整体支出绩效自评表</w:t>
            </w:r>
          </w:p>
        </w:tc>
      </w:tr>
      <w:tr>
        <w:tblPrEx>
          <w:tblLayout w:type="fixed"/>
          <w:tblCellMar>
            <w:top w:w="0" w:type="dxa"/>
            <w:left w:w="108" w:type="dxa"/>
            <w:bottom w:w="0" w:type="dxa"/>
            <w:right w:w="108" w:type="dxa"/>
          </w:tblCellMar>
        </w:tblPrEx>
        <w:trPr>
          <w:cantSplit/>
          <w:jc w:val="center"/>
        </w:trPr>
        <w:tc>
          <w:tcPr>
            <w:tcW w:w="10051" w:type="dxa"/>
            <w:gridSpan w:val="13"/>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2023</w:t>
            </w:r>
          </w:p>
        </w:tc>
      </w:tr>
      <w:tr>
        <w:tblPrEx>
          <w:tblLayout w:type="fixed"/>
          <w:tblCellMar>
            <w:top w:w="0" w:type="dxa"/>
            <w:left w:w="108" w:type="dxa"/>
            <w:bottom w:w="0" w:type="dxa"/>
            <w:right w:w="108" w:type="dxa"/>
          </w:tblCellMar>
        </w:tblPrEx>
        <w:trPr>
          <w:cantSplit/>
          <w:jc w:val="center"/>
        </w:trPr>
        <w:tc>
          <w:tcPr>
            <w:tcW w:w="1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部门（单位）名称（盖章）</w:t>
            </w:r>
          </w:p>
        </w:tc>
        <w:tc>
          <w:tcPr>
            <w:tcW w:w="8238"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sz w:val="16"/>
                <w:szCs w:val="16"/>
              </w:rPr>
              <w:t>阿克陶县城市管理综合行政执法局</w:t>
            </w:r>
          </w:p>
        </w:tc>
      </w:tr>
      <w:tr>
        <w:tblPrEx>
          <w:tblLayout w:type="fixed"/>
          <w:tblCellMar>
            <w:top w:w="0" w:type="dxa"/>
            <w:left w:w="108" w:type="dxa"/>
            <w:bottom w:w="0" w:type="dxa"/>
            <w:right w:w="108" w:type="dxa"/>
          </w:tblCellMar>
        </w:tblPrEx>
        <w:trPr>
          <w:cantSplit/>
          <w:trHeight w:val="749" w:hRule="atLeast"/>
          <w:jc w:val="center"/>
        </w:trPr>
        <w:tc>
          <w:tcPr>
            <w:tcW w:w="1813" w:type="dxa"/>
            <w:gridSpan w:val="2"/>
            <w:vMerge w:val="restart"/>
            <w:tcBorders>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部门资金（万元）</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资金来源</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预算数（调整后）</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分值权重</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年度总资金：</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391.81</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425.04</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391.70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10</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92.16%</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9.2</w:t>
            </w:r>
          </w:p>
        </w:tc>
      </w:tr>
      <w:tr>
        <w:tblPrEx>
          <w:tblLayout w:type="fixed"/>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中央安排资金：</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r>
      <w:tr>
        <w:tblPrEx>
          <w:tblLayout w:type="fixed"/>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自治区安排资金：</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r>
      <w:tr>
        <w:tblPrEx>
          <w:tblLayout w:type="fixed"/>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地（州、市）安排：</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r>
      <w:tr>
        <w:tblPrEx>
          <w:tblLayout w:type="fixed"/>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县（市、区）安排：</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391.81</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425.04</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391.70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r>
      <w:tr>
        <w:tblPrEx>
          <w:tblLayout w:type="fixed"/>
          <w:tblCellMar>
            <w:top w:w="0" w:type="dxa"/>
            <w:left w:w="108" w:type="dxa"/>
            <w:bottom w:w="0" w:type="dxa"/>
            <w:right w:w="108" w:type="dxa"/>
          </w:tblCellMar>
        </w:tblPrEx>
        <w:trPr>
          <w:cantSplit/>
          <w:trHeight w:val="319" w:hRule="atLeast"/>
          <w:jc w:val="center"/>
        </w:trPr>
        <w:tc>
          <w:tcPr>
            <w:tcW w:w="1813" w:type="dxa"/>
            <w:gridSpan w:val="2"/>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其他资金：</w:t>
            </w:r>
          </w:p>
        </w:tc>
        <w:tc>
          <w:tcPr>
            <w:tcW w:w="1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1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0.00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r>
              <w:rPr>
                <w:rFonts w:hint="eastAsia" w:ascii="宋体" w:hAnsi="宋体" w:cs="宋体"/>
                <w:sz w:val="16"/>
                <w:szCs w:val="16"/>
              </w:rPr>
              <w:t>—</w:t>
            </w:r>
          </w:p>
        </w:tc>
      </w:tr>
      <w:tr>
        <w:tblPrEx>
          <w:tblLayout w:type="fixed"/>
          <w:tblCellMar>
            <w:top w:w="0" w:type="dxa"/>
            <w:left w:w="108" w:type="dxa"/>
            <w:bottom w:w="0" w:type="dxa"/>
            <w:right w:w="108" w:type="dxa"/>
          </w:tblCellMar>
        </w:tblPrEx>
        <w:trPr>
          <w:cantSplit/>
          <w:jc w:val="center"/>
        </w:trPr>
        <w:tc>
          <w:tcPr>
            <w:tcW w:w="18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480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343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cantSplit/>
          <w:jc w:val="center"/>
        </w:trPr>
        <w:tc>
          <w:tcPr>
            <w:tcW w:w="18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808" w:type="dxa"/>
            <w:gridSpan w:val="6"/>
            <w:tcBorders>
              <w:top w:val="single" w:color="auto" w:sz="4" w:space="0"/>
              <w:left w:val="single" w:color="auto" w:sz="4" w:space="0"/>
              <w:bottom w:val="single" w:color="auto" w:sz="4" w:space="0"/>
              <w:right w:val="single" w:color="auto" w:sz="4" w:space="0"/>
            </w:tcBorders>
            <w:shd w:val="clear" w:color="auto" w:fill="auto"/>
          </w:tcPr>
          <w:p>
            <w:pPr>
              <w:rPr>
                <w:rFonts w:ascii="宋体" w:hAnsi="宋体" w:cs="宋体"/>
                <w:color w:val="000000"/>
                <w:kern w:val="0"/>
                <w:sz w:val="20"/>
                <w:szCs w:val="20"/>
              </w:rPr>
            </w:pPr>
            <w:r>
              <w:rPr>
                <w:rFonts w:hint="eastAsia" w:ascii="宋体" w:hAnsi="宋体" w:cs="宋体"/>
                <w:sz w:val="16"/>
                <w:szCs w:val="16"/>
              </w:rPr>
              <w:t>为维护城市环境卫生提供监督检查保障</w:t>
            </w:r>
            <w:r>
              <w:rPr>
                <w:rFonts w:hint="eastAsia" w:ascii="宋体" w:hAnsi="宋体" w:cs="宋体"/>
                <w:sz w:val="16"/>
                <w:szCs w:val="16"/>
                <w:lang w:eastAsia="zh-CN"/>
              </w:rPr>
              <w:t>，</w:t>
            </w:r>
            <w:r>
              <w:rPr>
                <w:rFonts w:hint="eastAsia" w:ascii="宋体" w:hAnsi="宋体" w:cs="宋体"/>
                <w:sz w:val="16"/>
                <w:szCs w:val="16"/>
              </w:rPr>
              <w:t>城市环境卫生设施建设运营与维护</w:t>
            </w:r>
            <w:r>
              <w:rPr>
                <w:rFonts w:hint="eastAsia" w:ascii="宋体" w:hAnsi="宋体" w:cs="宋体"/>
                <w:sz w:val="16"/>
                <w:szCs w:val="16"/>
                <w:lang w:eastAsia="zh-CN"/>
              </w:rPr>
              <w:t>，</w:t>
            </w:r>
            <w:r>
              <w:rPr>
                <w:rFonts w:hint="eastAsia" w:ascii="宋体" w:hAnsi="宋体" w:cs="宋体"/>
                <w:sz w:val="16"/>
                <w:szCs w:val="16"/>
              </w:rPr>
              <w:t>城市环境卫生监督及辖区内公安交通管理</w:t>
            </w:r>
            <w:r>
              <w:rPr>
                <w:rFonts w:hint="eastAsia" w:ascii="宋体" w:hAnsi="宋体" w:cs="宋体"/>
                <w:sz w:val="16"/>
                <w:szCs w:val="16"/>
                <w:lang w:eastAsia="zh-CN"/>
              </w:rPr>
              <w:t>，</w:t>
            </w:r>
            <w:r>
              <w:rPr>
                <w:rFonts w:hint="eastAsia" w:ascii="宋体" w:hAnsi="宋体" w:cs="宋体"/>
                <w:sz w:val="16"/>
                <w:szCs w:val="16"/>
              </w:rPr>
              <w:t>城市辖区内工商管理</w:t>
            </w:r>
            <w:r>
              <w:rPr>
                <w:rFonts w:hint="eastAsia" w:ascii="宋体" w:hAnsi="宋体" w:cs="宋体"/>
                <w:sz w:val="16"/>
                <w:szCs w:val="16"/>
                <w:lang w:eastAsia="zh-CN"/>
              </w:rPr>
              <w:t>，</w:t>
            </w:r>
            <w:r>
              <w:rPr>
                <w:rFonts w:hint="eastAsia" w:ascii="宋体" w:hAnsi="宋体" w:cs="宋体"/>
                <w:sz w:val="16"/>
                <w:szCs w:val="16"/>
              </w:rPr>
              <w:t>城市环境卫生作业管理；贯彻实施有关城市管理方面的</w:t>
            </w:r>
            <w:r>
              <w:rPr>
                <w:rFonts w:hint="eastAsia" w:ascii="宋体" w:hAnsi="宋体" w:cs="宋体"/>
                <w:sz w:val="16"/>
                <w:szCs w:val="16"/>
                <w:lang w:eastAsia="zh-CN"/>
              </w:rPr>
              <w:t>法律法规</w:t>
            </w:r>
            <w:r>
              <w:rPr>
                <w:rFonts w:hint="eastAsia" w:ascii="宋体" w:hAnsi="宋体" w:cs="宋体"/>
                <w:sz w:val="16"/>
                <w:szCs w:val="16"/>
              </w:rPr>
              <w:t>及规章，治理和维护城市管理秩序，市容环卫：包括沿街立面装修的监管，招牌，广告牌设置的监管，渣土运输，消纳的监管，店铺超出门窗经营，沿街晾晒，公共场所派发小广告等。市政公用：挖掘道路没有经过审批之类。城市规划：查处违章建筑。交通：处理机动车和非机动车在人行道，广场的乱停放问题。工商：路上乱摆的摊贩；</w:t>
            </w:r>
          </w:p>
        </w:tc>
        <w:tc>
          <w:tcPr>
            <w:tcW w:w="3430" w:type="dxa"/>
            <w:gridSpan w:val="5"/>
            <w:tcBorders>
              <w:top w:val="single" w:color="auto" w:sz="4" w:space="0"/>
              <w:left w:val="single" w:color="auto" w:sz="4" w:space="0"/>
              <w:bottom w:val="single" w:color="auto" w:sz="4" w:space="0"/>
              <w:right w:val="single" w:color="auto" w:sz="4" w:space="0"/>
            </w:tcBorders>
            <w:shd w:val="clear" w:color="auto" w:fill="auto"/>
          </w:tcPr>
          <w:p>
            <w:pPr>
              <w:rPr>
                <w:rFonts w:ascii="宋体" w:hAnsi="宋体" w:cs="宋体"/>
                <w:color w:val="000000"/>
                <w:kern w:val="0"/>
                <w:sz w:val="20"/>
                <w:szCs w:val="20"/>
              </w:rPr>
            </w:pPr>
            <w:r>
              <w:rPr>
                <w:rFonts w:hint="eastAsia" w:ascii="宋体" w:hAnsi="宋体" w:cs="宋体"/>
                <w:sz w:val="16"/>
                <w:szCs w:val="16"/>
              </w:rPr>
              <w:t>为维护城市环境卫生提供监督检查保障城市环境卫生设施建设</w:t>
            </w:r>
            <w:r>
              <w:rPr>
                <w:rFonts w:hint="eastAsia" w:ascii="宋体" w:hAnsi="宋体" w:cs="宋体"/>
                <w:sz w:val="16"/>
                <w:szCs w:val="16"/>
                <w:lang w:eastAsia="zh-CN"/>
              </w:rPr>
              <w:t>，</w:t>
            </w:r>
            <w:r>
              <w:rPr>
                <w:rFonts w:hint="eastAsia" w:ascii="宋体" w:hAnsi="宋体" w:cs="宋体"/>
                <w:sz w:val="16"/>
                <w:szCs w:val="16"/>
              </w:rPr>
              <w:t>运营与维护城市环境卫生监督及辖区内公安交通管理城市辖区内工商管理  城市环境卫生作业管理；贯彻实施有关城市管理方面的</w:t>
            </w:r>
            <w:r>
              <w:rPr>
                <w:rFonts w:hint="eastAsia" w:ascii="宋体" w:hAnsi="宋体" w:cs="宋体"/>
                <w:sz w:val="16"/>
                <w:szCs w:val="16"/>
                <w:lang w:eastAsia="zh-CN"/>
              </w:rPr>
              <w:t>法律法规</w:t>
            </w:r>
            <w:r>
              <w:rPr>
                <w:rFonts w:hint="eastAsia" w:ascii="宋体" w:hAnsi="宋体" w:cs="宋体"/>
                <w:sz w:val="16"/>
                <w:szCs w:val="16"/>
              </w:rPr>
              <w:t>及规章，治理和维护城市管理秩序。</w:t>
            </w:r>
          </w:p>
        </w:tc>
      </w:tr>
      <w:tr>
        <w:tblPrEx>
          <w:tblLayout w:type="fixed"/>
          <w:tblCellMar>
            <w:top w:w="0" w:type="dxa"/>
            <w:left w:w="108" w:type="dxa"/>
            <w:bottom w:w="0" w:type="dxa"/>
            <w:right w:w="108" w:type="dxa"/>
          </w:tblCellMar>
        </w:tblPrEx>
        <w:trPr>
          <w:cantSplit/>
          <w:trHeight w:val="882" w:hRule="atLeast"/>
          <w:jc w:val="center"/>
        </w:trPr>
        <w:tc>
          <w:tcPr>
            <w:tcW w:w="1116" w:type="dxa"/>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116" w:type="dxa"/>
            <w:gridSpan w:val="2"/>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734" w:type="dxa"/>
            <w:gridSpan w:val="2"/>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020" w:type="dxa"/>
            <w:gridSpan w:val="2"/>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指标值设定依据</w:t>
            </w:r>
          </w:p>
        </w:tc>
        <w:tc>
          <w:tcPr>
            <w:tcW w:w="1260" w:type="dxa"/>
            <w:gridSpan w:val="2"/>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分值权重</w:t>
            </w:r>
          </w:p>
        </w:tc>
        <w:tc>
          <w:tcPr>
            <w:tcW w:w="1471" w:type="dxa"/>
            <w:gridSpan w:val="2"/>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99" w:type="dxa"/>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运行成本</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数量指标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离退休人员工资福利支出预算保障人数（人)</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&gt;=7人</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上年度10月工资册汇总表\人员编制增减变动的批复文件</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5</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=8人</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5</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运行成本</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数量指标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在职人员工资福利支出预算保障人数（人)</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&gt;=20人</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上年度10月工资册汇总表\人员编制增减变动的批复文件</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5</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=16人</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4</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运行成本</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成本指标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人员保障性资金支出控制数（万元）</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&lt;=341.92万元</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根据编制</w:t>
            </w:r>
            <w:r>
              <w:rPr>
                <w:rFonts w:hint="eastAsia" w:ascii="宋体" w:hAnsi="宋体" w:cs="宋体"/>
                <w:sz w:val="16"/>
                <w:szCs w:val="16"/>
                <w:lang w:eastAsia="zh-CN"/>
              </w:rPr>
              <w:t>数量</w:t>
            </w:r>
            <w:r>
              <w:rPr>
                <w:rFonts w:hint="eastAsia" w:ascii="宋体" w:hAnsi="宋体" w:cs="宋体"/>
                <w:sz w:val="16"/>
                <w:szCs w:val="16"/>
              </w:rPr>
              <w:t>和人员各项标准规定核算</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7</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=375.15万元</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6.32</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运行成本</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成本指标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项目支出控制数（万元）</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&lt;=42万元</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单位正常运转需求</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7</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=18.97万元</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3.17</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运行成本</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成本指标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公用经费支出控制数（万元）</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&lt;=7.89万元</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单位正常运转需求和人均需求测算</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7</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=6.55万元</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5.82</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运行成本</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质量指标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日常公用经费控制率（%）</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单位正常运转需求和人均需求测算</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6</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=83.02%</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5</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管理效率</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质量指标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工资发放及时率（%）</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根据编制</w:t>
            </w:r>
            <w:r>
              <w:rPr>
                <w:rFonts w:hint="eastAsia" w:ascii="宋体" w:hAnsi="宋体" w:cs="宋体"/>
                <w:sz w:val="16"/>
                <w:szCs w:val="16"/>
                <w:lang w:eastAsia="zh-CN"/>
              </w:rPr>
              <w:t>数量</w:t>
            </w:r>
            <w:r>
              <w:rPr>
                <w:rFonts w:hint="eastAsia" w:ascii="宋体" w:hAnsi="宋体" w:cs="宋体"/>
                <w:sz w:val="16"/>
                <w:szCs w:val="16"/>
              </w:rPr>
              <w:t>和人员</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6</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6</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管理效率</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质量指标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政府采购执行率（%）</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采购业务要求</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6</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6</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管理效率</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质量指标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资金使用合规率（%）</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资金性质及法律法规</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6</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6</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管理效率</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时效指标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资金使用时效性（月）</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=12月</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实际业务需要</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6</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=12月</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6</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履职效能</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数量指标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保障及维修安全器材的公共场所数（个）</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=4</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部门职能要求</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6</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=4个</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6</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履职效能</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质量指标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工作完成及时率（%）</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根据工作任务和性质要求</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6</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6</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社会效益</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效益指标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保障部门单位正常履职和各项政策措施有效实施</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保障</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赋予部门职能要求</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7</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7</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服务对象满意度</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满意度指标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社会公众对本部门履职效果的满意度（%）</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&gt;=95%</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根据单位履职情况测评</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5</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5</w:t>
            </w:r>
          </w:p>
        </w:tc>
      </w:tr>
      <w:tr>
        <w:tblPrEx>
          <w:tblLayout w:type="fixed"/>
          <w:tblCellMar>
            <w:top w:w="0" w:type="dxa"/>
            <w:left w:w="108" w:type="dxa"/>
            <w:bottom w:w="0" w:type="dxa"/>
            <w:right w:w="108" w:type="dxa"/>
          </w:tblCellMar>
        </w:tblPrEx>
        <w:trPr>
          <w:cantSplit/>
          <w:trHeight w:val="823" w:hRule="atLeast"/>
          <w:jc w:val="center"/>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服务对象满意度</w:t>
            </w:r>
          </w:p>
        </w:tc>
        <w:tc>
          <w:tcPr>
            <w:tcW w:w="11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满意度指标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在职人员的满意度（%）</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&gt;=95%</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根据在职人员工作职能</w:t>
            </w:r>
          </w:p>
        </w:tc>
        <w:tc>
          <w:tcPr>
            <w:tcW w:w="12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5</w:t>
            </w:r>
          </w:p>
        </w:tc>
        <w:tc>
          <w:tcPr>
            <w:tcW w:w="1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r>
              <w:rPr>
                <w:rFonts w:hint="eastAsia" w:ascii="宋体" w:hAnsi="宋体" w:cs="宋体"/>
                <w:sz w:val="16"/>
                <w:szCs w:val="16"/>
              </w:rPr>
              <w:t>=100%</w:t>
            </w:r>
          </w:p>
        </w:tc>
        <w:tc>
          <w:tcPr>
            <w:tcW w:w="69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 w:val="16"/>
                <w:szCs w:val="16"/>
              </w:rPr>
            </w:pPr>
            <w:r>
              <w:rPr>
                <w:rFonts w:hint="eastAsia" w:ascii="宋体" w:hAnsi="宋体" w:cs="宋体"/>
                <w:sz w:val="16"/>
                <w:szCs w:val="16"/>
              </w:rPr>
              <w:t>5</w:t>
            </w:r>
          </w:p>
        </w:tc>
      </w:tr>
    </w:tbl>
    <w:p>
      <w:pPr>
        <w:rPr>
          <w:rFonts w:ascii="黑体" w:hAnsi="黑体" w:eastAsia="黑体"/>
          <w:sz w:val="32"/>
          <w:szCs w:val="32"/>
        </w:rPr>
      </w:pPr>
      <w:r>
        <w:rPr>
          <w:rFonts w:ascii="仿宋_GB2312" w:hAnsi="宋体" w:eastAsia="仿宋_GB2312" w:cs="宋体"/>
          <w:kern w:val="0"/>
          <w:sz w:val="32"/>
          <w:szCs w:val="32"/>
        </w:rPr>
        <w:br w:type="page"/>
      </w:r>
    </w:p>
    <w:tbl>
      <w:tblPr>
        <w:tblStyle w:val="10"/>
        <w:tblW w:w="10051" w:type="dxa"/>
        <w:jc w:val="center"/>
        <w:tblInd w:w="0" w:type="dxa"/>
        <w:tblLayout w:type="fixed"/>
        <w:tblCellMar>
          <w:top w:w="0" w:type="dxa"/>
          <w:left w:w="108" w:type="dxa"/>
          <w:bottom w:w="0" w:type="dxa"/>
          <w:right w:w="108" w:type="dxa"/>
        </w:tblCellMar>
      </w:tblPr>
      <w:tblGrid>
        <w:gridCol w:w="731"/>
        <w:gridCol w:w="815"/>
        <w:gridCol w:w="36"/>
        <w:gridCol w:w="737"/>
        <w:gridCol w:w="728"/>
        <w:gridCol w:w="358"/>
        <w:gridCol w:w="716"/>
        <w:gridCol w:w="136"/>
        <w:gridCol w:w="625"/>
        <w:gridCol w:w="739"/>
        <w:gridCol w:w="214"/>
        <w:gridCol w:w="339"/>
        <w:gridCol w:w="670"/>
        <w:gridCol w:w="266"/>
        <w:gridCol w:w="426"/>
        <w:gridCol w:w="545"/>
        <w:gridCol w:w="263"/>
        <w:gridCol w:w="657"/>
        <w:gridCol w:w="56"/>
        <w:gridCol w:w="994"/>
      </w:tblGrid>
      <w:tr>
        <w:tblPrEx>
          <w:tblLayout w:type="fixed"/>
          <w:tblCellMar>
            <w:top w:w="0" w:type="dxa"/>
            <w:left w:w="108" w:type="dxa"/>
            <w:bottom w:w="0" w:type="dxa"/>
            <w:right w:w="108" w:type="dxa"/>
          </w:tblCellMar>
        </w:tblPrEx>
        <w:trPr>
          <w:cantSplit/>
          <w:jc w:val="center"/>
        </w:trPr>
        <w:tc>
          <w:tcPr>
            <w:tcW w:w="10051" w:type="dxa"/>
            <w:gridSpan w:val="20"/>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Layout w:type="fixed"/>
          <w:tblCellMar>
            <w:top w:w="0" w:type="dxa"/>
            <w:left w:w="108" w:type="dxa"/>
            <w:bottom w:w="0" w:type="dxa"/>
            <w:right w:w="108" w:type="dxa"/>
          </w:tblCellMar>
        </w:tblPrEx>
        <w:trPr>
          <w:cantSplit/>
          <w:jc w:val="center"/>
        </w:trPr>
        <w:tc>
          <w:tcPr>
            <w:tcW w:w="10051" w:type="dxa"/>
            <w:gridSpan w:val="20"/>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cantSplit/>
          <w:jc w:val="center"/>
        </w:trPr>
        <w:tc>
          <w:tcPr>
            <w:tcW w:w="15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1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公共场所安全器材及维修经费（县级）</w:t>
            </w:r>
          </w:p>
        </w:tc>
      </w:tr>
      <w:tr>
        <w:tblPrEx>
          <w:tblLayout w:type="fixed"/>
          <w:tblCellMar>
            <w:top w:w="0" w:type="dxa"/>
            <w:left w:w="108" w:type="dxa"/>
            <w:bottom w:w="0" w:type="dxa"/>
            <w:right w:w="108" w:type="dxa"/>
          </w:tblCellMar>
        </w:tblPrEx>
        <w:trPr>
          <w:cantSplit/>
          <w:jc w:val="center"/>
        </w:trPr>
        <w:tc>
          <w:tcPr>
            <w:tcW w:w="15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阿克陶县城市管理综合行政执法局</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阿克陶县城市管理综合行政执法局</w:t>
            </w:r>
          </w:p>
        </w:tc>
      </w:tr>
      <w:tr>
        <w:tblPrEx>
          <w:tblLayout w:type="fixed"/>
          <w:tblCellMar>
            <w:top w:w="0" w:type="dxa"/>
            <w:left w:w="108" w:type="dxa"/>
            <w:bottom w:w="0" w:type="dxa"/>
            <w:right w:w="108" w:type="dxa"/>
          </w:tblCellMar>
        </w:tblPrEx>
        <w:trPr>
          <w:cantSplit/>
          <w:jc w:val="center"/>
        </w:trPr>
        <w:tc>
          <w:tcPr>
            <w:tcW w:w="15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Layout w:type="fixed"/>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5104" w:type="dxa"/>
            <w:gridSpan w:val="10"/>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9"/>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该项目资金使用于公共场所安全器材及维修经费，通过该项目的实施，提升树立良好的社会风气和环境，保证公共场所各项工作正常运行。</w:t>
            </w:r>
          </w:p>
        </w:tc>
        <w:tc>
          <w:tcPr>
            <w:tcW w:w="42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该项目资金使用于公共场所安全器材及维修经费，通过该项目的实施，提升树立良好的社会风气和环境，保证公共场所各项工作正常运行。</w:t>
            </w:r>
          </w:p>
        </w:tc>
      </w:tr>
      <w:tr>
        <w:tblPrEx>
          <w:tblLayout w:type="fixed"/>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right w:val="single" w:color="auto" w:sz="4" w:space="0"/>
            </w:tcBorders>
            <w:shd w:val="clear" w:color="auto" w:fill="auto"/>
            <w:vAlign w:val="center"/>
          </w:tcPr>
          <w:p>
            <w:pPr>
              <w:jc w:val="center"/>
            </w:pPr>
          </w:p>
        </w:tc>
        <w:tc>
          <w:tcPr>
            <w:tcW w:w="815" w:type="dxa"/>
            <w:vMerge w:val="restart"/>
            <w:tcBorders>
              <w:top w:val="single" w:color="auto" w:sz="4" w:space="0"/>
              <w:left w:val="single" w:color="auto" w:sz="4" w:space="0"/>
              <w:right w:val="single" w:color="auto" w:sz="4" w:space="0"/>
            </w:tcBorders>
            <w:shd w:val="clear" w:color="auto" w:fill="auto"/>
            <w:vAlign w:val="center"/>
          </w:tcPr>
          <w:p>
            <w:pPr>
              <w:jc w:val="center"/>
            </w:pPr>
            <w:r>
              <w:rPr>
                <w:sz w:val="20"/>
              </w:rPr>
              <w:t>一级指标</w:t>
            </w:r>
          </w:p>
        </w:tc>
        <w:tc>
          <w:tcPr>
            <w:tcW w:w="773" w:type="dxa"/>
            <w:gridSpan w:val="2"/>
            <w:vMerge w:val="restart"/>
            <w:tcBorders>
              <w:top w:val="single" w:color="auto" w:sz="4" w:space="0"/>
              <w:left w:val="single" w:color="auto" w:sz="4" w:space="0"/>
              <w:right w:val="single" w:color="auto" w:sz="4" w:space="0"/>
            </w:tcBorders>
            <w:shd w:val="clear" w:color="auto" w:fill="auto"/>
            <w:vAlign w:val="center"/>
          </w:tcPr>
          <w:p>
            <w:pPr>
              <w:jc w:val="center"/>
            </w:pPr>
            <w:r>
              <w:rPr>
                <w:sz w:val="20"/>
              </w:rPr>
              <w:t>二级指标</w:t>
            </w:r>
          </w:p>
        </w:tc>
        <w:tc>
          <w:tcPr>
            <w:tcW w:w="1086"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761"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指标值设定依据</w:t>
            </w:r>
          </w:p>
        </w:tc>
        <w:tc>
          <w:tcPr>
            <w:tcW w:w="739"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上年完成情况</w:t>
            </w:r>
          </w:p>
        </w:tc>
        <w:tc>
          <w:tcPr>
            <w:tcW w:w="553"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权重</w:t>
            </w:r>
          </w:p>
        </w:tc>
        <w:tc>
          <w:tcPr>
            <w:tcW w:w="67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赋分规则</w:t>
            </w:r>
          </w:p>
        </w:tc>
        <w:tc>
          <w:tcPr>
            <w:tcW w:w="692"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佐证资料</w:t>
            </w:r>
          </w:p>
        </w:tc>
        <w:tc>
          <w:tcPr>
            <w:tcW w:w="808"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5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050"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cantSplit/>
          <w:trHeight w:val="312" w:hRule="atLeast"/>
          <w:jc w:val="center"/>
        </w:trPr>
        <w:tc>
          <w:tcPr>
            <w:tcW w:w="731"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1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73"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6"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16"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61"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39"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53"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7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92"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8"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5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50"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公共场所（数量）</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=4个</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=4个</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&gt;=98%</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&gt;=98%</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资金拨付及时率（%）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&gt;=98%</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&gt;=98%</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公共场所安全器材及维修经费金额（万元）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5万元</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社会效益指标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提升公共服务能力情况</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按评判等级赋分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提升树立良好的社会风气</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按评判等级赋分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群众满意度（%）</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&gt;=98%</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jc w:val="center"/>
        </w:trPr>
        <w:tc>
          <w:tcPr>
            <w:tcW w:w="5621"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1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Ind w:w="0" w:type="dxa"/>
        <w:tblLayout w:type="fixed"/>
        <w:tblCellMar>
          <w:top w:w="0" w:type="dxa"/>
          <w:left w:w="108" w:type="dxa"/>
          <w:bottom w:w="0" w:type="dxa"/>
          <w:right w:w="108" w:type="dxa"/>
        </w:tblCellMar>
      </w:tblPr>
      <w:tblGrid>
        <w:gridCol w:w="731"/>
        <w:gridCol w:w="815"/>
        <w:gridCol w:w="36"/>
        <w:gridCol w:w="737"/>
        <w:gridCol w:w="728"/>
        <w:gridCol w:w="358"/>
        <w:gridCol w:w="716"/>
        <w:gridCol w:w="136"/>
        <w:gridCol w:w="625"/>
        <w:gridCol w:w="739"/>
        <w:gridCol w:w="214"/>
        <w:gridCol w:w="339"/>
        <w:gridCol w:w="670"/>
        <w:gridCol w:w="266"/>
        <w:gridCol w:w="426"/>
        <w:gridCol w:w="545"/>
        <w:gridCol w:w="263"/>
        <w:gridCol w:w="657"/>
        <w:gridCol w:w="56"/>
        <w:gridCol w:w="994"/>
      </w:tblGrid>
      <w:tr>
        <w:tblPrEx>
          <w:tblLayout w:type="fixed"/>
          <w:tblCellMar>
            <w:top w:w="0" w:type="dxa"/>
            <w:left w:w="108" w:type="dxa"/>
            <w:bottom w:w="0" w:type="dxa"/>
            <w:right w:w="108" w:type="dxa"/>
          </w:tblCellMar>
        </w:tblPrEx>
        <w:trPr>
          <w:cantSplit/>
          <w:jc w:val="center"/>
        </w:trPr>
        <w:tc>
          <w:tcPr>
            <w:tcW w:w="10051" w:type="dxa"/>
            <w:gridSpan w:val="20"/>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Layout w:type="fixed"/>
          <w:tblCellMar>
            <w:top w:w="0" w:type="dxa"/>
            <w:left w:w="108" w:type="dxa"/>
            <w:bottom w:w="0" w:type="dxa"/>
            <w:right w:w="108" w:type="dxa"/>
          </w:tblCellMar>
        </w:tblPrEx>
        <w:trPr>
          <w:cantSplit/>
          <w:jc w:val="center"/>
        </w:trPr>
        <w:tc>
          <w:tcPr>
            <w:tcW w:w="10051" w:type="dxa"/>
            <w:gridSpan w:val="20"/>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cantSplit/>
          <w:jc w:val="center"/>
        </w:trPr>
        <w:tc>
          <w:tcPr>
            <w:tcW w:w="15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1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业务工作经费（非税）（县级）</w:t>
            </w:r>
          </w:p>
        </w:tc>
      </w:tr>
      <w:tr>
        <w:tblPrEx>
          <w:tblLayout w:type="fixed"/>
          <w:tblCellMar>
            <w:top w:w="0" w:type="dxa"/>
            <w:left w:w="108" w:type="dxa"/>
            <w:bottom w:w="0" w:type="dxa"/>
            <w:right w:w="108" w:type="dxa"/>
          </w:tblCellMar>
        </w:tblPrEx>
        <w:trPr>
          <w:cantSplit/>
          <w:jc w:val="center"/>
        </w:trPr>
        <w:tc>
          <w:tcPr>
            <w:tcW w:w="15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阿克陶县城市管理综合行政执法局</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阿克陶县城市管理综合行政执法局</w:t>
            </w:r>
          </w:p>
        </w:tc>
      </w:tr>
      <w:tr>
        <w:tblPrEx>
          <w:tblLayout w:type="fixed"/>
          <w:tblCellMar>
            <w:top w:w="0" w:type="dxa"/>
            <w:left w:w="108" w:type="dxa"/>
            <w:bottom w:w="0" w:type="dxa"/>
            <w:right w:w="108" w:type="dxa"/>
          </w:tblCellMar>
        </w:tblPrEx>
        <w:trPr>
          <w:cantSplit/>
          <w:jc w:val="center"/>
        </w:trPr>
        <w:tc>
          <w:tcPr>
            <w:tcW w:w="15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Layout w:type="fixed"/>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cantSplit/>
          <w:trHeight w:val="319" w:hRule="atLeast"/>
          <w:jc w:val="center"/>
        </w:trPr>
        <w:tc>
          <w:tcPr>
            <w:tcW w:w="158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5104" w:type="dxa"/>
            <w:gridSpan w:val="10"/>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9"/>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该项目资金使用于业务工作经费，通过该项目的实施，创造更好的工作条件，保证单位各项业务工作顺利开展</w:t>
            </w:r>
          </w:p>
        </w:tc>
        <w:tc>
          <w:tcPr>
            <w:tcW w:w="42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该项目资金使用于业务工作经费，通过该项目的实施，创造更好的工作条件，保证单位各项业务工作顺利开展</w:t>
            </w:r>
          </w:p>
        </w:tc>
      </w:tr>
      <w:tr>
        <w:tblPrEx>
          <w:tblLayout w:type="fixed"/>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right w:val="single" w:color="auto" w:sz="4" w:space="0"/>
            </w:tcBorders>
            <w:shd w:val="clear" w:color="auto" w:fill="auto"/>
            <w:vAlign w:val="center"/>
          </w:tcPr>
          <w:p>
            <w:pPr>
              <w:jc w:val="center"/>
            </w:pPr>
          </w:p>
        </w:tc>
        <w:tc>
          <w:tcPr>
            <w:tcW w:w="815" w:type="dxa"/>
            <w:vMerge w:val="restart"/>
            <w:tcBorders>
              <w:top w:val="single" w:color="auto" w:sz="4" w:space="0"/>
              <w:left w:val="single" w:color="auto" w:sz="4" w:space="0"/>
              <w:right w:val="single" w:color="auto" w:sz="4" w:space="0"/>
            </w:tcBorders>
            <w:shd w:val="clear" w:color="auto" w:fill="auto"/>
            <w:vAlign w:val="center"/>
          </w:tcPr>
          <w:p>
            <w:pPr>
              <w:jc w:val="center"/>
            </w:pPr>
            <w:r>
              <w:rPr>
                <w:sz w:val="20"/>
              </w:rPr>
              <w:t>一级指标</w:t>
            </w:r>
          </w:p>
        </w:tc>
        <w:tc>
          <w:tcPr>
            <w:tcW w:w="773" w:type="dxa"/>
            <w:gridSpan w:val="2"/>
            <w:vMerge w:val="restart"/>
            <w:tcBorders>
              <w:top w:val="single" w:color="auto" w:sz="4" w:space="0"/>
              <w:left w:val="single" w:color="auto" w:sz="4" w:space="0"/>
              <w:right w:val="single" w:color="auto" w:sz="4" w:space="0"/>
            </w:tcBorders>
            <w:shd w:val="clear" w:color="auto" w:fill="auto"/>
            <w:vAlign w:val="center"/>
          </w:tcPr>
          <w:p>
            <w:pPr>
              <w:jc w:val="center"/>
            </w:pPr>
            <w:r>
              <w:rPr>
                <w:sz w:val="20"/>
              </w:rPr>
              <w:t>二级指标</w:t>
            </w:r>
          </w:p>
        </w:tc>
        <w:tc>
          <w:tcPr>
            <w:tcW w:w="1086"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761"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指标值设定依据</w:t>
            </w:r>
          </w:p>
        </w:tc>
        <w:tc>
          <w:tcPr>
            <w:tcW w:w="739"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上年完成情况</w:t>
            </w:r>
          </w:p>
        </w:tc>
        <w:tc>
          <w:tcPr>
            <w:tcW w:w="553"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权重</w:t>
            </w:r>
          </w:p>
        </w:tc>
        <w:tc>
          <w:tcPr>
            <w:tcW w:w="67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赋分规则</w:t>
            </w:r>
          </w:p>
        </w:tc>
        <w:tc>
          <w:tcPr>
            <w:tcW w:w="692"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佐证资料</w:t>
            </w:r>
          </w:p>
        </w:tc>
        <w:tc>
          <w:tcPr>
            <w:tcW w:w="808"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5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050"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cantSplit/>
          <w:trHeight w:val="312" w:hRule="atLeast"/>
          <w:jc w:val="center"/>
        </w:trPr>
        <w:tc>
          <w:tcPr>
            <w:tcW w:w="731"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15"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73"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6"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16"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61"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39"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53"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7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92"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8"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5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50" w:type="dxa"/>
            <w:gridSpan w:val="2"/>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数量指标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购买燃油和维修点车辆数（数）</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&gt;=4辆</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4辆</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=4辆</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购买邮电水费（次）</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&gt;=6次</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6次</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=6次</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购买办公用品批量（批）</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&gt;=5批</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5批</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=5批</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保障单位维修次数（次）</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&gt;=2次</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2次</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=2次</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保障单位印刷次数（次）</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&gt;=5次</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5次</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=5次</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&gt;=98%</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资金拨付及时率（%）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&gt;=98%</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成本指标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经济成本指标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燃油费和车辆维修费（万元）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2万元</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购买邮电水费金额（万元）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1.5万元</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维修费金额（万元）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0.2万元</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办公用品金额（万元）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0.3万元</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印刷费金额（万元）</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=1万元</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1万元</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按照完成比例赋分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工作资料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=1万元</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7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社会效益指标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提升城市管理执法能力</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按评判等级赋分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说明材料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77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维护社会长久治安</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提升</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按评判等级赋分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说明材料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7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受益人满意度（%）</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&gt;=98%</w:t>
            </w:r>
          </w:p>
        </w:tc>
        <w:tc>
          <w:tcPr>
            <w:tcW w:w="7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预算支出标准</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满意度赋分</w:t>
            </w:r>
          </w:p>
        </w:tc>
        <w:tc>
          <w:tcPr>
            <w:tcW w:w="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说明材料</w:t>
            </w:r>
          </w:p>
        </w:tc>
        <w:tc>
          <w:tcPr>
            <w:tcW w:w="8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cantSplit/>
          <w:jc w:val="center"/>
        </w:trPr>
        <w:tc>
          <w:tcPr>
            <w:tcW w:w="5621"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5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1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rPr>
          <w:rFonts w:ascii="仿宋_GB2312" w:hAnsi="宋体" w:eastAsia="仿宋_GB2312" w:cs="宋体"/>
          <w:kern w:val="0"/>
          <w:sz w:val="32"/>
          <w:szCs w:val="32"/>
        </w:rPr>
      </w:pPr>
      <w:r>
        <w:rPr>
          <w:rFonts w:ascii="仿宋_GB2312" w:hAnsi="宋体" w:eastAsia="仿宋_GB2312" w:cs="宋体"/>
          <w:kern w:val="0"/>
          <w:sz w:val="32"/>
          <w:szCs w:val="32"/>
        </w:rPr>
        <w:br w:type="page"/>
      </w:r>
      <w:r>
        <w:rPr>
          <w:rFonts w:hint="eastAsia" w:ascii="黑体" w:hAnsi="黑体" w:eastAsia="黑体" w:cs="宋体"/>
          <w:bCs/>
          <w:kern w:val="0"/>
          <w:sz w:val="32"/>
          <w:szCs w:val="32"/>
        </w:rPr>
        <w:t>十二、</w:t>
      </w:r>
      <w:bookmarkStart w:id="32" w:name="OLE_LINK1"/>
      <w:r>
        <w:rPr>
          <w:rFonts w:hint="eastAsia" w:ascii="黑体" w:hAnsi="黑体" w:eastAsia="黑体" w:cs="宋体"/>
          <w:bCs/>
          <w:kern w:val="0"/>
          <w:sz w:val="32"/>
          <w:szCs w:val="32"/>
        </w:rPr>
        <w:t>其他需说明的事项</w:t>
      </w:r>
      <w:bookmarkEnd w:id="32"/>
    </w:p>
    <w:p>
      <w:pPr>
        <w:ind w:firstLine="640" w:firstLineChars="200"/>
        <w:rPr>
          <w:rFonts w:ascii="仿宋_GB2312" w:eastAsia="仿宋_GB2312"/>
          <w:sz w:val="32"/>
          <w:szCs w:val="32"/>
        </w:rPr>
      </w:pPr>
      <w:bookmarkStart w:id="33" w:name="OLE_LINK2"/>
      <w:r>
        <w:rPr>
          <w:rFonts w:hint="eastAsia" w:ascii="仿宋_GB2312" w:eastAsia="仿宋_GB2312"/>
          <w:sz w:val="32"/>
          <w:szCs w:val="32"/>
        </w:rPr>
        <w:t>无其他说明事项</w:t>
      </w:r>
    </w:p>
    <w:bookmarkEnd w:id="33"/>
    <w:p>
      <w:pPr>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
    <w:p/>
    <w:p/>
    <w:p/>
    <w:p/>
    <w:p/>
    <w:p/>
    <w:p>
      <w:pPr>
        <w:autoSpaceDE w:val="0"/>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ind w:firstLine="640" w:firstLineChars="200"/>
        <w:outlineLvl w:val="1"/>
        <w:rPr>
          <w:rFonts w:ascii="仿宋_GB2312" w:hAnsi="仿宋_GB2312" w:eastAsia="仿宋_GB2312" w:cs="仿宋_GB2312"/>
          <w:bCs/>
          <w:kern w:val="0"/>
          <w:sz w:val="32"/>
          <w:szCs w:val="32"/>
        </w:rPr>
      </w:pPr>
      <w:bookmarkStart w:id="34" w:name="_Toc6062"/>
      <w:bookmarkStart w:id="35" w:name="_Toc2183"/>
      <w:r>
        <w:rPr>
          <w:rFonts w:hint="eastAsia" w:ascii="仿宋_GB2312" w:hAnsi="仿宋_GB2312" w:eastAsia="仿宋_GB2312" w:cs="仿宋_GB2312"/>
          <w:bCs/>
          <w:kern w:val="0"/>
          <w:sz w:val="32"/>
          <w:szCs w:val="32"/>
        </w:rPr>
        <w:t>一、《收入支出决算总表》</w:t>
      </w:r>
      <w:bookmarkEnd w:id="34"/>
      <w:bookmarkEnd w:id="35"/>
    </w:p>
    <w:p>
      <w:pPr>
        <w:ind w:firstLine="640" w:firstLineChars="200"/>
        <w:outlineLvl w:val="1"/>
        <w:rPr>
          <w:rFonts w:ascii="仿宋_GB2312" w:hAnsi="仿宋_GB2312" w:eastAsia="仿宋_GB2312" w:cs="仿宋_GB2312"/>
          <w:bCs/>
          <w:kern w:val="0"/>
          <w:sz w:val="32"/>
          <w:szCs w:val="32"/>
        </w:rPr>
      </w:pPr>
      <w:bookmarkStart w:id="36" w:name="_Toc24532"/>
      <w:bookmarkStart w:id="37" w:name="_Toc30364"/>
      <w:r>
        <w:rPr>
          <w:rFonts w:hint="eastAsia" w:ascii="仿宋_GB2312" w:hAnsi="仿宋_GB2312" w:eastAsia="仿宋_GB2312" w:cs="仿宋_GB2312"/>
          <w:bCs/>
          <w:kern w:val="0"/>
          <w:sz w:val="32"/>
          <w:szCs w:val="32"/>
        </w:rPr>
        <w:t>二、《收入决算表》</w:t>
      </w:r>
      <w:bookmarkEnd w:id="36"/>
      <w:bookmarkEnd w:id="37"/>
    </w:p>
    <w:p>
      <w:pPr>
        <w:ind w:firstLine="640" w:firstLineChars="200"/>
        <w:outlineLvl w:val="1"/>
        <w:rPr>
          <w:rFonts w:ascii="仿宋_GB2312" w:hAnsi="仿宋_GB2312" w:eastAsia="仿宋_GB2312" w:cs="仿宋_GB2312"/>
          <w:bCs/>
          <w:kern w:val="0"/>
          <w:sz w:val="32"/>
          <w:szCs w:val="32"/>
        </w:rPr>
      </w:pPr>
      <w:bookmarkStart w:id="38" w:name="_Toc32434"/>
      <w:bookmarkStart w:id="39" w:name="_Toc21304"/>
      <w:r>
        <w:rPr>
          <w:rFonts w:hint="eastAsia" w:ascii="仿宋_GB2312" w:hAnsi="仿宋_GB2312" w:eastAsia="仿宋_GB2312" w:cs="仿宋_GB2312"/>
          <w:bCs/>
          <w:kern w:val="0"/>
          <w:sz w:val="32"/>
          <w:szCs w:val="32"/>
        </w:rPr>
        <w:t>三、《支出决算表》</w:t>
      </w:r>
      <w:bookmarkEnd w:id="38"/>
      <w:bookmarkEnd w:id="39"/>
    </w:p>
    <w:p>
      <w:pPr>
        <w:ind w:firstLine="640" w:firstLineChars="200"/>
        <w:outlineLvl w:val="1"/>
        <w:rPr>
          <w:rFonts w:ascii="仿宋_GB2312" w:hAnsi="仿宋_GB2312" w:eastAsia="仿宋_GB2312" w:cs="仿宋_GB2312"/>
          <w:bCs/>
          <w:kern w:val="0"/>
          <w:sz w:val="32"/>
          <w:szCs w:val="32"/>
        </w:rPr>
      </w:pPr>
      <w:bookmarkStart w:id="40" w:name="_Toc28786"/>
      <w:bookmarkStart w:id="41" w:name="_Toc14238"/>
      <w:r>
        <w:rPr>
          <w:rFonts w:hint="eastAsia" w:ascii="仿宋_GB2312" w:hAnsi="仿宋_GB2312" w:eastAsia="仿宋_GB2312" w:cs="仿宋_GB2312"/>
          <w:bCs/>
          <w:kern w:val="0"/>
          <w:sz w:val="32"/>
          <w:szCs w:val="32"/>
        </w:rPr>
        <w:t>四、《财政拨款收入支出决算总表》</w:t>
      </w:r>
      <w:bookmarkEnd w:id="40"/>
      <w:bookmarkEnd w:id="41"/>
    </w:p>
    <w:p>
      <w:pPr>
        <w:ind w:firstLine="640" w:firstLineChars="200"/>
        <w:outlineLvl w:val="1"/>
        <w:rPr>
          <w:rFonts w:ascii="仿宋_GB2312" w:hAnsi="仿宋_GB2312" w:eastAsia="仿宋_GB2312" w:cs="仿宋_GB2312"/>
          <w:bCs/>
          <w:kern w:val="0"/>
          <w:sz w:val="32"/>
          <w:szCs w:val="32"/>
        </w:rPr>
      </w:pPr>
      <w:bookmarkStart w:id="42" w:name="_Toc14869"/>
      <w:bookmarkStart w:id="43" w:name="_Toc10347"/>
      <w:r>
        <w:rPr>
          <w:rFonts w:hint="eastAsia" w:ascii="仿宋_GB2312" w:hAnsi="仿宋_GB2312" w:eastAsia="仿宋_GB2312" w:cs="仿宋_GB2312"/>
          <w:bCs/>
          <w:kern w:val="0"/>
          <w:sz w:val="32"/>
          <w:szCs w:val="32"/>
        </w:rPr>
        <w:t>五、《一般公共预算财政拨款支出决算表》</w:t>
      </w:r>
      <w:bookmarkEnd w:id="42"/>
      <w:bookmarkEnd w:id="43"/>
    </w:p>
    <w:p>
      <w:pPr>
        <w:ind w:firstLine="640" w:firstLineChars="200"/>
        <w:outlineLvl w:val="1"/>
        <w:rPr>
          <w:rFonts w:ascii="仿宋_GB2312" w:hAnsi="仿宋_GB2312" w:eastAsia="仿宋_GB2312" w:cs="仿宋_GB2312"/>
          <w:bCs/>
          <w:kern w:val="0"/>
          <w:sz w:val="32"/>
          <w:szCs w:val="32"/>
        </w:rPr>
      </w:pPr>
      <w:bookmarkStart w:id="44" w:name="_Toc8884"/>
      <w:bookmarkStart w:id="45" w:name="_Toc5626"/>
      <w:r>
        <w:rPr>
          <w:rFonts w:hint="eastAsia" w:ascii="仿宋_GB2312" w:hAnsi="仿宋_GB2312" w:eastAsia="仿宋_GB2312" w:cs="仿宋_GB2312"/>
          <w:bCs/>
          <w:kern w:val="0"/>
          <w:sz w:val="32"/>
          <w:szCs w:val="32"/>
        </w:rPr>
        <w:t>六、《一般公共预算财政拨款基本支出决算表》</w:t>
      </w:r>
      <w:bookmarkEnd w:id="44"/>
      <w:bookmarkEnd w:id="45"/>
    </w:p>
    <w:p>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七、</w:t>
      </w:r>
      <w:bookmarkStart w:id="46" w:name="_Toc29106"/>
      <w:bookmarkStart w:id="47" w:name="_Toc32663"/>
      <w:r>
        <w:rPr>
          <w:rFonts w:hint="eastAsia" w:ascii="仿宋_GB2312" w:hAnsi="仿宋_GB2312" w:eastAsia="仿宋_GB2312" w:cs="仿宋_GB2312"/>
          <w:bCs/>
          <w:kern w:val="0"/>
          <w:sz w:val="32"/>
          <w:szCs w:val="32"/>
        </w:rPr>
        <w:t>《财政拨款“三公”经费支出决算表》</w:t>
      </w:r>
      <w:bookmarkEnd w:id="46"/>
      <w:bookmarkEnd w:id="47"/>
    </w:p>
    <w:p>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八、《政府性基金预算财政拨款收入支出决算表》</w:t>
      </w:r>
    </w:p>
    <w:p>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
    <w:p/>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EA42D1EB-DBD1-49CD-A251-DC4025AA40AC}"/>
  </w:font>
  <w:font w:name="黑体">
    <w:panose1 w:val="02010609060101010101"/>
    <w:charset w:val="86"/>
    <w:family w:val="auto"/>
    <w:pitch w:val="default"/>
    <w:sig w:usb0="800002BF" w:usb1="38CF7CFA" w:usb2="00000016" w:usb3="00000000" w:csb0="00040001" w:csb1="00000000"/>
    <w:embedRegular r:id="rId2" w:fontKey="{25993C90-06E0-4D2B-A890-468515CE8D7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00000000" w:usb1="00000000" w:usb2="00000000" w:usb3="00000000" w:csb0="00000000" w:csb1="00000000"/>
    <w:embedRegular r:id="rId3" w:fontKey="{AAC72832-1341-41DC-ACED-1FDFE3A52B1B}"/>
  </w:font>
  <w:font w:name="仿宋_GB2312">
    <w:panose1 w:val="02010609030101010101"/>
    <w:charset w:val="86"/>
    <w:family w:val="modern"/>
    <w:pitch w:val="default"/>
    <w:sig w:usb0="00000000" w:usb1="00000000" w:usb2="00000000" w:usb3="00000000" w:csb0="00000000" w:csb1="00000000"/>
    <w:embedRegular r:id="rId4" w:fontKey="{D5D40C9F-7596-4296-94B7-9252E683A9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O&#10;qXm5zwAAAAUBAAAPAAAAAAAAAAEAIAAAACIAAABkcnMvZG93bnJldi54bWxQSwECFAAUAAAACACH&#10;TuJAlib4/7sBAABkAwAADgAAAAAAAAABACAAAAAeAQAAZHJzL2Uyb0RvYy54bWxQSwUGAAAAAAYA&#10;BgBZAQAASw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312C27"/>
    <w:rsid w:val="00003E25"/>
    <w:rsid w:val="00012F23"/>
    <w:rsid w:val="00021E76"/>
    <w:rsid w:val="000229DC"/>
    <w:rsid w:val="0002765D"/>
    <w:rsid w:val="000310F8"/>
    <w:rsid w:val="0003297B"/>
    <w:rsid w:val="000379B3"/>
    <w:rsid w:val="00053A12"/>
    <w:rsid w:val="0005626F"/>
    <w:rsid w:val="000569AB"/>
    <w:rsid w:val="000724E7"/>
    <w:rsid w:val="00073996"/>
    <w:rsid w:val="0008509D"/>
    <w:rsid w:val="00090520"/>
    <w:rsid w:val="000A0B31"/>
    <w:rsid w:val="000B2837"/>
    <w:rsid w:val="000D2344"/>
    <w:rsid w:val="000D267C"/>
    <w:rsid w:val="000E75B2"/>
    <w:rsid w:val="000E7B17"/>
    <w:rsid w:val="00121C15"/>
    <w:rsid w:val="00123257"/>
    <w:rsid w:val="00135BB7"/>
    <w:rsid w:val="00142378"/>
    <w:rsid w:val="0016194B"/>
    <w:rsid w:val="001762A3"/>
    <w:rsid w:val="00182700"/>
    <w:rsid w:val="00185C9C"/>
    <w:rsid w:val="001B0BD1"/>
    <w:rsid w:val="001B147B"/>
    <w:rsid w:val="001C3354"/>
    <w:rsid w:val="001D1E7F"/>
    <w:rsid w:val="00210E38"/>
    <w:rsid w:val="00215836"/>
    <w:rsid w:val="00221441"/>
    <w:rsid w:val="00224B57"/>
    <w:rsid w:val="002259E8"/>
    <w:rsid w:val="00233B71"/>
    <w:rsid w:val="00235C0B"/>
    <w:rsid w:val="00240AA1"/>
    <w:rsid w:val="0026230C"/>
    <w:rsid w:val="00263A31"/>
    <w:rsid w:val="00263A81"/>
    <w:rsid w:val="00271C68"/>
    <w:rsid w:val="00294495"/>
    <w:rsid w:val="0029483B"/>
    <w:rsid w:val="002A2698"/>
    <w:rsid w:val="002B179F"/>
    <w:rsid w:val="002B6C9C"/>
    <w:rsid w:val="002D1584"/>
    <w:rsid w:val="00311B34"/>
    <w:rsid w:val="00312C27"/>
    <w:rsid w:val="003413C6"/>
    <w:rsid w:val="00352E78"/>
    <w:rsid w:val="00361BDE"/>
    <w:rsid w:val="00362F42"/>
    <w:rsid w:val="00366326"/>
    <w:rsid w:val="003A21C7"/>
    <w:rsid w:val="003A7504"/>
    <w:rsid w:val="003B1B1F"/>
    <w:rsid w:val="003C2E0F"/>
    <w:rsid w:val="003D37A8"/>
    <w:rsid w:val="003D686F"/>
    <w:rsid w:val="003F01CB"/>
    <w:rsid w:val="003F04B0"/>
    <w:rsid w:val="003F1325"/>
    <w:rsid w:val="003F3219"/>
    <w:rsid w:val="00411B2D"/>
    <w:rsid w:val="004124C3"/>
    <w:rsid w:val="00435C19"/>
    <w:rsid w:val="00436039"/>
    <w:rsid w:val="00453530"/>
    <w:rsid w:val="00453B56"/>
    <w:rsid w:val="00460D47"/>
    <w:rsid w:val="004704A1"/>
    <w:rsid w:val="00470887"/>
    <w:rsid w:val="00484954"/>
    <w:rsid w:val="00494FFD"/>
    <w:rsid w:val="004A0689"/>
    <w:rsid w:val="004B1173"/>
    <w:rsid w:val="004C2483"/>
    <w:rsid w:val="004C3288"/>
    <w:rsid w:val="004C4A14"/>
    <w:rsid w:val="004C6A74"/>
    <w:rsid w:val="004D41E0"/>
    <w:rsid w:val="004E6844"/>
    <w:rsid w:val="004F072A"/>
    <w:rsid w:val="004F2A44"/>
    <w:rsid w:val="0050663B"/>
    <w:rsid w:val="00507903"/>
    <w:rsid w:val="00517943"/>
    <w:rsid w:val="00531043"/>
    <w:rsid w:val="00531F92"/>
    <w:rsid w:val="00556D35"/>
    <w:rsid w:val="00557718"/>
    <w:rsid w:val="005614A4"/>
    <w:rsid w:val="00561710"/>
    <w:rsid w:val="00562ED8"/>
    <w:rsid w:val="0057126F"/>
    <w:rsid w:val="00571ACE"/>
    <w:rsid w:val="00572CBD"/>
    <w:rsid w:val="005755CC"/>
    <w:rsid w:val="00581EA9"/>
    <w:rsid w:val="0058426D"/>
    <w:rsid w:val="005A07B6"/>
    <w:rsid w:val="005A161C"/>
    <w:rsid w:val="005B643B"/>
    <w:rsid w:val="005C3DEB"/>
    <w:rsid w:val="005D00A7"/>
    <w:rsid w:val="005D0AD9"/>
    <w:rsid w:val="005D1C2D"/>
    <w:rsid w:val="005E3B4A"/>
    <w:rsid w:val="0060159A"/>
    <w:rsid w:val="00611132"/>
    <w:rsid w:val="00626A93"/>
    <w:rsid w:val="00656E06"/>
    <w:rsid w:val="00665BE8"/>
    <w:rsid w:val="00680772"/>
    <w:rsid w:val="006B52D5"/>
    <w:rsid w:val="006C27D5"/>
    <w:rsid w:val="006C2D78"/>
    <w:rsid w:val="006C49CE"/>
    <w:rsid w:val="006C79F9"/>
    <w:rsid w:val="006D1EE8"/>
    <w:rsid w:val="006E05BE"/>
    <w:rsid w:val="006E797E"/>
    <w:rsid w:val="006F1A9D"/>
    <w:rsid w:val="006F4050"/>
    <w:rsid w:val="006F66CC"/>
    <w:rsid w:val="007002BB"/>
    <w:rsid w:val="0071209C"/>
    <w:rsid w:val="0071348F"/>
    <w:rsid w:val="00752DF5"/>
    <w:rsid w:val="00753B65"/>
    <w:rsid w:val="00760DE7"/>
    <w:rsid w:val="00761E0D"/>
    <w:rsid w:val="00762855"/>
    <w:rsid w:val="007649BA"/>
    <w:rsid w:val="00787C58"/>
    <w:rsid w:val="007A247A"/>
    <w:rsid w:val="007A2C8E"/>
    <w:rsid w:val="007A31DF"/>
    <w:rsid w:val="007B559C"/>
    <w:rsid w:val="007D1F7C"/>
    <w:rsid w:val="007D31C5"/>
    <w:rsid w:val="007E0AAA"/>
    <w:rsid w:val="007E2227"/>
    <w:rsid w:val="007F2258"/>
    <w:rsid w:val="0081064F"/>
    <w:rsid w:val="00815FA0"/>
    <w:rsid w:val="00833637"/>
    <w:rsid w:val="0084474D"/>
    <w:rsid w:val="0085037A"/>
    <w:rsid w:val="00857CB8"/>
    <w:rsid w:val="008865B8"/>
    <w:rsid w:val="00893F99"/>
    <w:rsid w:val="0089722A"/>
    <w:rsid w:val="008A0B2C"/>
    <w:rsid w:val="008A44AF"/>
    <w:rsid w:val="008B33C8"/>
    <w:rsid w:val="008C3778"/>
    <w:rsid w:val="008D0631"/>
    <w:rsid w:val="008D6146"/>
    <w:rsid w:val="008F01FE"/>
    <w:rsid w:val="00905908"/>
    <w:rsid w:val="00905F12"/>
    <w:rsid w:val="0091393B"/>
    <w:rsid w:val="00914C96"/>
    <w:rsid w:val="00921C20"/>
    <w:rsid w:val="00926C84"/>
    <w:rsid w:val="00927CCC"/>
    <w:rsid w:val="00947580"/>
    <w:rsid w:val="00955F5A"/>
    <w:rsid w:val="009759F7"/>
    <w:rsid w:val="009816D2"/>
    <w:rsid w:val="00986787"/>
    <w:rsid w:val="009C08BE"/>
    <w:rsid w:val="009C6DC6"/>
    <w:rsid w:val="00A0530F"/>
    <w:rsid w:val="00A06650"/>
    <w:rsid w:val="00A071F0"/>
    <w:rsid w:val="00A22AE4"/>
    <w:rsid w:val="00A347A6"/>
    <w:rsid w:val="00A3556A"/>
    <w:rsid w:val="00A636E4"/>
    <w:rsid w:val="00A636EF"/>
    <w:rsid w:val="00A733D2"/>
    <w:rsid w:val="00A87103"/>
    <w:rsid w:val="00A87B80"/>
    <w:rsid w:val="00AB776D"/>
    <w:rsid w:val="00AC1E96"/>
    <w:rsid w:val="00AE1570"/>
    <w:rsid w:val="00AE3A18"/>
    <w:rsid w:val="00AE72BB"/>
    <w:rsid w:val="00B000E4"/>
    <w:rsid w:val="00B03B50"/>
    <w:rsid w:val="00B33BF0"/>
    <w:rsid w:val="00B35A42"/>
    <w:rsid w:val="00B37F9D"/>
    <w:rsid w:val="00B4517D"/>
    <w:rsid w:val="00B53821"/>
    <w:rsid w:val="00B665A3"/>
    <w:rsid w:val="00B92C80"/>
    <w:rsid w:val="00BA3B30"/>
    <w:rsid w:val="00BC3674"/>
    <w:rsid w:val="00BC6347"/>
    <w:rsid w:val="00BC69BD"/>
    <w:rsid w:val="00BD3218"/>
    <w:rsid w:val="00BD5200"/>
    <w:rsid w:val="00BE4763"/>
    <w:rsid w:val="00BF449D"/>
    <w:rsid w:val="00BF65D5"/>
    <w:rsid w:val="00BF7AA6"/>
    <w:rsid w:val="00C01298"/>
    <w:rsid w:val="00C0408D"/>
    <w:rsid w:val="00C23286"/>
    <w:rsid w:val="00C25C01"/>
    <w:rsid w:val="00C26FDB"/>
    <w:rsid w:val="00C37259"/>
    <w:rsid w:val="00C37871"/>
    <w:rsid w:val="00C463D4"/>
    <w:rsid w:val="00C65103"/>
    <w:rsid w:val="00C66483"/>
    <w:rsid w:val="00C7153E"/>
    <w:rsid w:val="00C72191"/>
    <w:rsid w:val="00C72285"/>
    <w:rsid w:val="00C77B7E"/>
    <w:rsid w:val="00C90C12"/>
    <w:rsid w:val="00CA6634"/>
    <w:rsid w:val="00CB036E"/>
    <w:rsid w:val="00CC0FA6"/>
    <w:rsid w:val="00CD0FDC"/>
    <w:rsid w:val="00CD3225"/>
    <w:rsid w:val="00CE34AF"/>
    <w:rsid w:val="00CF5B51"/>
    <w:rsid w:val="00CF7E34"/>
    <w:rsid w:val="00D020FB"/>
    <w:rsid w:val="00D03FF6"/>
    <w:rsid w:val="00D25150"/>
    <w:rsid w:val="00D41FF8"/>
    <w:rsid w:val="00D45561"/>
    <w:rsid w:val="00D569F5"/>
    <w:rsid w:val="00D6005A"/>
    <w:rsid w:val="00D6267B"/>
    <w:rsid w:val="00D638C7"/>
    <w:rsid w:val="00D64C5E"/>
    <w:rsid w:val="00D66A40"/>
    <w:rsid w:val="00D76208"/>
    <w:rsid w:val="00D8609B"/>
    <w:rsid w:val="00DA0362"/>
    <w:rsid w:val="00DA3B1B"/>
    <w:rsid w:val="00DB70C1"/>
    <w:rsid w:val="00DB7158"/>
    <w:rsid w:val="00DC77A7"/>
    <w:rsid w:val="00DE1C83"/>
    <w:rsid w:val="00DF2FD8"/>
    <w:rsid w:val="00E04D53"/>
    <w:rsid w:val="00E16379"/>
    <w:rsid w:val="00E2064A"/>
    <w:rsid w:val="00E21405"/>
    <w:rsid w:val="00E2268A"/>
    <w:rsid w:val="00E25E17"/>
    <w:rsid w:val="00E2612B"/>
    <w:rsid w:val="00E3623A"/>
    <w:rsid w:val="00E4165E"/>
    <w:rsid w:val="00E45222"/>
    <w:rsid w:val="00E531F9"/>
    <w:rsid w:val="00E624E2"/>
    <w:rsid w:val="00E82372"/>
    <w:rsid w:val="00EB34D7"/>
    <w:rsid w:val="00EC60C6"/>
    <w:rsid w:val="00ED5203"/>
    <w:rsid w:val="00EE43CE"/>
    <w:rsid w:val="00EE4EA5"/>
    <w:rsid w:val="00EE6071"/>
    <w:rsid w:val="00EF5857"/>
    <w:rsid w:val="00F037FC"/>
    <w:rsid w:val="00F0691A"/>
    <w:rsid w:val="00F1237C"/>
    <w:rsid w:val="00F20986"/>
    <w:rsid w:val="00F20EB6"/>
    <w:rsid w:val="00F216E3"/>
    <w:rsid w:val="00F26856"/>
    <w:rsid w:val="00F30DDE"/>
    <w:rsid w:val="00F36EC3"/>
    <w:rsid w:val="00F42A4A"/>
    <w:rsid w:val="00F4516A"/>
    <w:rsid w:val="00F53C2D"/>
    <w:rsid w:val="00F66B7F"/>
    <w:rsid w:val="00F7210D"/>
    <w:rsid w:val="00F8314A"/>
    <w:rsid w:val="00F876D7"/>
    <w:rsid w:val="00F91E81"/>
    <w:rsid w:val="00F95054"/>
    <w:rsid w:val="00FC7D62"/>
    <w:rsid w:val="00FD4050"/>
    <w:rsid w:val="00FF6A37"/>
    <w:rsid w:val="02EA02BE"/>
    <w:rsid w:val="02F81E44"/>
    <w:rsid w:val="032D315A"/>
    <w:rsid w:val="034D4FEF"/>
    <w:rsid w:val="040F1E8F"/>
    <w:rsid w:val="0417317B"/>
    <w:rsid w:val="043E5B56"/>
    <w:rsid w:val="04732647"/>
    <w:rsid w:val="04CF4391"/>
    <w:rsid w:val="052D280B"/>
    <w:rsid w:val="05A625A8"/>
    <w:rsid w:val="05F504EF"/>
    <w:rsid w:val="05FE4064"/>
    <w:rsid w:val="0632759C"/>
    <w:rsid w:val="06792773"/>
    <w:rsid w:val="06F26DB4"/>
    <w:rsid w:val="079B3AE5"/>
    <w:rsid w:val="07C02047"/>
    <w:rsid w:val="08147C9D"/>
    <w:rsid w:val="084A5DB4"/>
    <w:rsid w:val="08911978"/>
    <w:rsid w:val="091F71B0"/>
    <w:rsid w:val="092A4ADF"/>
    <w:rsid w:val="099E33D8"/>
    <w:rsid w:val="0A042978"/>
    <w:rsid w:val="0A7B4867"/>
    <w:rsid w:val="0AAF134E"/>
    <w:rsid w:val="0AD0750A"/>
    <w:rsid w:val="0AE83DE6"/>
    <w:rsid w:val="0B330CF1"/>
    <w:rsid w:val="0B881E3F"/>
    <w:rsid w:val="0B8C3ECC"/>
    <w:rsid w:val="0BBA0A81"/>
    <w:rsid w:val="0C221D1D"/>
    <w:rsid w:val="0C2D57D1"/>
    <w:rsid w:val="0C7227A7"/>
    <w:rsid w:val="0D3927F2"/>
    <w:rsid w:val="0DA014E7"/>
    <w:rsid w:val="0DB32518"/>
    <w:rsid w:val="0DC42297"/>
    <w:rsid w:val="0E714607"/>
    <w:rsid w:val="0E7E2314"/>
    <w:rsid w:val="0EC3241C"/>
    <w:rsid w:val="0F3317C1"/>
    <w:rsid w:val="0F5237D2"/>
    <w:rsid w:val="0F802ABC"/>
    <w:rsid w:val="0F8333F0"/>
    <w:rsid w:val="0FA062BA"/>
    <w:rsid w:val="101326B4"/>
    <w:rsid w:val="10492164"/>
    <w:rsid w:val="106E6DC6"/>
    <w:rsid w:val="107208CF"/>
    <w:rsid w:val="1192733C"/>
    <w:rsid w:val="120C4FBF"/>
    <w:rsid w:val="12386E6F"/>
    <w:rsid w:val="129A3341"/>
    <w:rsid w:val="13442466"/>
    <w:rsid w:val="13C24A51"/>
    <w:rsid w:val="14155180"/>
    <w:rsid w:val="14221705"/>
    <w:rsid w:val="142B6836"/>
    <w:rsid w:val="14351B39"/>
    <w:rsid w:val="14863CD0"/>
    <w:rsid w:val="152A0518"/>
    <w:rsid w:val="15C26F8A"/>
    <w:rsid w:val="15F06E99"/>
    <w:rsid w:val="164948B5"/>
    <w:rsid w:val="169A7F07"/>
    <w:rsid w:val="17C4692E"/>
    <w:rsid w:val="17F631BE"/>
    <w:rsid w:val="180D092D"/>
    <w:rsid w:val="181929C9"/>
    <w:rsid w:val="18461A14"/>
    <w:rsid w:val="189866C8"/>
    <w:rsid w:val="18B0756E"/>
    <w:rsid w:val="18B9221A"/>
    <w:rsid w:val="19063631"/>
    <w:rsid w:val="1985161D"/>
    <w:rsid w:val="19B71470"/>
    <w:rsid w:val="19C01A32"/>
    <w:rsid w:val="19CC1E23"/>
    <w:rsid w:val="1A0B7381"/>
    <w:rsid w:val="1A187AC0"/>
    <w:rsid w:val="1A330456"/>
    <w:rsid w:val="1AE17EB2"/>
    <w:rsid w:val="1C043A04"/>
    <w:rsid w:val="1C0518BA"/>
    <w:rsid w:val="1C4C0424"/>
    <w:rsid w:val="1C7A04C1"/>
    <w:rsid w:val="1CC932F4"/>
    <w:rsid w:val="1CEF7619"/>
    <w:rsid w:val="1D7C4924"/>
    <w:rsid w:val="1DAF458D"/>
    <w:rsid w:val="1E677EA7"/>
    <w:rsid w:val="1EA330CC"/>
    <w:rsid w:val="1EB61656"/>
    <w:rsid w:val="1F4D3D68"/>
    <w:rsid w:val="1FED210E"/>
    <w:rsid w:val="203B0065"/>
    <w:rsid w:val="20DD6197"/>
    <w:rsid w:val="21A91B81"/>
    <w:rsid w:val="21C63C89"/>
    <w:rsid w:val="222A65E3"/>
    <w:rsid w:val="23AF0AD9"/>
    <w:rsid w:val="23BC04D2"/>
    <w:rsid w:val="23FB0802"/>
    <w:rsid w:val="24512BD2"/>
    <w:rsid w:val="25217DFA"/>
    <w:rsid w:val="255A3847"/>
    <w:rsid w:val="2576795D"/>
    <w:rsid w:val="259721E1"/>
    <w:rsid w:val="25AD6636"/>
    <w:rsid w:val="25C91C6F"/>
    <w:rsid w:val="26213859"/>
    <w:rsid w:val="2631564B"/>
    <w:rsid w:val="26752EC5"/>
    <w:rsid w:val="26795975"/>
    <w:rsid w:val="26C863CA"/>
    <w:rsid w:val="26E01966"/>
    <w:rsid w:val="26FC5D6A"/>
    <w:rsid w:val="26FF09C7"/>
    <w:rsid w:val="27345AF6"/>
    <w:rsid w:val="277C6E6D"/>
    <w:rsid w:val="277F0ACA"/>
    <w:rsid w:val="27CF2642"/>
    <w:rsid w:val="2895052E"/>
    <w:rsid w:val="29B13146"/>
    <w:rsid w:val="29ED4AAF"/>
    <w:rsid w:val="2A053397"/>
    <w:rsid w:val="2AFC79E9"/>
    <w:rsid w:val="2C8815BF"/>
    <w:rsid w:val="2CC338BC"/>
    <w:rsid w:val="2D1136DF"/>
    <w:rsid w:val="2D291579"/>
    <w:rsid w:val="2D480265"/>
    <w:rsid w:val="2DD47676"/>
    <w:rsid w:val="2DDB0E91"/>
    <w:rsid w:val="2E743C6A"/>
    <w:rsid w:val="2F015402"/>
    <w:rsid w:val="2F916B46"/>
    <w:rsid w:val="2FD27414"/>
    <w:rsid w:val="2FD45ADE"/>
    <w:rsid w:val="2FF4273A"/>
    <w:rsid w:val="301461DC"/>
    <w:rsid w:val="3086500B"/>
    <w:rsid w:val="30E07B57"/>
    <w:rsid w:val="310E568A"/>
    <w:rsid w:val="319D5866"/>
    <w:rsid w:val="31C63837"/>
    <w:rsid w:val="337F5E08"/>
    <w:rsid w:val="33CF6FEA"/>
    <w:rsid w:val="349B3370"/>
    <w:rsid w:val="3567606C"/>
    <w:rsid w:val="35743217"/>
    <w:rsid w:val="35BE5248"/>
    <w:rsid w:val="35FB19DD"/>
    <w:rsid w:val="361B360C"/>
    <w:rsid w:val="36C344B8"/>
    <w:rsid w:val="377D0BFD"/>
    <w:rsid w:val="37896CF9"/>
    <w:rsid w:val="37B163A5"/>
    <w:rsid w:val="38353194"/>
    <w:rsid w:val="3914510A"/>
    <w:rsid w:val="39A97FBD"/>
    <w:rsid w:val="3AEA5EF5"/>
    <w:rsid w:val="3B12207E"/>
    <w:rsid w:val="3B1540E8"/>
    <w:rsid w:val="3B3C07D5"/>
    <w:rsid w:val="3C745C12"/>
    <w:rsid w:val="3D2A665C"/>
    <w:rsid w:val="3D5275AC"/>
    <w:rsid w:val="3DC94AAA"/>
    <w:rsid w:val="3DC96858"/>
    <w:rsid w:val="3E3F6B1A"/>
    <w:rsid w:val="3FA9316F"/>
    <w:rsid w:val="3FEB5DEA"/>
    <w:rsid w:val="40834692"/>
    <w:rsid w:val="416A2335"/>
    <w:rsid w:val="41A84A67"/>
    <w:rsid w:val="41BD2B78"/>
    <w:rsid w:val="42913A5C"/>
    <w:rsid w:val="434F5A51"/>
    <w:rsid w:val="439B381A"/>
    <w:rsid w:val="43D97719"/>
    <w:rsid w:val="43F3098B"/>
    <w:rsid w:val="4427767B"/>
    <w:rsid w:val="44425296"/>
    <w:rsid w:val="448437A4"/>
    <w:rsid w:val="44A616A1"/>
    <w:rsid w:val="44D205B1"/>
    <w:rsid w:val="44F4368F"/>
    <w:rsid w:val="454126C2"/>
    <w:rsid w:val="454B2248"/>
    <w:rsid w:val="45833FED"/>
    <w:rsid w:val="45E16709"/>
    <w:rsid w:val="462B661A"/>
    <w:rsid w:val="463F16B9"/>
    <w:rsid w:val="46901EEE"/>
    <w:rsid w:val="469C74D2"/>
    <w:rsid w:val="47281438"/>
    <w:rsid w:val="47376A2B"/>
    <w:rsid w:val="47791D37"/>
    <w:rsid w:val="479C12D3"/>
    <w:rsid w:val="47A53BB1"/>
    <w:rsid w:val="496D4D42"/>
    <w:rsid w:val="49B933AA"/>
    <w:rsid w:val="49F963F6"/>
    <w:rsid w:val="4A6B0F8B"/>
    <w:rsid w:val="4A70354A"/>
    <w:rsid w:val="4B4C0111"/>
    <w:rsid w:val="4C72630D"/>
    <w:rsid w:val="4CFC77E5"/>
    <w:rsid w:val="4D23397E"/>
    <w:rsid w:val="4D270BA8"/>
    <w:rsid w:val="4D4759EB"/>
    <w:rsid w:val="4E1C62C5"/>
    <w:rsid w:val="4E3C6544"/>
    <w:rsid w:val="4E6414EC"/>
    <w:rsid w:val="4E8445CD"/>
    <w:rsid w:val="4F941DA8"/>
    <w:rsid w:val="4F9A0054"/>
    <w:rsid w:val="500B2EA9"/>
    <w:rsid w:val="50A62A29"/>
    <w:rsid w:val="50DB5F45"/>
    <w:rsid w:val="51462544"/>
    <w:rsid w:val="52926DE7"/>
    <w:rsid w:val="52B159A3"/>
    <w:rsid w:val="52F92565"/>
    <w:rsid w:val="532B102C"/>
    <w:rsid w:val="539A32BF"/>
    <w:rsid w:val="53B84F4D"/>
    <w:rsid w:val="540E1011"/>
    <w:rsid w:val="54E12281"/>
    <w:rsid w:val="551E5284"/>
    <w:rsid w:val="55911164"/>
    <w:rsid w:val="55CE6BE9"/>
    <w:rsid w:val="56B72612"/>
    <w:rsid w:val="575171B4"/>
    <w:rsid w:val="57E43B01"/>
    <w:rsid w:val="583059FA"/>
    <w:rsid w:val="59187682"/>
    <w:rsid w:val="593137C0"/>
    <w:rsid w:val="5999629E"/>
    <w:rsid w:val="5A8D7D9D"/>
    <w:rsid w:val="5ABB586A"/>
    <w:rsid w:val="5B4408D0"/>
    <w:rsid w:val="5BD14DFE"/>
    <w:rsid w:val="5D217AC4"/>
    <w:rsid w:val="5D6F5ADE"/>
    <w:rsid w:val="5F9C3975"/>
    <w:rsid w:val="5FA17648"/>
    <w:rsid w:val="600734E4"/>
    <w:rsid w:val="60513E90"/>
    <w:rsid w:val="607466A0"/>
    <w:rsid w:val="60BD64EB"/>
    <w:rsid w:val="60D801D1"/>
    <w:rsid w:val="61483A52"/>
    <w:rsid w:val="6177129C"/>
    <w:rsid w:val="61A46A97"/>
    <w:rsid w:val="61F1635D"/>
    <w:rsid w:val="62206ADF"/>
    <w:rsid w:val="62DD7D21"/>
    <w:rsid w:val="63005324"/>
    <w:rsid w:val="630F26B0"/>
    <w:rsid w:val="64236413"/>
    <w:rsid w:val="655D5ADE"/>
    <w:rsid w:val="65D97752"/>
    <w:rsid w:val="65ED4F2A"/>
    <w:rsid w:val="66391F1D"/>
    <w:rsid w:val="66911D59"/>
    <w:rsid w:val="66B07250"/>
    <w:rsid w:val="67B50D99"/>
    <w:rsid w:val="686C014B"/>
    <w:rsid w:val="68C34E47"/>
    <w:rsid w:val="68DB0208"/>
    <w:rsid w:val="692A3D9F"/>
    <w:rsid w:val="695011B1"/>
    <w:rsid w:val="69926A38"/>
    <w:rsid w:val="69AD798C"/>
    <w:rsid w:val="69BF098B"/>
    <w:rsid w:val="69C62985"/>
    <w:rsid w:val="69C935B8"/>
    <w:rsid w:val="6A1227E3"/>
    <w:rsid w:val="6ABF5EF0"/>
    <w:rsid w:val="6AC70EA8"/>
    <w:rsid w:val="6B655327"/>
    <w:rsid w:val="6B68175F"/>
    <w:rsid w:val="6B9C7099"/>
    <w:rsid w:val="6C085287"/>
    <w:rsid w:val="6C0D23FB"/>
    <w:rsid w:val="6C6640CF"/>
    <w:rsid w:val="6CA85897"/>
    <w:rsid w:val="6D3C20E6"/>
    <w:rsid w:val="6DB02BFC"/>
    <w:rsid w:val="6DE6616A"/>
    <w:rsid w:val="6E0F7A08"/>
    <w:rsid w:val="6F2B707F"/>
    <w:rsid w:val="703D085C"/>
    <w:rsid w:val="706E0058"/>
    <w:rsid w:val="70F70B24"/>
    <w:rsid w:val="71473612"/>
    <w:rsid w:val="7161057A"/>
    <w:rsid w:val="718F7F65"/>
    <w:rsid w:val="71BA2F54"/>
    <w:rsid w:val="738D7237"/>
    <w:rsid w:val="73F05BE5"/>
    <w:rsid w:val="73F7554E"/>
    <w:rsid w:val="73FB6630"/>
    <w:rsid w:val="741B5F93"/>
    <w:rsid w:val="74E76DCD"/>
    <w:rsid w:val="75AA10CA"/>
    <w:rsid w:val="75DD70A5"/>
    <w:rsid w:val="75F80CF3"/>
    <w:rsid w:val="761546E1"/>
    <w:rsid w:val="769A635A"/>
    <w:rsid w:val="76E00627"/>
    <w:rsid w:val="76E71522"/>
    <w:rsid w:val="770F2355"/>
    <w:rsid w:val="774B046B"/>
    <w:rsid w:val="77ED6F44"/>
    <w:rsid w:val="77F2017E"/>
    <w:rsid w:val="78D863D1"/>
    <w:rsid w:val="78F03F96"/>
    <w:rsid w:val="78FF6FF6"/>
    <w:rsid w:val="79232399"/>
    <w:rsid w:val="792C76C0"/>
    <w:rsid w:val="794D4DD4"/>
    <w:rsid w:val="796E7CD8"/>
    <w:rsid w:val="7A121319"/>
    <w:rsid w:val="7A67777E"/>
    <w:rsid w:val="7A902BE2"/>
    <w:rsid w:val="7AEA5A84"/>
    <w:rsid w:val="7B34797E"/>
    <w:rsid w:val="7C3E50B0"/>
    <w:rsid w:val="7C7B7C1A"/>
    <w:rsid w:val="7CF95B0B"/>
    <w:rsid w:val="7DC66335"/>
    <w:rsid w:val="7E663674"/>
    <w:rsid w:val="7E8D3147"/>
    <w:rsid w:val="7EC565EC"/>
    <w:rsid w:val="7F985AAF"/>
    <w:rsid w:val="7F9F508F"/>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annotation reference"/>
    <w:basedOn w:val="12"/>
    <w:qFormat/>
    <w:uiPriority w:val="0"/>
    <w:rPr>
      <w:sz w:val="21"/>
      <w:szCs w:val="21"/>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6">
    <w:name w:val="WPSOffice手动目录 1"/>
    <w:qFormat/>
    <w:uiPriority w:val="0"/>
    <w:rPr>
      <w:rFonts w:ascii="Times New Roman" w:hAnsi="Times New Roman" w:eastAsia="宋体" w:cs="Times New Roman"/>
      <w:lang w:val="en-US" w:eastAsia="zh-CN" w:bidi="ug-CN"/>
    </w:rPr>
  </w:style>
  <w:style w:type="character" w:customStyle="1" w:styleId="17">
    <w:name w:val="批注框文本 字符"/>
    <w:basedOn w:val="12"/>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24</Pages>
  <Words>8746</Words>
  <Characters>9885</Characters>
  <Lines>197</Lines>
  <Paragraphs>55</Paragraphs>
  <TotalTime>23</TotalTime>
  <ScaleCrop>false</ScaleCrop>
  <LinksUpToDate>false</LinksUpToDate>
  <CharactersWithSpaces>9957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2024-11-29T09:42:45Z</dcterms:modified>
  <cp:revision>244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450F969ACD1B426EA23123C3601580AE_13</vt:lpwstr>
  </property>
</Properties>
</file>