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bookmarkStart w:id="0" w:name="_GoBack"/>
      <w:bookmarkEnd w:id="0"/>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lang w:eastAsia="zh-CN"/>
        </w:rPr>
        <w:t>阿克陶</w:t>
      </w:r>
      <w:r>
        <w:rPr>
          <w:rFonts w:hint="default" w:ascii="Times New Roman" w:hAnsi="Times New Roman" w:eastAsia="方正小标宋_GBK" w:cs="Times New Roman"/>
          <w:b w:val="0"/>
          <w:bCs/>
          <w:color w:val="auto"/>
          <w:sz w:val="44"/>
          <w:szCs w:val="44"/>
          <w:highlight w:val="none"/>
        </w:rPr>
        <w:t>县</w:t>
      </w:r>
      <w:r>
        <w:rPr>
          <w:rFonts w:hint="default" w:ascii="Times New Roman" w:hAnsi="Times New Roman" w:eastAsia="方正小标宋_GBK" w:cs="Times New Roman"/>
          <w:b w:val="0"/>
          <w:bCs/>
          <w:color w:val="auto"/>
          <w:sz w:val="44"/>
          <w:szCs w:val="44"/>
          <w:highlight w:val="none"/>
          <w:lang w:val="en-US" w:eastAsia="zh-CN"/>
        </w:rPr>
        <w:t>2025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val="en-US" w:eastAsia="zh-CN"/>
        </w:rPr>
        <w:t>巩固拓展</w:t>
      </w:r>
      <w:r>
        <w:rPr>
          <w:rFonts w:hint="default" w:ascii="Times New Roman" w:hAnsi="Times New Roman" w:eastAsia="方正小标宋_GBK" w:cs="Times New Roman"/>
          <w:b w:val="0"/>
          <w:bCs/>
          <w:color w:val="auto"/>
          <w:sz w:val="44"/>
          <w:szCs w:val="44"/>
          <w:highlight w:val="none"/>
          <w:lang w:eastAsia="zh-CN"/>
        </w:rPr>
        <w:t>脱贫</w:t>
      </w:r>
      <w:r>
        <w:rPr>
          <w:rFonts w:hint="default" w:ascii="Times New Roman" w:hAnsi="Times New Roman" w:eastAsia="方正小标宋_GBK" w:cs="Times New Roman"/>
          <w:b w:val="0"/>
          <w:bCs/>
          <w:color w:val="auto"/>
          <w:sz w:val="44"/>
          <w:szCs w:val="44"/>
          <w:highlight w:val="none"/>
          <w:lang w:val="en-US" w:eastAsia="zh-CN"/>
        </w:rPr>
        <w:t>攻坚成果同乡村振兴</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储备</w:t>
      </w:r>
      <w:r>
        <w:rPr>
          <w:rFonts w:hint="default" w:ascii="Times New Roman" w:hAnsi="Times New Roman" w:eastAsia="方正小标宋_GBK" w:cs="Times New Roman"/>
          <w:b w:val="0"/>
          <w:bCs/>
          <w:color w:val="auto"/>
          <w:sz w:val="44"/>
          <w:szCs w:val="44"/>
          <w:highlight w:val="none"/>
          <w:lang w:eastAsia="zh-CN"/>
        </w:rPr>
        <w:t>库（</w:t>
      </w:r>
      <w:r>
        <w:rPr>
          <w:rFonts w:hint="default" w:ascii="Times New Roman" w:hAnsi="Times New Roman" w:eastAsia="方正小标宋_GBK" w:cs="Times New Roman"/>
          <w:b w:val="0"/>
          <w:bCs/>
          <w:color w:val="auto"/>
          <w:sz w:val="44"/>
          <w:szCs w:val="44"/>
          <w:highlight w:val="none"/>
          <w:lang w:val="en-US" w:eastAsia="zh-CN"/>
        </w:rPr>
        <w:t>动态调整</w:t>
      </w:r>
      <w:r>
        <w:rPr>
          <w:rFonts w:hint="default" w:ascii="Times New Roman" w:hAnsi="Times New Roman" w:eastAsia="方正小标宋_GBK" w:cs="Times New Roman"/>
          <w:b w:val="0"/>
          <w:bCs/>
          <w:color w:val="auto"/>
          <w:sz w:val="44"/>
          <w:szCs w:val="44"/>
          <w:highlight w:val="none"/>
          <w:lang w:eastAsia="zh-CN"/>
        </w:rPr>
        <w:t>）、计划库（年度计划）、</w:t>
      </w:r>
      <w:r>
        <w:rPr>
          <w:rFonts w:hint="default" w:ascii="Times New Roman" w:hAnsi="Times New Roman" w:eastAsia="方正小标宋_GBK" w:cs="Times New Roman"/>
          <w:b w:val="0"/>
          <w:bCs/>
          <w:color w:val="auto"/>
          <w:sz w:val="44"/>
          <w:szCs w:val="44"/>
          <w:highlight w:val="none"/>
          <w:lang w:val="en-US" w:eastAsia="zh-CN"/>
        </w:rPr>
        <w:t>执行库的</w:t>
      </w:r>
      <w:r>
        <w:rPr>
          <w:rFonts w:hint="default" w:ascii="Times New Roman" w:hAnsi="Times New Roman" w:eastAsia="方正小标宋_GBK" w:cs="Times New Roman"/>
          <w:b w:val="0"/>
          <w:bCs/>
          <w:color w:val="auto"/>
          <w:sz w:val="44"/>
          <w:szCs w:val="44"/>
          <w:highlight w:val="none"/>
        </w:rPr>
        <w:t>实施方案</w:t>
      </w:r>
    </w:p>
    <w:p>
      <w:pPr>
        <w:keepNext w:val="0"/>
        <w:keepLines w:val="0"/>
        <w:pageBreakBefore w:val="0"/>
        <w:kinsoku/>
        <w:wordWrap/>
        <w:overflowPunct/>
        <w:topLinePunct w:val="0"/>
        <w:bidi w:val="0"/>
        <w:snapToGrid/>
        <w:spacing w:line="56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关于进一步做好县级巩固拓展脱贫攻坚成果和乡村振兴项目库建设管理工作的通知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号）《关于2024年推动产业帮扶精准到户 促进农民持续增收有关工作的通知》（新财振〔2024〕6号）《关于进一步优化脱贫人口和监测对象外出务工一次性交通补助发放工作的通知》（新农帮扶函〔2024〕611号）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坚持以习近平新时代中国特色社会主义思想为指导，全面贯彻落实党的二十大和二十届三中全会精神，深入贯彻习近平总书记关于“三农”工作的重要论述，贯彻落实《中共中央 国务院关于进一步深化农村改革扎实推进乡村全面振兴的意见》文件精神，贯彻落实第三次中央新疆工作座谈会精神，完整准确</w:t>
      </w:r>
      <w:r>
        <w:rPr>
          <w:rFonts w:hint="eastAsia"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lang w:val="en-US" w:eastAsia="zh-CN"/>
        </w:rPr>
        <w:t>贯彻新时代党的治疆方略。充分利用项目自主审批权限，加大资金投入力度，优化使用机制，提高配置效率，创新方式方法，形成全方位帮扶合力，切实巩固拓展脱贫攻坚成果和乡村振兴的有效衔接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资金</w:t>
      </w:r>
      <w:r>
        <w:rPr>
          <w:rFonts w:hint="default" w:ascii="Times New Roman" w:hAnsi="Times New Roman" w:eastAsia="楷体_GB2312" w:cs="Times New Roman"/>
          <w:b/>
          <w:bCs/>
          <w:color w:val="auto"/>
          <w:sz w:val="32"/>
          <w:szCs w:val="32"/>
          <w:lang w:eastAsia="zh-CN"/>
        </w:rPr>
        <w:t>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1.项目资金的计划下达；</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2.项目质量进度督促检查；</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仿宋_GB2312" w:cs="Times New Roman"/>
          <w:color w:val="auto"/>
          <w:kern w:val="0"/>
          <w:sz w:val="32"/>
          <w:szCs w:val="32"/>
          <w:highlight w:val="none"/>
          <w:lang w:val="en-US" w:eastAsia="zh-CN"/>
        </w:rPr>
        <w:t>3.项目竣工验收。</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）项目主管单位职责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1.《项目实施方案》的评审及批复；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2.项目前期资料的审核批复；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3.项目质量进度督促检查；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4.项目竣工验收；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5.工程造价审计（委托第三方机构进行审计）。</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（三）项目建设单位职责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1.制定《项目可行性研究报告》《初步设计方案》《项目实施方案》；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2.项目的招投标；</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3.项目合同订立；</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4.委托项目监理;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5.项目监督检查；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6.项目资金结付；</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7.对项目自查；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8.竣工申请。</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（四）项目实施单位职责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highlight w:val="none"/>
          <w:lang w:val="en-US" w:eastAsia="zh-CN"/>
        </w:rPr>
        <w:t>项目使</w:t>
      </w:r>
      <w:r>
        <w:rPr>
          <w:rFonts w:hint="default" w:ascii="Times New Roman" w:hAnsi="Times New Roman" w:eastAsia="楷体_GB2312" w:cs="Times New Roman"/>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6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）阿克陶县2025年巩固拓展脱贫攻坚成果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eastAsia="zh-CN"/>
        </w:rPr>
        <w:t>乡村振兴项目储备库共1</w:t>
      </w:r>
      <w:r>
        <w:rPr>
          <w:rFonts w:hint="default" w:ascii="Times New Roman" w:hAnsi="Times New Roman" w:eastAsia="楷体_GB2312" w:cs="Times New Roman"/>
          <w:b/>
          <w:bCs/>
          <w:color w:val="auto"/>
          <w:sz w:val="32"/>
          <w:szCs w:val="32"/>
          <w:highlight w:val="none"/>
          <w:lang w:val="en-US" w:eastAsia="zh-CN"/>
        </w:rPr>
        <w:t>29</w:t>
      </w:r>
      <w:r>
        <w:rPr>
          <w:rFonts w:hint="default" w:ascii="Times New Roman" w:hAnsi="Times New Roman" w:eastAsia="楷体_GB2312" w:cs="Times New Roman"/>
          <w:b/>
          <w:bCs/>
          <w:color w:val="auto"/>
          <w:sz w:val="32"/>
          <w:szCs w:val="32"/>
          <w:highlight w:val="none"/>
          <w:lang w:eastAsia="zh-CN"/>
        </w:rPr>
        <w:t>个项目，计划投资</w:t>
      </w:r>
      <w:r>
        <w:rPr>
          <w:rFonts w:hint="default" w:ascii="Times New Roman" w:hAnsi="Times New Roman" w:eastAsia="仿宋_GB2312" w:cs="Times New Roman"/>
          <w:b/>
          <w:bCs/>
          <w:color w:val="auto"/>
          <w:sz w:val="32"/>
          <w:szCs w:val="32"/>
          <w:highlight w:val="none"/>
          <w:lang w:eastAsia="zh-CN"/>
        </w:rPr>
        <w:t>249502.788703</w:t>
      </w:r>
      <w:r>
        <w:rPr>
          <w:rFonts w:hint="default" w:ascii="Times New Roman" w:hAnsi="Times New Roman" w:eastAsia="楷体_GB2312" w:cs="Times New Roman"/>
          <w:b/>
          <w:bCs/>
          <w:color w:val="auto"/>
          <w:sz w:val="32"/>
          <w:szCs w:val="32"/>
          <w:highlight w:val="none"/>
          <w:lang w:eastAsia="zh-CN"/>
        </w:rPr>
        <w:t>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1.产业发展76个项目，计划投资146329.627万元，投资占比58.63%。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生产项目43个项目，计划投资40417.307万元，其中：种植业基地15个项目，建设规模46720亩/座，计划投资21442.787万元；养殖业基地15个项目，建设规模25831座/头/米，计划投资10853.6万元；林草基地建设4个项目，建设规模49829亩，计划投资3158.42万元；休闲农业与乡村旅游9个项目，建设规模5382个，计划投资4962.5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（3）加工流通项目5个项目，计划投资1497万元，其中：产地初加工和精深加工4个项目，建设规模5座/个，计划投资1107万元；品牌打造和展销平台1个项目，建设规模1个，计划投资390万元；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4）配套基础设施项目23个项目，计划投资91127.46万元，其中：小型农田水利设施建设(排碱渠、节水灌溉、防渗渠建设、其它乡村振兴有关的农田水利建设)16个项目，建设规模3059.517公里/万立方米，计划投资90346.46万元；其他（合作社补助、壮大村集体经济）7个项目，建设规模8个，计划投资781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2.就业项目1个项目，计划投资1200万元，投资占比0.5%。</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3.乡村建设行动39个项目，计划投资50440.639703万元，投资占比20.22%。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农村基础设施（含产业基础设施配套）24个项目，计划投资30393.56万元，其中：农村道路（县乡之间、乡乡之间、乡村之间及其沿线管理、服务等附属设施；道路安全生命防护工程、危旧桥梁改造；乡级客货运输站场、招呼站；村内道路、通户路等）13个项目，建设规模130.227公里/座，计划投资21897万元；产业路、资源路、旅游路建设2个项目，建设规模11.9公里，计划投资540万元；农村清洁能源设施（燃气、户用光伏、风电、水电、农村生物质能源、北方地区清洁取暖等）3个项目，建设规模3座，计划投资1900万元；其他（防洪工程、排碱渠、渠道清淤、草原配套设施）6个项目，建设规模36.917公里，计划投资6056.56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人居环境整治10个项目，计划投资4943.85万元，其中：农村污水治理5个项目，建设规模18.13套，计划投资2523.85万元；农村垃圾治理2个项目，建设规模5座，计划投资1250万元；村容村貌提升3个项目，建设规模17.2公里，计划投资1170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4.巩固三保障成果12个项目，计划投资51483.13万元，投资占比20.63%。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（2）饮水11个项目，计划投资49683.13万元，其中：农村饮水安全巩固提升11个项目，建设规模25座/公里，计划投资49683.13万元；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5.其他1个项目，计划投资49.392万元，投资占比0.02%。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阿克陶县2025年巩固拓展脱贫攻坚成果同乡村振兴项目计划库（年度计划）共88个项目，计划投资80816.918703万元,其中：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1.产业发展54个项目，计划投资49433.447万元，投资占比61.2%。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28个项目，计划投资27654.807万元，其中：种植业基地11个项目，建设规模35960亩/座，计划投资16364.787万元；养殖业基地12个项目，建设规模25621座/头/米，计划投资8703.6万元；林草基地建设1个项目，建设规模44482亩，计划投资908.42万元；休闲农业与乡村旅游4个项目，建设规模4个，计划投资1678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（3）加工流通项目4个项目，计划投资1147万元，其中：产地初加工和精深加工3个项目，建设规模4座，计划投资757万元；品牌打造和展销平台1个项目，建设规模1个，计划投资390万元；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17个项目，计划投资7343.78万元，其中：小型农田水利设施建设(排碱渠、节水灌溉、防渗渠建设、其它乡村振兴有关的农田水利建设)11个项目，建设规模1025.117公里/万立方米，计划投资6762.78万元；其他（合作社补助、壮大村集体经济）6个项目，建设规模7个，计划投资581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2.就业项目1个项目，计划投资1200万元，投资占比1.48%。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3.乡村建设行动24个项目，计划投资26089.079703万元，投资占比32.26%。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13个项目，计划投资8132万元，其中：农村道路（县乡之间、乡乡之间、乡村之间及其沿线管理、服务等附属设施；道路安全生命防护工程、危旧桥梁改造；乡级客货运输站场、招呼站；村内道路、通户路等）6个项目，建设规模46.514公里/座，计划投资3862万元；产业路、资源路、旅游路建设1个项目，建设规模2.2公里，计划投资150万元；农村清洁能源设施（燃气、户用光伏、风电、水电、农村生物质能源、北方地区清洁取暖等）3个项目，建设规模3座，计划投资1900万元；其他（防洪工程、排碱渠、渠道清淤、草原配套设施）3个项目，建设规模30.1公里，计划投资2220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（2）人居环境整治6个项目，计划投资2853.85万元，其中：农村污水治理4个项目，建设规模13.83套，计划投资2073.85万元；村容村貌提升2个项目，建设规模10.2公里，计划投资780万元；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4.巩固三保障成果8个项目，计划投资4045万元，投资占比5%。</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（2）饮水7个项目，计划投资2245万元，其中：农村饮水安全巩固提升7个项目，建设规模17座/公里，计划投资2245万元；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5.其他1个项目，计划投资49.392万元，投资占比0.06%。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阿克陶县2025年巩固拓展脱贫攻坚成果同乡村振兴项目执行库共62个项目，计划投资54791.151703万元,其中：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1.产业发展40个项目，计划投资35222.43万元，投资占比64.3%。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22个项目，计划投资17978.3万元，其中：种植业基地6个项目，建设规模8140亩/座，计划投资7086.28万元；养殖业基地12个项目，建设规模25621座/头/米，计划投资8703.6万元；林草基地建设1个项目，建设规模44482亩，计划投资908.42万元；休闲农业与乡村旅游3个项目，建设规模3个，计划投资1280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（3）加工流通项目2个项目，计划投资665万元，其中：产地初加工和精深加工1个项目，建设规模1座，计划投资275万元；品牌打造和展销平台1个项目，建设规模1个，计划投资390万元；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11个项目，计划投资3291.27万元，其中：小型农田水利设施建设(排碱渠、节水灌溉、防渗渠建设、其它乡村振兴有关的农田水利建设)6个项目，建设规模989.003公里/万立方米，计划投资2812.27万元；其他（合作社补助、壮大村集体经济）5个项目，建设规模6个，计划投资479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2.就业项目1个项目，计划投资1200万元，投资占比2.2%。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3.乡村建设行动14个项目，计划投资15740.229703万元，投资占比28.7%。</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7个项目，计划投资3657万元，其中：农村道路（县乡之间、乡乡之间、乡村之间及其沿线管理、服务等附属设施；道路安全生命防护工程、危旧桥梁改造；乡级客货运输站场、招呼站；村内道路、通户路等）4个项目，建设规模18.214公里/座，计划投资1757万元；农村清洁能源设施（燃气、户用光伏、风电、水电、农村生物质能源、北方地区清洁取暖等）3个项目，建设规模3座，计划投资1900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（2）人居环境整治3个项目，计划投资1980万元，其中：农村污水治理1个项目，建设规模6套，计划投资1200万元；村容村貌提升2个项目，建设规模10.2公里，计划投资780万元；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（3）农村公共服务4个项目，计划投资10103.229703万元，其中：开展县乡村公共服务一体化示范创建4个项目，建设规模4个，计划投资10103.229703万元；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4.巩固三保障成果6个项目，计划投资2579.1万元，投资占比4.7%。</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（2）饮水5个项目，计划投资779.1万元，其中：农村饮水安全巩固提升5个项目，建设规模5座/公里，计划投资779.1万元；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（一）</w:t>
      </w:r>
      <w:r>
        <w:rPr>
          <w:rFonts w:hint="default" w:ascii="Times New Roman" w:hAnsi="Times New Roman" w:eastAsia="楷体_GB2312" w:cs="Times New Roman"/>
          <w:b/>
          <w:bCs/>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w:t>
      </w:r>
      <w:r>
        <w:rPr>
          <w:rFonts w:hint="default" w:ascii="Times New Roman" w:hAnsi="Times New Roman" w:eastAsia="仿宋_GB2312" w:cs="Times New Roman"/>
          <w:color w:val="auto"/>
          <w:sz w:val="32"/>
          <w:szCs w:val="32"/>
          <w:highlight w:val="none"/>
          <w:lang w:val="en-US" w:eastAsia="zh-CN"/>
        </w:rPr>
        <w:t>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（二）</w:t>
      </w:r>
      <w:r>
        <w:rPr>
          <w:rFonts w:hint="default" w:ascii="Times New Roman" w:hAnsi="Times New Roman" w:eastAsia="楷体_GB2312" w:cs="Times New Roman"/>
          <w:b/>
          <w:bCs/>
          <w:color w:val="auto"/>
          <w:sz w:val="32"/>
          <w:szCs w:val="32"/>
          <w:highlight w:val="none"/>
          <w:lang w:val="zh-CN" w:eastAsia="zh-CN"/>
        </w:rPr>
        <w:t>未进入县级巩固拓展脱贫攻坚成果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乡村振兴项目库的项目，不得安排使用财政衔接资金，确与巩固拓展脱贫攻坚成果</w:t>
      </w:r>
      <w:r>
        <w:rPr>
          <w:rFonts w:hint="default" w:ascii="Times New Roman" w:hAnsi="Times New Roman" w:eastAsia="楷体_GB2312" w:cs="Times New Roman"/>
          <w:b/>
          <w:bCs/>
          <w:color w:val="auto"/>
          <w:sz w:val="32"/>
          <w:szCs w:val="32"/>
          <w:highlight w:val="none"/>
          <w:lang w:val="en-US" w:eastAsia="zh-CN"/>
        </w:rPr>
        <w:t>和</w:t>
      </w:r>
      <w:r>
        <w:rPr>
          <w:rFonts w:hint="default" w:ascii="Times New Roman" w:hAnsi="Times New Roman" w:eastAsia="楷体_GB2312" w:cs="Times New Roman"/>
          <w:b/>
          <w:bCs/>
          <w:color w:val="auto"/>
          <w:sz w:val="32"/>
          <w:szCs w:val="32"/>
          <w:highlight w:val="none"/>
          <w:lang w:val="zh-CN" w:eastAsia="zh-CN"/>
        </w:rPr>
        <w:t>乡村振兴有效衔接密切相关、亟需支持的项目，要按规定程序进入项目库后再批准实施。</w:t>
      </w:r>
      <w:r>
        <w:rPr>
          <w:rFonts w:hint="default" w:ascii="Times New Roman" w:hAnsi="Times New Roman" w:eastAsia="仿宋_GB2312" w:cs="Times New Roman"/>
          <w:color w:val="auto"/>
          <w:sz w:val="32"/>
          <w:szCs w:val="32"/>
          <w:highlight w:val="none"/>
          <w:lang w:val="zh-CN" w:eastAsia="zh-CN"/>
        </w:rPr>
        <w:t>凡使用财政衔接资金的项目，必须从县级巩固拓展脱贫攻坚成果</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lang w:val="zh-CN" w:eastAsia="zh-CN"/>
        </w:rPr>
        <w:t>乡村振兴项目库中选择。</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（三）</w:t>
      </w:r>
      <w:r>
        <w:rPr>
          <w:rFonts w:hint="default" w:ascii="Times New Roman" w:hAnsi="Times New Roman" w:eastAsia="楷体_GB2312" w:cs="Times New Roman"/>
          <w:b/>
          <w:bCs/>
          <w:color w:val="auto"/>
          <w:sz w:val="32"/>
          <w:szCs w:val="32"/>
          <w:highlight w:val="none"/>
          <w:lang w:val="zh-CN" w:eastAsia="zh-CN"/>
        </w:rPr>
        <w:t>项目严格按照批复组织施工。</w:t>
      </w:r>
      <w:r>
        <w:rPr>
          <w:rFonts w:hint="default" w:ascii="Times New Roman" w:hAnsi="Times New Roman" w:eastAsia="仿宋_GB2312" w:cs="Times New Roman"/>
          <w:color w:val="auto"/>
          <w:sz w:val="32"/>
          <w:szCs w:val="32"/>
          <w:highlight w:val="none"/>
          <w:lang w:val="zh-CN" w:eastAsia="zh-CN"/>
        </w:rPr>
        <w:t>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w:t>
      </w:r>
      <w:r>
        <w:rPr>
          <w:rFonts w:hint="default" w:ascii="Times New Roman" w:hAnsi="Times New Roman" w:eastAsia="仿宋_GB2312" w:cs="Times New Roman"/>
          <w:color w:val="auto"/>
          <w:sz w:val="32"/>
          <w:szCs w:val="32"/>
          <w:highlight w:val="none"/>
          <w:lang w:val="en-US" w:eastAsia="zh-CN"/>
        </w:rPr>
        <w:t>衔接资金</w:t>
      </w:r>
      <w:r>
        <w:rPr>
          <w:rFonts w:hint="default" w:ascii="Times New Roman" w:hAnsi="Times New Roman" w:eastAsia="仿宋_GB2312" w:cs="Times New Roman"/>
          <w:color w:val="auto"/>
          <w:sz w:val="32"/>
          <w:szCs w:val="32"/>
          <w:highlight w:val="none"/>
          <w:lang w:val="zh-CN" w:eastAsia="zh-CN"/>
        </w:rPr>
        <w:t>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（四）</w:t>
      </w:r>
      <w:r>
        <w:rPr>
          <w:rFonts w:hint="default" w:ascii="Times New Roman" w:hAnsi="Times New Roman" w:eastAsia="楷体_GB2312" w:cs="Times New Roman"/>
          <w:b/>
          <w:bCs/>
          <w:color w:val="auto"/>
          <w:sz w:val="32"/>
          <w:szCs w:val="32"/>
          <w:highlight w:val="none"/>
          <w:lang w:val="zh-CN" w:eastAsia="zh-CN"/>
        </w:rPr>
        <w:t>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w:t>
      </w:r>
      <w:r>
        <w:rPr>
          <w:rFonts w:hint="default" w:ascii="Times New Roman" w:hAnsi="Times New Roman" w:eastAsia="楷体_GB2312" w:cs="Times New Roman"/>
          <w:b/>
          <w:bCs/>
          <w:color w:val="auto"/>
          <w:sz w:val="32"/>
          <w:szCs w:val="32"/>
          <w:highlight w:val="none"/>
          <w:lang w:val="en-US" w:eastAsia="zh-CN"/>
        </w:rPr>
        <w:t>资金</w:t>
      </w:r>
      <w:r>
        <w:rPr>
          <w:rFonts w:hint="default" w:ascii="Times New Roman" w:hAnsi="Times New Roman" w:eastAsia="楷体_GB2312" w:cs="Times New Roman"/>
          <w:b/>
          <w:bCs/>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楷体_GB2312" w:cs="Times New Roman"/>
          <w:b/>
          <w:bCs/>
          <w:color w:val="auto"/>
          <w:sz w:val="32"/>
          <w:szCs w:val="32"/>
          <w:highlight w:val="none"/>
          <w:lang w:eastAsia="zh-CN"/>
        </w:rPr>
        <w:t>（五）</w:t>
      </w:r>
      <w:r>
        <w:rPr>
          <w:rFonts w:hint="default" w:ascii="Times New Roman" w:hAnsi="Times New Roman" w:eastAsia="楷体_GB2312" w:cs="Times New Roman"/>
          <w:b/>
          <w:bCs/>
          <w:color w:val="auto"/>
          <w:sz w:val="32"/>
          <w:szCs w:val="32"/>
          <w:highlight w:val="none"/>
          <w:lang w:val="en-US" w:eastAsia="zh-CN"/>
        </w:rPr>
        <w:t>严格监督检查项目实施全过程。</w:t>
      </w:r>
      <w:r>
        <w:rPr>
          <w:rFonts w:hint="default" w:ascii="Times New Roman" w:hAnsi="Times New Roman" w:eastAsia="仿宋_GB2312" w:cs="Times New Roman"/>
          <w:color w:val="auto"/>
          <w:sz w:val="32"/>
          <w:szCs w:val="32"/>
          <w:highlight w:val="none"/>
          <w:lang w:val="en-US" w:eastAsia="zh-CN"/>
        </w:rPr>
        <w:t>要加强对项目实施的指导及项目资金使用的监管。项目竣工后，项目实施单位要认真进行自查，按照“一项目一档案”的要求，扎实做好档案的搜集整理工作。</w:t>
      </w:r>
    </w:p>
    <w:p>
      <w:pPr>
        <w:pStyle w:val="2"/>
        <w:keepNext w:val="0"/>
        <w:keepLines w:val="0"/>
        <w:pageBreakBefore w:val="0"/>
        <w:kinsoku/>
        <w:wordWrap/>
        <w:overflowPunct/>
        <w:topLinePunct w:val="0"/>
        <w:bidi w:val="0"/>
        <w:snapToGrid/>
        <w:spacing w:line="540" w:lineRule="exact"/>
        <w:ind w:firstLine="626"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（六）严格按照项目竣工验收程序组织验收。</w:t>
      </w:r>
      <w:r>
        <w:rPr>
          <w:rFonts w:hint="default" w:ascii="Times New Roman" w:hAnsi="Times New Roman" w:cs="Times New Roman"/>
          <w:color w:val="auto"/>
          <w:sz w:val="32"/>
          <w:szCs w:val="32"/>
          <w:highlight w:val="none"/>
          <w:lang w:val="en-US" w:eastAsia="zh-CN"/>
        </w:rPr>
        <w:t>按照“谁审批、谁验收”的原则，项目建设单位应于项目完工并自验后10日内，向县级项目竣工验收评价工作领导小组</w:t>
      </w:r>
      <w:r>
        <w:rPr>
          <w:rFonts w:hint="default" w:ascii="Times New Roman" w:hAnsi="Times New Roman" w:cs="Times New Roman"/>
          <w:color w:val="auto"/>
          <w:sz w:val="30"/>
          <w:szCs w:val="30"/>
          <w:highlight w:val="none"/>
          <w:lang w:val="en-US" w:eastAsia="zh-CN"/>
        </w:rPr>
        <w:t>（由县分管领导任组长，成员主要从农业农村、财政、发改、民委、林草等部门抽调）</w:t>
      </w:r>
      <w:r>
        <w:rPr>
          <w:rFonts w:hint="default" w:ascii="Times New Roman" w:hAnsi="Times New Roman" w:cs="Times New Roman"/>
          <w:color w:val="auto"/>
          <w:sz w:val="32"/>
          <w:szCs w:val="32"/>
          <w:highlight w:val="none"/>
          <w:lang w:val="en-US" w:eastAsia="zh-CN"/>
        </w:rPr>
        <w:t>提交竣工验收申请报告（详见附件5）；县级项目竣工验收评价工作领导小组收到竣工验收报告后20日内，严格按照批复的项目计划文件、实施方案以及合同（协议）等组织开展竣工验收，并向项目建设单位出具竣工验收报告（详见附件6）。</w:t>
      </w:r>
    </w:p>
    <w:p>
      <w:pPr>
        <w:pStyle w:val="2"/>
        <w:keepNext w:val="0"/>
        <w:keepLines w:val="0"/>
        <w:pageBreakBefore w:val="0"/>
        <w:kinsoku/>
        <w:wordWrap/>
        <w:overflowPunct/>
        <w:topLinePunct w:val="0"/>
        <w:bidi w:val="0"/>
        <w:snapToGrid/>
        <w:spacing w:line="560" w:lineRule="exact"/>
        <w:ind w:firstLine="626" w:firstLineChars="200"/>
        <w:textAlignment w:val="auto"/>
        <w:rPr>
          <w:rFonts w:hint="default" w:ascii="Times New Roman" w:hAnsi="Times New Roman" w:cs="Times New Roman"/>
          <w:lang w:val="en-US" w:eastAsia="zh-CN"/>
        </w:rPr>
      </w:pPr>
    </w:p>
    <w:sectPr>
      <w:headerReference r:id="rId5" w:type="default"/>
      <w:footerReference r:id="rId6" w:type="default"/>
      <w:pgSz w:w="11901" w:h="16834"/>
      <w:pgMar w:top="2098" w:right="1587" w:bottom="1984" w:left="1531"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35D3252-06F3-46DA-A43B-174A3A5029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B5CE094-8569-4F90-AD20-7DE7C1B61ACF}"/>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3" w:fontKey="{5A0ACFA2-7782-4A3D-A8EA-A59A41925833}"/>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7C5832AF-E45B-450E-B7B6-7DDE15840160}"/>
  </w:font>
  <w:font w:name="楷体_GB2312">
    <w:panose1 w:val="02010609030101010101"/>
    <w:charset w:val="86"/>
    <w:family w:val="auto"/>
    <w:pitch w:val="default"/>
    <w:sig w:usb0="00000001" w:usb1="080E0000" w:usb2="00000000" w:usb3="00000000" w:csb0="00040000" w:csb1="00000000"/>
    <w:embedRegular r:id="rId5" w:fontKey="{AAB90E6E-2CBE-43E9-A2C9-C681B83F85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A45240"/>
    <w:rsid w:val="01CF6BA4"/>
    <w:rsid w:val="01F8585D"/>
    <w:rsid w:val="01F93368"/>
    <w:rsid w:val="02063FE0"/>
    <w:rsid w:val="021563B1"/>
    <w:rsid w:val="02217B5C"/>
    <w:rsid w:val="026C327A"/>
    <w:rsid w:val="02890D36"/>
    <w:rsid w:val="029E30EC"/>
    <w:rsid w:val="02BE378E"/>
    <w:rsid w:val="02E122B8"/>
    <w:rsid w:val="02F70F49"/>
    <w:rsid w:val="03410215"/>
    <w:rsid w:val="037D0349"/>
    <w:rsid w:val="03821244"/>
    <w:rsid w:val="038D2B62"/>
    <w:rsid w:val="03D47809"/>
    <w:rsid w:val="043D40D0"/>
    <w:rsid w:val="04664A43"/>
    <w:rsid w:val="04DF6255"/>
    <w:rsid w:val="04F9580D"/>
    <w:rsid w:val="04F964D3"/>
    <w:rsid w:val="05097AD0"/>
    <w:rsid w:val="05726DCA"/>
    <w:rsid w:val="05E05D63"/>
    <w:rsid w:val="05EE437C"/>
    <w:rsid w:val="062D05D7"/>
    <w:rsid w:val="06393F14"/>
    <w:rsid w:val="064F2365"/>
    <w:rsid w:val="06A350B4"/>
    <w:rsid w:val="06CB7781"/>
    <w:rsid w:val="06E17413"/>
    <w:rsid w:val="075E2523"/>
    <w:rsid w:val="07DF75F9"/>
    <w:rsid w:val="081E7972"/>
    <w:rsid w:val="0851745D"/>
    <w:rsid w:val="08553597"/>
    <w:rsid w:val="085C2E7C"/>
    <w:rsid w:val="08842082"/>
    <w:rsid w:val="08AE69CD"/>
    <w:rsid w:val="090962A8"/>
    <w:rsid w:val="091B377D"/>
    <w:rsid w:val="091D3317"/>
    <w:rsid w:val="095B7DEA"/>
    <w:rsid w:val="09B207F9"/>
    <w:rsid w:val="09BE287B"/>
    <w:rsid w:val="09DB14DA"/>
    <w:rsid w:val="09DC5CF4"/>
    <w:rsid w:val="09DE12BD"/>
    <w:rsid w:val="0A4E5D4C"/>
    <w:rsid w:val="0A8723C8"/>
    <w:rsid w:val="0AC921EF"/>
    <w:rsid w:val="0ACF661C"/>
    <w:rsid w:val="0ADB7567"/>
    <w:rsid w:val="0ADD3F73"/>
    <w:rsid w:val="0AE174DB"/>
    <w:rsid w:val="0B48036E"/>
    <w:rsid w:val="0B7A4561"/>
    <w:rsid w:val="0BE41EBA"/>
    <w:rsid w:val="0C064DB6"/>
    <w:rsid w:val="0C296820"/>
    <w:rsid w:val="0C337593"/>
    <w:rsid w:val="0C415580"/>
    <w:rsid w:val="0C930B0A"/>
    <w:rsid w:val="0CB259BB"/>
    <w:rsid w:val="0CCF66AB"/>
    <w:rsid w:val="0CE3505E"/>
    <w:rsid w:val="0D212FF5"/>
    <w:rsid w:val="0D352C40"/>
    <w:rsid w:val="0D3B1916"/>
    <w:rsid w:val="0D822C8A"/>
    <w:rsid w:val="0D8B4C1B"/>
    <w:rsid w:val="0DB0715F"/>
    <w:rsid w:val="0DC444A6"/>
    <w:rsid w:val="0E076E35"/>
    <w:rsid w:val="0E2112A0"/>
    <w:rsid w:val="0EAA6ACD"/>
    <w:rsid w:val="0EB10A59"/>
    <w:rsid w:val="0ED0793F"/>
    <w:rsid w:val="0F3A1B8F"/>
    <w:rsid w:val="0F4B77A5"/>
    <w:rsid w:val="0F575BBA"/>
    <w:rsid w:val="0F6B5ADC"/>
    <w:rsid w:val="0FD9607A"/>
    <w:rsid w:val="101B61C8"/>
    <w:rsid w:val="10275CD9"/>
    <w:rsid w:val="1065014D"/>
    <w:rsid w:val="106865B7"/>
    <w:rsid w:val="108F1510"/>
    <w:rsid w:val="10AE2E64"/>
    <w:rsid w:val="10F2465E"/>
    <w:rsid w:val="11143D06"/>
    <w:rsid w:val="115433FE"/>
    <w:rsid w:val="11803EC2"/>
    <w:rsid w:val="118E5DD7"/>
    <w:rsid w:val="119C636A"/>
    <w:rsid w:val="119D746A"/>
    <w:rsid w:val="11A12295"/>
    <w:rsid w:val="11DC024F"/>
    <w:rsid w:val="11F62AC7"/>
    <w:rsid w:val="12015F43"/>
    <w:rsid w:val="12313E48"/>
    <w:rsid w:val="124E101D"/>
    <w:rsid w:val="126F0E91"/>
    <w:rsid w:val="128C7DEB"/>
    <w:rsid w:val="12A44024"/>
    <w:rsid w:val="13241681"/>
    <w:rsid w:val="13D62ADD"/>
    <w:rsid w:val="145B3237"/>
    <w:rsid w:val="14E32355"/>
    <w:rsid w:val="14EF0F92"/>
    <w:rsid w:val="15171C09"/>
    <w:rsid w:val="1537716A"/>
    <w:rsid w:val="1561250C"/>
    <w:rsid w:val="15663828"/>
    <w:rsid w:val="16294BEB"/>
    <w:rsid w:val="164E6403"/>
    <w:rsid w:val="165D767C"/>
    <w:rsid w:val="167C2FAE"/>
    <w:rsid w:val="16990CEC"/>
    <w:rsid w:val="16F83FBE"/>
    <w:rsid w:val="171E7335"/>
    <w:rsid w:val="173E361E"/>
    <w:rsid w:val="175E2160"/>
    <w:rsid w:val="176F17A4"/>
    <w:rsid w:val="17E72103"/>
    <w:rsid w:val="182C6F3D"/>
    <w:rsid w:val="182D4770"/>
    <w:rsid w:val="186C20A8"/>
    <w:rsid w:val="18ED4FA0"/>
    <w:rsid w:val="1907121A"/>
    <w:rsid w:val="192C06DB"/>
    <w:rsid w:val="192F7604"/>
    <w:rsid w:val="193143DC"/>
    <w:rsid w:val="196D1144"/>
    <w:rsid w:val="199D1430"/>
    <w:rsid w:val="19CB4D09"/>
    <w:rsid w:val="19E47E89"/>
    <w:rsid w:val="1A1B2562"/>
    <w:rsid w:val="1A2608F3"/>
    <w:rsid w:val="1A3E73F4"/>
    <w:rsid w:val="1AB667DA"/>
    <w:rsid w:val="1AEE28FE"/>
    <w:rsid w:val="1B1F438E"/>
    <w:rsid w:val="1B2A271F"/>
    <w:rsid w:val="1B566A66"/>
    <w:rsid w:val="1B61067A"/>
    <w:rsid w:val="1B643F70"/>
    <w:rsid w:val="1B970C49"/>
    <w:rsid w:val="1C502501"/>
    <w:rsid w:val="1C557889"/>
    <w:rsid w:val="1CC244AF"/>
    <w:rsid w:val="1D1125BF"/>
    <w:rsid w:val="1D1D23E0"/>
    <w:rsid w:val="1D1E6052"/>
    <w:rsid w:val="1D4654D5"/>
    <w:rsid w:val="1D740662"/>
    <w:rsid w:val="1D756A60"/>
    <w:rsid w:val="1DEB0357"/>
    <w:rsid w:val="1E0D4E38"/>
    <w:rsid w:val="1EAE534D"/>
    <w:rsid w:val="1EB45814"/>
    <w:rsid w:val="1ED0129B"/>
    <w:rsid w:val="1EFD05AE"/>
    <w:rsid w:val="1F1D153E"/>
    <w:rsid w:val="1F1F5DB3"/>
    <w:rsid w:val="1F595F73"/>
    <w:rsid w:val="1F6F05E3"/>
    <w:rsid w:val="1FD9510D"/>
    <w:rsid w:val="2033783E"/>
    <w:rsid w:val="203B35A2"/>
    <w:rsid w:val="207D06FF"/>
    <w:rsid w:val="20A26F98"/>
    <w:rsid w:val="20E01BC9"/>
    <w:rsid w:val="2108122A"/>
    <w:rsid w:val="211D791B"/>
    <w:rsid w:val="21395D40"/>
    <w:rsid w:val="21A70A44"/>
    <w:rsid w:val="21B26DD5"/>
    <w:rsid w:val="21FE1453"/>
    <w:rsid w:val="220D1D5B"/>
    <w:rsid w:val="22135B75"/>
    <w:rsid w:val="221E7789"/>
    <w:rsid w:val="22FA6B52"/>
    <w:rsid w:val="23385CD8"/>
    <w:rsid w:val="234E78E5"/>
    <w:rsid w:val="2398059E"/>
    <w:rsid w:val="23C50DBF"/>
    <w:rsid w:val="24856663"/>
    <w:rsid w:val="24F03D01"/>
    <w:rsid w:val="250B18A4"/>
    <w:rsid w:val="254D770E"/>
    <w:rsid w:val="25AC261C"/>
    <w:rsid w:val="25F70F20"/>
    <w:rsid w:val="26105100"/>
    <w:rsid w:val="261F7E87"/>
    <w:rsid w:val="263C168A"/>
    <w:rsid w:val="26E47BF2"/>
    <w:rsid w:val="272D3C8A"/>
    <w:rsid w:val="273F4551"/>
    <w:rsid w:val="27590340"/>
    <w:rsid w:val="27762449"/>
    <w:rsid w:val="27A73ABA"/>
    <w:rsid w:val="27F45506"/>
    <w:rsid w:val="27FE3AEB"/>
    <w:rsid w:val="28021134"/>
    <w:rsid w:val="282E547B"/>
    <w:rsid w:val="28B66770"/>
    <w:rsid w:val="28E64C29"/>
    <w:rsid w:val="28F22C3A"/>
    <w:rsid w:val="29315ADB"/>
    <w:rsid w:val="294A4F2D"/>
    <w:rsid w:val="295E7D6B"/>
    <w:rsid w:val="29657405"/>
    <w:rsid w:val="297E60A1"/>
    <w:rsid w:val="29E31D66"/>
    <w:rsid w:val="2A0C4A0C"/>
    <w:rsid w:val="2A2F50A2"/>
    <w:rsid w:val="2A3B3447"/>
    <w:rsid w:val="2A5B7B7F"/>
    <w:rsid w:val="2A5C4F5F"/>
    <w:rsid w:val="2A623B6D"/>
    <w:rsid w:val="2A7464DB"/>
    <w:rsid w:val="2AA45E84"/>
    <w:rsid w:val="2ABB77F0"/>
    <w:rsid w:val="2AED3A82"/>
    <w:rsid w:val="2B0032BA"/>
    <w:rsid w:val="2B2603F1"/>
    <w:rsid w:val="2B432797"/>
    <w:rsid w:val="2B711E67"/>
    <w:rsid w:val="2B8C5C7C"/>
    <w:rsid w:val="2BBD43D2"/>
    <w:rsid w:val="2BEF4836"/>
    <w:rsid w:val="2C1E048C"/>
    <w:rsid w:val="2C344667"/>
    <w:rsid w:val="2C477249"/>
    <w:rsid w:val="2C847FBC"/>
    <w:rsid w:val="2CB2710A"/>
    <w:rsid w:val="2CE26223"/>
    <w:rsid w:val="2D77087A"/>
    <w:rsid w:val="2DA376FF"/>
    <w:rsid w:val="2DB00085"/>
    <w:rsid w:val="2DC74427"/>
    <w:rsid w:val="2DC97202"/>
    <w:rsid w:val="2E127631"/>
    <w:rsid w:val="2E375CE7"/>
    <w:rsid w:val="2E5F4F3B"/>
    <w:rsid w:val="2E9879BB"/>
    <w:rsid w:val="2EBB3DDD"/>
    <w:rsid w:val="2EE161F9"/>
    <w:rsid w:val="2EF5664B"/>
    <w:rsid w:val="2FB72E9D"/>
    <w:rsid w:val="2FE2391A"/>
    <w:rsid w:val="30386A84"/>
    <w:rsid w:val="30D143AC"/>
    <w:rsid w:val="30F545DF"/>
    <w:rsid w:val="316C3324"/>
    <w:rsid w:val="316E2FA4"/>
    <w:rsid w:val="3176509E"/>
    <w:rsid w:val="31B84B7C"/>
    <w:rsid w:val="31C439B2"/>
    <w:rsid w:val="31E35AC9"/>
    <w:rsid w:val="31E41CE9"/>
    <w:rsid w:val="32285197"/>
    <w:rsid w:val="32666DBF"/>
    <w:rsid w:val="326A352C"/>
    <w:rsid w:val="326D2B8A"/>
    <w:rsid w:val="32B822B7"/>
    <w:rsid w:val="32DE1F01"/>
    <w:rsid w:val="32F31EA6"/>
    <w:rsid w:val="33007843"/>
    <w:rsid w:val="330F24F0"/>
    <w:rsid w:val="331034D9"/>
    <w:rsid w:val="336F5420"/>
    <w:rsid w:val="33711927"/>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92BD4"/>
    <w:rsid w:val="36D64050"/>
    <w:rsid w:val="371B2276"/>
    <w:rsid w:val="376748F3"/>
    <w:rsid w:val="379D6FCC"/>
    <w:rsid w:val="37C56D16"/>
    <w:rsid w:val="37C83693"/>
    <w:rsid w:val="385C657C"/>
    <w:rsid w:val="38CC54BF"/>
    <w:rsid w:val="38DB3976"/>
    <w:rsid w:val="39187986"/>
    <w:rsid w:val="39453E84"/>
    <w:rsid w:val="395C7629"/>
    <w:rsid w:val="39617854"/>
    <w:rsid w:val="39992536"/>
    <w:rsid w:val="39B96BAE"/>
    <w:rsid w:val="39C45CA7"/>
    <w:rsid w:val="39D7708D"/>
    <w:rsid w:val="39DD62A2"/>
    <w:rsid w:val="3A1E5D66"/>
    <w:rsid w:val="3A334E71"/>
    <w:rsid w:val="3A4C3BF6"/>
    <w:rsid w:val="3A553D90"/>
    <w:rsid w:val="3A7F53DC"/>
    <w:rsid w:val="3A9435C1"/>
    <w:rsid w:val="3ADE420A"/>
    <w:rsid w:val="3AE12187"/>
    <w:rsid w:val="3B096031"/>
    <w:rsid w:val="3B416ECF"/>
    <w:rsid w:val="3B4D4259"/>
    <w:rsid w:val="3BD00FAF"/>
    <w:rsid w:val="3BDC1873"/>
    <w:rsid w:val="3BE34329"/>
    <w:rsid w:val="3BFB6B9B"/>
    <w:rsid w:val="3C3A6937"/>
    <w:rsid w:val="3C88075E"/>
    <w:rsid w:val="3C96546D"/>
    <w:rsid w:val="3D0C3E25"/>
    <w:rsid w:val="3D201BD6"/>
    <w:rsid w:val="3D2F79C3"/>
    <w:rsid w:val="3D407F0C"/>
    <w:rsid w:val="3D5F178B"/>
    <w:rsid w:val="3D9439A6"/>
    <w:rsid w:val="3D98059B"/>
    <w:rsid w:val="3DDB4A8F"/>
    <w:rsid w:val="3E0F72E0"/>
    <w:rsid w:val="3E550094"/>
    <w:rsid w:val="3E5D17C4"/>
    <w:rsid w:val="3E65446C"/>
    <w:rsid w:val="3E9207B3"/>
    <w:rsid w:val="3E9C23C7"/>
    <w:rsid w:val="3EBC06FE"/>
    <w:rsid w:val="3EC94417"/>
    <w:rsid w:val="3F564BF9"/>
    <w:rsid w:val="3F6B5F18"/>
    <w:rsid w:val="3F825489"/>
    <w:rsid w:val="3FA41A95"/>
    <w:rsid w:val="3FB1203C"/>
    <w:rsid w:val="3FC06CA7"/>
    <w:rsid w:val="3FCE7269"/>
    <w:rsid w:val="3FF7137F"/>
    <w:rsid w:val="3FF74C02"/>
    <w:rsid w:val="404035EE"/>
    <w:rsid w:val="406D1A50"/>
    <w:rsid w:val="40854466"/>
    <w:rsid w:val="40AC6262"/>
    <w:rsid w:val="411D1161"/>
    <w:rsid w:val="412A6A67"/>
    <w:rsid w:val="4169765E"/>
    <w:rsid w:val="41741B70"/>
    <w:rsid w:val="418111C4"/>
    <w:rsid w:val="41A2257B"/>
    <w:rsid w:val="41BF77E9"/>
    <w:rsid w:val="41F25C68"/>
    <w:rsid w:val="41FA1EF1"/>
    <w:rsid w:val="42004FD7"/>
    <w:rsid w:val="425F2D03"/>
    <w:rsid w:val="42B8760E"/>
    <w:rsid w:val="42C36095"/>
    <w:rsid w:val="42D0145C"/>
    <w:rsid w:val="431E2028"/>
    <w:rsid w:val="432F369F"/>
    <w:rsid w:val="4354213A"/>
    <w:rsid w:val="43675823"/>
    <w:rsid w:val="43822FDD"/>
    <w:rsid w:val="439D5A06"/>
    <w:rsid w:val="43DF63AB"/>
    <w:rsid w:val="441118A9"/>
    <w:rsid w:val="441215E9"/>
    <w:rsid w:val="44146C41"/>
    <w:rsid w:val="442607E9"/>
    <w:rsid w:val="44550754"/>
    <w:rsid w:val="4463147F"/>
    <w:rsid w:val="44B47177"/>
    <w:rsid w:val="44C147D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482199"/>
    <w:rsid w:val="485D4FC6"/>
    <w:rsid w:val="48684BEA"/>
    <w:rsid w:val="486A7F85"/>
    <w:rsid w:val="487D7A79"/>
    <w:rsid w:val="48B459D5"/>
    <w:rsid w:val="4920368B"/>
    <w:rsid w:val="493E7CBF"/>
    <w:rsid w:val="4961356F"/>
    <w:rsid w:val="497566C3"/>
    <w:rsid w:val="498C34BA"/>
    <w:rsid w:val="49A177C4"/>
    <w:rsid w:val="49F805EB"/>
    <w:rsid w:val="4A0465FC"/>
    <w:rsid w:val="4A1A65A1"/>
    <w:rsid w:val="4A51394E"/>
    <w:rsid w:val="4A790C26"/>
    <w:rsid w:val="4A873352"/>
    <w:rsid w:val="4AC60743"/>
    <w:rsid w:val="4ADC4E79"/>
    <w:rsid w:val="4B0257D0"/>
    <w:rsid w:val="4B97259D"/>
    <w:rsid w:val="4C0309E8"/>
    <w:rsid w:val="4C2E1F00"/>
    <w:rsid w:val="4C3E139E"/>
    <w:rsid w:val="4C787385"/>
    <w:rsid w:val="4C890DD6"/>
    <w:rsid w:val="4C990862"/>
    <w:rsid w:val="4D351269"/>
    <w:rsid w:val="4D707ACD"/>
    <w:rsid w:val="4D940DD6"/>
    <w:rsid w:val="4DAD5863"/>
    <w:rsid w:val="4E080DF2"/>
    <w:rsid w:val="4E1E7439"/>
    <w:rsid w:val="4E5F6933"/>
    <w:rsid w:val="4E7564B7"/>
    <w:rsid w:val="4E9F7224"/>
    <w:rsid w:val="4EA61571"/>
    <w:rsid w:val="4EC14BCF"/>
    <w:rsid w:val="4F2F5AAB"/>
    <w:rsid w:val="4F3935F6"/>
    <w:rsid w:val="4F3B240C"/>
    <w:rsid w:val="4F5C4B3F"/>
    <w:rsid w:val="4F7C2E75"/>
    <w:rsid w:val="4F995207"/>
    <w:rsid w:val="4F9C11AB"/>
    <w:rsid w:val="4FBE4ED9"/>
    <w:rsid w:val="4FE62DEC"/>
    <w:rsid w:val="502B7796"/>
    <w:rsid w:val="50726A1D"/>
    <w:rsid w:val="5075308D"/>
    <w:rsid w:val="507F513F"/>
    <w:rsid w:val="50EB3193"/>
    <w:rsid w:val="50FC1398"/>
    <w:rsid w:val="51186119"/>
    <w:rsid w:val="515B3C3B"/>
    <w:rsid w:val="51640797"/>
    <w:rsid w:val="5177374E"/>
    <w:rsid w:val="5183682D"/>
    <w:rsid w:val="519D4B01"/>
    <w:rsid w:val="51BA5BBB"/>
    <w:rsid w:val="527F6965"/>
    <w:rsid w:val="52BF2FD2"/>
    <w:rsid w:val="5357444A"/>
    <w:rsid w:val="538D474B"/>
    <w:rsid w:val="53B3608D"/>
    <w:rsid w:val="53CE4BFB"/>
    <w:rsid w:val="53FA3C53"/>
    <w:rsid w:val="54151A08"/>
    <w:rsid w:val="543B45B4"/>
    <w:rsid w:val="544D76C4"/>
    <w:rsid w:val="54513D71"/>
    <w:rsid w:val="54C708EB"/>
    <w:rsid w:val="54E77D17"/>
    <w:rsid w:val="55004205"/>
    <w:rsid w:val="55114AD1"/>
    <w:rsid w:val="55145A25"/>
    <w:rsid w:val="5528299B"/>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3978C7"/>
    <w:rsid w:val="58591F7E"/>
    <w:rsid w:val="58BA45A1"/>
    <w:rsid w:val="58D33CA5"/>
    <w:rsid w:val="58D96479"/>
    <w:rsid w:val="5905702A"/>
    <w:rsid w:val="59461814"/>
    <w:rsid w:val="594D6DCB"/>
    <w:rsid w:val="595350AD"/>
    <w:rsid w:val="595A233F"/>
    <w:rsid w:val="59870472"/>
    <w:rsid w:val="599E0097"/>
    <w:rsid w:val="59B94DB3"/>
    <w:rsid w:val="5A3744D9"/>
    <w:rsid w:val="5A6C3F68"/>
    <w:rsid w:val="5A760DB1"/>
    <w:rsid w:val="5A8114B3"/>
    <w:rsid w:val="5A882A18"/>
    <w:rsid w:val="5B0F6FF4"/>
    <w:rsid w:val="5B1B5005"/>
    <w:rsid w:val="5B253396"/>
    <w:rsid w:val="5B301727"/>
    <w:rsid w:val="5B7F6812"/>
    <w:rsid w:val="5BEC0D33"/>
    <w:rsid w:val="5BED6745"/>
    <w:rsid w:val="5C0E40E7"/>
    <w:rsid w:val="5C3B3E48"/>
    <w:rsid w:val="5C52446F"/>
    <w:rsid w:val="5CCC024F"/>
    <w:rsid w:val="5D395C12"/>
    <w:rsid w:val="5D8440B3"/>
    <w:rsid w:val="5DF5675E"/>
    <w:rsid w:val="5E0B4AF9"/>
    <w:rsid w:val="5E136682"/>
    <w:rsid w:val="5E2E2245"/>
    <w:rsid w:val="5E2F5271"/>
    <w:rsid w:val="5E3D71AC"/>
    <w:rsid w:val="5E7B6871"/>
    <w:rsid w:val="5E9020A0"/>
    <w:rsid w:val="5EAE52E1"/>
    <w:rsid w:val="5EEA2FD3"/>
    <w:rsid w:val="5FB9411A"/>
    <w:rsid w:val="5FBB5BF4"/>
    <w:rsid w:val="5FBC1EE2"/>
    <w:rsid w:val="600A374F"/>
    <w:rsid w:val="604D206E"/>
    <w:rsid w:val="60561B85"/>
    <w:rsid w:val="60C7208D"/>
    <w:rsid w:val="610F0200"/>
    <w:rsid w:val="611E2899"/>
    <w:rsid w:val="615A7776"/>
    <w:rsid w:val="6160574F"/>
    <w:rsid w:val="61737471"/>
    <w:rsid w:val="61A44F0E"/>
    <w:rsid w:val="61CE5D83"/>
    <w:rsid w:val="61D412F3"/>
    <w:rsid w:val="61F8244A"/>
    <w:rsid w:val="620307DC"/>
    <w:rsid w:val="62155C45"/>
    <w:rsid w:val="62256897"/>
    <w:rsid w:val="623921EE"/>
    <w:rsid w:val="629364BA"/>
    <w:rsid w:val="62A63868"/>
    <w:rsid w:val="62D27BAF"/>
    <w:rsid w:val="63112315"/>
    <w:rsid w:val="633E4CE0"/>
    <w:rsid w:val="63456EA9"/>
    <w:rsid w:val="63A13700"/>
    <w:rsid w:val="63CB7DC7"/>
    <w:rsid w:val="64374EF8"/>
    <w:rsid w:val="651D5B94"/>
    <w:rsid w:val="657D3011"/>
    <w:rsid w:val="659265FB"/>
    <w:rsid w:val="659473B3"/>
    <w:rsid w:val="660A2875"/>
    <w:rsid w:val="660B42A8"/>
    <w:rsid w:val="66534905"/>
    <w:rsid w:val="66A8394E"/>
    <w:rsid w:val="66AE4435"/>
    <w:rsid w:val="66CF38B7"/>
    <w:rsid w:val="66D91C48"/>
    <w:rsid w:val="66E47FD9"/>
    <w:rsid w:val="671A3D0E"/>
    <w:rsid w:val="67702FB9"/>
    <w:rsid w:val="67C04F29"/>
    <w:rsid w:val="67DD3A75"/>
    <w:rsid w:val="67E03DB1"/>
    <w:rsid w:val="681364CD"/>
    <w:rsid w:val="6862245F"/>
    <w:rsid w:val="68696EDC"/>
    <w:rsid w:val="68B70ECA"/>
    <w:rsid w:val="68FD6E91"/>
    <w:rsid w:val="69A5003C"/>
    <w:rsid w:val="69C61397"/>
    <w:rsid w:val="69FB3DEF"/>
    <w:rsid w:val="6A4E1A27"/>
    <w:rsid w:val="6A5E280F"/>
    <w:rsid w:val="6A9F48E9"/>
    <w:rsid w:val="6ACC6633"/>
    <w:rsid w:val="6B181D06"/>
    <w:rsid w:val="6B3602F4"/>
    <w:rsid w:val="6B571141"/>
    <w:rsid w:val="6BB63E21"/>
    <w:rsid w:val="6BF23772"/>
    <w:rsid w:val="6C011228"/>
    <w:rsid w:val="6C0576C7"/>
    <w:rsid w:val="6C1364D3"/>
    <w:rsid w:val="6C1A118A"/>
    <w:rsid w:val="6C460131"/>
    <w:rsid w:val="6C8B3ED7"/>
    <w:rsid w:val="6CBB4190"/>
    <w:rsid w:val="6CD81701"/>
    <w:rsid w:val="6CDE15A9"/>
    <w:rsid w:val="6D095C70"/>
    <w:rsid w:val="6D0A674E"/>
    <w:rsid w:val="6D351FB7"/>
    <w:rsid w:val="6D591D2B"/>
    <w:rsid w:val="6D601F02"/>
    <w:rsid w:val="6DF8337A"/>
    <w:rsid w:val="6E4E0CF4"/>
    <w:rsid w:val="6E59211A"/>
    <w:rsid w:val="6EBD637B"/>
    <w:rsid w:val="6EC1476E"/>
    <w:rsid w:val="6EC76ECB"/>
    <w:rsid w:val="6F52129D"/>
    <w:rsid w:val="6F897FF3"/>
    <w:rsid w:val="6FE7584B"/>
    <w:rsid w:val="6FE84EB3"/>
    <w:rsid w:val="7024217B"/>
    <w:rsid w:val="705253D1"/>
    <w:rsid w:val="707C2FC1"/>
    <w:rsid w:val="708304A5"/>
    <w:rsid w:val="70CE30E6"/>
    <w:rsid w:val="70F73F4B"/>
    <w:rsid w:val="70FE34EA"/>
    <w:rsid w:val="71465FE5"/>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506C9"/>
    <w:rsid w:val="76352CD3"/>
    <w:rsid w:val="76691AD0"/>
    <w:rsid w:val="767A19ED"/>
    <w:rsid w:val="76B344CD"/>
    <w:rsid w:val="76C26A7E"/>
    <w:rsid w:val="76FA13A2"/>
    <w:rsid w:val="775B68AA"/>
    <w:rsid w:val="77752A50"/>
    <w:rsid w:val="77A871DC"/>
    <w:rsid w:val="77C65BD9"/>
    <w:rsid w:val="77D22B59"/>
    <w:rsid w:val="78124E05"/>
    <w:rsid w:val="78304CBF"/>
    <w:rsid w:val="787C3AB9"/>
    <w:rsid w:val="788B465E"/>
    <w:rsid w:val="78CA4D1E"/>
    <w:rsid w:val="79085E42"/>
    <w:rsid w:val="792A109E"/>
    <w:rsid w:val="79352EE7"/>
    <w:rsid w:val="796A4022"/>
    <w:rsid w:val="79744E85"/>
    <w:rsid w:val="79A150B3"/>
    <w:rsid w:val="79B70892"/>
    <w:rsid w:val="79C35DCF"/>
    <w:rsid w:val="7A186D5D"/>
    <w:rsid w:val="7A2D6D03"/>
    <w:rsid w:val="7A9E0C5A"/>
    <w:rsid w:val="7AFC2853"/>
    <w:rsid w:val="7B187629"/>
    <w:rsid w:val="7B334F2B"/>
    <w:rsid w:val="7B95754E"/>
    <w:rsid w:val="7BC37DB4"/>
    <w:rsid w:val="7BDA71FF"/>
    <w:rsid w:val="7C1F61B3"/>
    <w:rsid w:val="7C4C7115"/>
    <w:rsid w:val="7C565E00"/>
    <w:rsid w:val="7C794F51"/>
    <w:rsid w:val="7C96268C"/>
    <w:rsid w:val="7CE76123"/>
    <w:rsid w:val="7D0564AB"/>
    <w:rsid w:val="7D074522"/>
    <w:rsid w:val="7DA24C69"/>
    <w:rsid w:val="7DDF12C6"/>
    <w:rsid w:val="7E043104"/>
    <w:rsid w:val="7E4A0D41"/>
    <w:rsid w:val="7E6B3474"/>
    <w:rsid w:val="7F0204F0"/>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68</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1</cp:lastModifiedBy>
  <cp:lastPrinted>2025-04-14T02:13:00Z</cp:lastPrinted>
  <dcterms:modified xsi:type="dcterms:W3CDTF">2025-04-14T02:13:05Z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