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b w:val="0"/>
          <w:bCs/>
          <w:color w:val="auto"/>
          <w:sz w:val="32"/>
          <w:szCs w:val="32"/>
          <w:highlight w:val="none"/>
          <w:lang w:val="en-US" w:eastAsia="zh-CN"/>
        </w:rPr>
      </w:pPr>
      <w:r>
        <w:rPr>
          <w:rFonts w:hint="default" w:ascii="Times New Roman" w:hAnsi="Times New Roman" w:eastAsia="黑体" w:cs="Times New Roman"/>
          <w:b w:val="0"/>
          <w:bCs/>
          <w:color w:val="auto"/>
          <w:sz w:val="32"/>
          <w:szCs w:val="32"/>
          <w:highlight w:val="none"/>
          <w:lang w:val="en-US" w:eastAsia="zh-CN"/>
        </w:rPr>
        <w:t>附件1</w:t>
      </w:r>
    </w:p>
    <w:p>
      <w:pPr>
        <w:keepNext w:val="0"/>
        <w:keepLines w:val="0"/>
        <w:pageBreakBefore w:val="0"/>
        <w:kinsoku/>
        <w:wordWrap/>
        <w:overflowPunct/>
        <w:topLinePunct w:val="0"/>
        <w:bidi w:val="0"/>
        <w:snapToGrid/>
        <w:spacing w:line="560" w:lineRule="exact"/>
        <w:jc w:val="center"/>
        <w:textAlignment w:val="auto"/>
        <w:outlineLvl w:val="9"/>
        <w:rPr>
          <w:rFonts w:hint="default" w:ascii="Times New Roman" w:hAnsi="Times New Roman" w:eastAsia="方正小标宋简体" w:cs="Times New Roman"/>
          <w:b w:val="0"/>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color w:val="auto"/>
          <w:sz w:val="44"/>
          <w:szCs w:val="44"/>
          <w:highlight w:val="none"/>
          <w:lang w:eastAsia="zh-CN"/>
        </w:rPr>
      </w:pPr>
      <w:r>
        <w:rPr>
          <w:rFonts w:hint="eastAsia" w:ascii="方正小标宋_GBK" w:hAnsi="方正小标宋_GBK" w:eastAsia="方正小标宋_GBK" w:cs="方正小标宋_GBK"/>
          <w:b w:val="0"/>
          <w:bCs/>
          <w:color w:val="auto"/>
          <w:sz w:val="44"/>
          <w:szCs w:val="44"/>
          <w:highlight w:val="none"/>
          <w:lang w:eastAsia="zh-CN"/>
        </w:rPr>
        <w:t>阿克陶</w:t>
      </w:r>
      <w:r>
        <w:rPr>
          <w:rFonts w:hint="eastAsia" w:ascii="方正小标宋_GBK" w:hAnsi="方正小标宋_GBK" w:eastAsia="方正小标宋_GBK" w:cs="方正小标宋_GBK"/>
          <w:b w:val="0"/>
          <w:bCs/>
          <w:color w:val="auto"/>
          <w:sz w:val="44"/>
          <w:szCs w:val="44"/>
          <w:highlight w:val="none"/>
        </w:rPr>
        <w:t>县</w:t>
      </w:r>
      <w:r>
        <w:rPr>
          <w:rFonts w:hint="eastAsia" w:ascii="方正小标宋_GBK" w:hAnsi="方正小标宋_GBK" w:eastAsia="方正小标宋_GBK" w:cs="方正小标宋_GBK"/>
          <w:b w:val="0"/>
          <w:bCs/>
          <w:color w:val="auto"/>
          <w:sz w:val="44"/>
          <w:szCs w:val="44"/>
          <w:highlight w:val="none"/>
          <w:lang w:val="en-US" w:eastAsia="zh-CN"/>
        </w:rPr>
        <w:t>2025</w:t>
      </w:r>
      <w:r>
        <w:rPr>
          <w:rFonts w:hint="eastAsia" w:ascii="方正小标宋_GBK" w:hAnsi="方正小标宋_GBK" w:eastAsia="方正小标宋_GBK" w:cs="方正小标宋_GBK"/>
          <w:b w:val="0"/>
          <w:bCs/>
          <w:color w:val="auto"/>
          <w:sz w:val="44"/>
          <w:szCs w:val="44"/>
          <w:highlight w:val="none"/>
        </w:rPr>
        <w:t>年</w:t>
      </w:r>
      <w:r>
        <w:rPr>
          <w:rFonts w:hint="eastAsia" w:ascii="方正小标宋_GBK" w:hAnsi="方正小标宋_GBK" w:eastAsia="方正小标宋_GBK" w:cs="方正小标宋_GBK"/>
          <w:b w:val="0"/>
          <w:bCs/>
          <w:color w:val="auto"/>
          <w:sz w:val="44"/>
          <w:szCs w:val="44"/>
          <w:highlight w:val="none"/>
          <w:lang w:val="en-US" w:eastAsia="zh-CN"/>
        </w:rPr>
        <w:t>巩固拓展</w:t>
      </w:r>
      <w:r>
        <w:rPr>
          <w:rFonts w:hint="eastAsia" w:ascii="方正小标宋_GBK" w:hAnsi="方正小标宋_GBK" w:eastAsia="方正小标宋_GBK" w:cs="方正小标宋_GBK"/>
          <w:b w:val="0"/>
          <w:bCs/>
          <w:color w:val="auto"/>
          <w:sz w:val="44"/>
          <w:szCs w:val="44"/>
          <w:highlight w:val="none"/>
          <w:lang w:eastAsia="zh-CN"/>
        </w:rPr>
        <w:t>脱贫</w:t>
      </w:r>
      <w:r>
        <w:rPr>
          <w:rFonts w:hint="eastAsia" w:ascii="方正小标宋_GBK" w:hAnsi="方正小标宋_GBK" w:eastAsia="方正小标宋_GBK" w:cs="方正小标宋_GBK"/>
          <w:b w:val="0"/>
          <w:bCs/>
          <w:color w:val="auto"/>
          <w:sz w:val="44"/>
          <w:szCs w:val="44"/>
          <w:highlight w:val="none"/>
          <w:lang w:val="en-US" w:eastAsia="zh-CN"/>
        </w:rPr>
        <w:t>攻坚成果同乡村振兴</w:t>
      </w:r>
      <w:r>
        <w:rPr>
          <w:rFonts w:hint="eastAsia" w:ascii="方正小标宋_GBK" w:hAnsi="方正小标宋_GBK" w:eastAsia="方正小标宋_GBK" w:cs="方正小标宋_GBK"/>
          <w:b w:val="0"/>
          <w:bCs/>
          <w:color w:val="auto"/>
          <w:sz w:val="44"/>
          <w:szCs w:val="44"/>
          <w:highlight w:val="none"/>
        </w:rPr>
        <w:t>项目</w:t>
      </w:r>
      <w:r>
        <w:rPr>
          <w:rFonts w:hint="eastAsia" w:ascii="方正小标宋_GBK" w:hAnsi="方正小标宋_GBK" w:eastAsia="方正小标宋_GBK" w:cs="方正小标宋_GBK"/>
          <w:b w:val="0"/>
          <w:bCs/>
          <w:color w:val="auto"/>
          <w:sz w:val="44"/>
          <w:szCs w:val="44"/>
          <w:highlight w:val="none"/>
          <w:lang w:val="en-US" w:eastAsia="zh-CN"/>
        </w:rPr>
        <w:t>储备</w:t>
      </w:r>
      <w:r>
        <w:rPr>
          <w:rFonts w:hint="eastAsia" w:ascii="方正小标宋_GBK" w:hAnsi="方正小标宋_GBK" w:eastAsia="方正小标宋_GBK" w:cs="方正小标宋_GBK"/>
          <w:b w:val="0"/>
          <w:bCs/>
          <w:color w:val="auto"/>
          <w:sz w:val="44"/>
          <w:szCs w:val="44"/>
          <w:highlight w:val="none"/>
          <w:lang w:eastAsia="zh-CN"/>
        </w:rPr>
        <w:t>库（</w:t>
      </w:r>
      <w:r>
        <w:rPr>
          <w:rFonts w:hint="eastAsia" w:ascii="方正小标宋_GBK" w:hAnsi="方正小标宋_GBK" w:eastAsia="方正小标宋_GBK" w:cs="方正小标宋_GBK"/>
          <w:b w:val="0"/>
          <w:bCs/>
          <w:color w:val="auto"/>
          <w:sz w:val="44"/>
          <w:szCs w:val="44"/>
          <w:highlight w:val="none"/>
          <w:lang w:val="en-US" w:eastAsia="zh-CN"/>
        </w:rPr>
        <w:t>动态调整</w:t>
      </w:r>
      <w:r>
        <w:rPr>
          <w:rFonts w:hint="eastAsia" w:ascii="方正小标宋_GBK" w:hAnsi="方正小标宋_GBK" w:eastAsia="方正小标宋_GBK" w:cs="方正小标宋_GBK"/>
          <w:b w:val="0"/>
          <w:bCs/>
          <w:color w:val="auto"/>
          <w:sz w:val="44"/>
          <w:szCs w:val="44"/>
          <w:highlight w:val="none"/>
          <w:lang w:eastAsia="zh-CN"/>
        </w:rPr>
        <w:t>）、计划库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lang w:eastAsia="zh-CN"/>
        </w:rPr>
        <w:t>（年度计划）、</w:t>
      </w:r>
      <w:r>
        <w:rPr>
          <w:rFonts w:hint="eastAsia" w:ascii="方正小标宋_GBK" w:hAnsi="方正小标宋_GBK" w:eastAsia="方正小标宋_GBK" w:cs="方正小标宋_GBK"/>
          <w:b w:val="0"/>
          <w:bCs/>
          <w:color w:val="auto"/>
          <w:sz w:val="44"/>
          <w:szCs w:val="44"/>
          <w:highlight w:val="none"/>
          <w:lang w:val="en-US" w:eastAsia="zh-CN"/>
        </w:rPr>
        <w:t>执行库的</w:t>
      </w:r>
      <w:r>
        <w:rPr>
          <w:rFonts w:hint="eastAsia" w:ascii="方正小标宋_GBK" w:hAnsi="方正小标宋_GBK" w:eastAsia="方正小标宋_GBK" w:cs="方正小标宋_GBK"/>
          <w:b w:val="0"/>
          <w:bCs/>
          <w:color w:val="auto"/>
          <w:sz w:val="44"/>
          <w:szCs w:val="44"/>
          <w:highlight w:val="none"/>
        </w:rPr>
        <w:t>实施方案</w:t>
      </w:r>
    </w:p>
    <w:p>
      <w:pPr>
        <w:keepNext w:val="0"/>
        <w:keepLines w:val="0"/>
        <w:pageBreakBefore w:val="0"/>
        <w:kinsoku/>
        <w:wordWrap/>
        <w:overflowPunct/>
        <w:topLinePunct w:val="0"/>
        <w:bidi w:val="0"/>
        <w:snapToGrid/>
        <w:spacing w:line="560" w:lineRule="exact"/>
        <w:jc w:val="both"/>
        <w:textAlignment w:val="auto"/>
        <w:outlineLvl w:val="9"/>
        <w:rPr>
          <w:rFonts w:hint="default" w:ascii="Times New Roman" w:hAnsi="Times New Roman" w:cs="Times New Roman"/>
          <w:b/>
          <w:color w:val="auto"/>
          <w:sz w:val="44"/>
          <w:szCs w:val="44"/>
          <w:highlight w:val="none"/>
        </w:rPr>
      </w:pP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Cs/>
          <w:color w:val="auto"/>
          <w:kern w:val="0"/>
          <w:sz w:val="32"/>
          <w:szCs w:val="32"/>
          <w:highlight w:val="none"/>
        </w:rPr>
      </w:pPr>
      <w:r>
        <w:rPr>
          <w:rFonts w:hint="default" w:ascii="Times New Roman" w:hAnsi="Times New Roman" w:eastAsia="方正仿宋_GBK" w:cs="Times New Roman"/>
          <w:color w:val="auto"/>
          <w:sz w:val="32"/>
          <w:szCs w:val="32"/>
          <w:highlight w:val="none"/>
          <w:lang w:val="en-US" w:eastAsia="zh-CN"/>
        </w:rPr>
        <w:t>为贯彻落实中央、自治区、自治州关于实现巩固拓展脱贫攻坚成果同乡村振兴有效衔接安排部署，加强资金和项目管理，提高资金使用效益，</w:t>
      </w:r>
      <w:r>
        <w:rPr>
          <w:rFonts w:hint="default" w:ascii="Times New Roman" w:hAnsi="Times New Roman" w:eastAsia="方正仿宋_GBK" w:cs="Times New Roman"/>
          <w:color w:val="auto"/>
          <w:sz w:val="32"/>
          <w:szCs w:val="32"/>
          <w:highlight w:val="none"/>
        </w:rPr>
        <w:t>根据</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关于印发&lt;中央财政衔接推进乡村振兴补助资金管理办法&gt;的通知》（财农</w:t>
      </w:r>
      <w:r>
        <w:rPr>
          <w:rFonts w:hint="default" w:ascii="Times New Roman" w:hAnsi="Times New Roman" w:eastAsia="方正仿宋_GBK" w:cs="Times New Roman"/>
          <w:color w:val="auto"/>
          <w:sz w:val="32"/>
          <w:szCs w:val="32"/>
          <w:highlight w:val="none"/>
        </w:rPr>
        <w:t>〔20</w:t>
      </w:r>
      <w:r>
        <w:rPr>
          <w:rFonts w:hint="default" w:ascii="Times New Roman" w:hAnsi="Times New Roman"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9号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关于印发&lt;新疆维吾尔自治区财政衔接推进乡村振兴补助资金管理办法&gt;的通知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新财规〔2021〕11号）</w:t>
      </w:r>
      <w:r>
        <w:rPr>
          <w:rFonts w:hint="default" w:ascii="Times New Roman" w:hAnsi="Times New Roman" w:eastAsia="方正仿宋_GBK" w:cs="Times New Roman"/>
          <w:color w:val="auto"/>
          <w:sz w:val="32"/>
          <w:szCs w:val="32"/>
          <w:highlight w:val="none"/>
        </w:rPr>
        <w:t>《关于印发&lt;新疆维吾尔自治区巩固拓展脱贫攻坚成果同乡村振兴项目入库指南（试行）&gt;的通知》（新乡振〔2022〕35号）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关于印发&lt;新疆维吾尔自治区财政衔接推进乡村振兴补助资金（巩固拓展脱贫攻坚成果和乡村振兴任务）项目管理办法（暂行）&gt;的通知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新乡振</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2021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32</w:t>
      </w:r>
      <w:r>
        <w:rPr>
          <w:rFonts w:hint="default" w:ascii="Times New Roman" w:hAnsi="Times New Roman" w:eastAsia="方正仿宋_GBK" w:cs="Times New Roman"/>
          <w:color w:val="auto"/>
          <w:sz w:val="32"/>
          <w:szCs w:val="32"/>
          <w:highlight w:val="none"/>
        </w:rPr>
        <w:t>号）</w:t>
      </w:r>
      <w:r>
        <w:rPr>
          <w:rFonts w:hint="default" w:ascii="Times New Roman" w:hAnsi="Times New Roman" w:eastAsia="方正仿宋_GBK" w:cs="Times New Roman"/>
          <w:color w:val="auto"/>
          <w:sz w:val="32"/>
          <w:szCs w:val="32"/>
          <w:highlight w:val="none"/>
          <w:lang w:eastAsia="zh-CN"/>
        </w:rPr>
        <w:t>《关于202</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年</w:t>
      </w:r>
      <w:r>
        <w:rPr>
          <w:rFonts w:hint="default" w:ascii="Times New Roman" w:hAnsi="Times New Roman" w:eastAsia="方正仿宋_GBK" w:cs="Times New Roman"/>
          <w:color w:val="auto"/>
          <w:sz w:val="32"/>
          <w:szCs w:val="32"/>
          <w:highlight w:val="none"/>
          <w:lang w:val="en-US" w:eastAsia="zh-CN"/>
        </w:rPr>
        <w:t>推动产业帮扶精准到户 促进农民持续增收有关工作的通知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Cs w:val="32"/>
          <w:highlight w:val="none"/>
          <w:lang w:val="en-US" w:eastAsia="zh-CN"/>
        </w:rPr>
        <w:t>（新农帮扶〔2025〕34号）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新疆维吾尔自治区人民政府关于调整新疆维吾尔自治区最低工资标准的通知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Cs w:val="32"/>
          <w:highlight w:val="none"/>
          <w:lang w:val="en-US" w:eastAsia="zh-CN"/>
        </w:rPr>
        <w:t>（新政发〔2024〕66号）</w:t>
      </w:r>
      <w:r>
        <w:rPr>
          <w:rFonts w:hint="default" w:ascii="Times New Roman" w:hAnsi="Times New Roman" w:eastAsia="方正仿宋_GBK" w:cs="Times New Roman"/>
          <w:color w:val="auto"/>
          <w:sz w:val="32"/>
          <w:szCs w:val="32"/>
          <w:highlight w:val="none"/>
          <w:lang w:eastAsia="zh-CN"/>
        </w:rPr>
        <w:t>文件</w:t>
      </w:r>
      <w:r>
        <w:rPr>
          <w:rFonts w:hint="default" w:ascii="Times New Roman" w:hAnsi="Times New Roman" w:eastAsia="方正仿宋_GBK" w:cs="Times New Roman"/>
          <w:color w:val="auto"/>
          <w:sz w:val="32"/>
          <w:szCs w:val="32"/>
          <w:highlight w:val="none"/>
          <w:lang w:val="en-US" w:eastAsia="zh-CN"/>
        </w:rPr>
        <w:t>精神</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kern w:val="0"/>
          <w:sz w:val="32"/>
          <w:szCs w:val="32"/>
          <w:highlight w:val="none"/>
        </w:rPr>
        <w:t>结合</w:t>
      </w:r>
      <w:r>
        <w:rPr>
          <w:rFonts w:hint="default" w:ascii="Times New Roman" w:hAnsi="Times New Roman" w:eastAsia="方正仿宋_GBK" w:cs="Times New Roman"/>
          <w:color w:val="auto"/>
          <w:kern w:val="0"/>
          <w:sz w:val="32"/>
          <w:szCs w:val="32"/>
          <w:highlight w:val="none"/>
          <w:lang w:eastAsia="zh-CN"/>
        </w:rPr>
        <w:t>阿克陶</w:t>
      </w:r>
      <w:r>
        <w:rPr>
          <w:rFonts w:hint="default" w:ascii="Times New Roman" w:hAnsi="Times New Roman" w:eastAsia="方正仿宋_GBK" w:cs="Times New Roman"/>
          <w:color w:val="auto"/>
          <w:kern w:val="0"/>
          <w:sz w:val="32"/>
          <w:szCs w:val="32"/>
          <w:highlight w:val="none"/>
        </w:rPr>
        <w:t>县实际，制订本方案。</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Cs/>
          <w:color w:val="auto"/>
          <w:kern w:val="0"/>
          <w:sz w:val="32"/>
          <w:szCs w:val="32"/>
          <w:highlight w:val="none"/>
        </w:rPr>
      </w:pPr>
      <w:r>
        <w:rPr>
          <w:rFonts w:hint="default" w:ascii="Times New Roman" w:hAnsi="Times New Roman" w:eastAsia="黑体" w:cs="Times New Roman"/>
          <w:bCs/>
          <w:color w:val="auto"/>
          <w:kern w:val="0"/>
          <w:sz w:val="32"/>
          <w:szCs w:val="32"/>
          <w:highlight w:val="none"/>
        </w:rPr>
        <w:t>一、指导思想</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坚持以习近平新时代中国特色社会主义思想为指导，全面贯彻党的二十大、二十届二中、三中全会精神，深入落实习近平总书记关于“三农”工作的重要论述和《中共中央 国务院关于进一步深化农村改革扎实推进乡村全面振兴的意见》部署，完整准确全面贯彻新时代党的治疆方略。充分利用项目自主审批权限，加大资金投入力度，优化资金使用机制，提高配置效率，创新方式方法，形成全方位帮扶合力，持续巩固拓展脱贫攻坚成果，奋力推进乡村全面振兴。</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黑体" w:cs="Times New Roman"/>
          <w:b/>
          <w:bCs w:val="0"/>
          <w:color w:val="auto"/>
          <w:kern w:val="0"/>
          <w:sz w:val="32"/>
          <w:szCs w:val="32"/>
          <w:highlight w:val="none"/>
          <w:lang w:eastAsia="zh-CN"/>
        </w:rPr>
      </w:pPr>
      <w:r>
        <w:rPr>
          <w:rFonts w:hint="default" w:ascii="Times New Roman" w:hAnsi="Times New Roman" w:eastAsia="黑体" w:cs="Times New Roman"/>
          <w:b w:val="0"/>
          <w:bCs/>
          <w:color w:val="auto"/>
          <w:kern w:val="0"/>
          <w:sz w:val="32"/>
          <w:szCs w:val="32"/>
          <w:highlight w:val="none"/>
          <w:lang w:val="en-US" w:eastAsia="zh-CN"/>
        </w:rPr>
        <w:t>二</w:t>
      </w:r>
      <w:r>
        <w:rPr>
          <w:rFonts w:hint="default" w:ascii="Times New Roman" w:hAnsi="Times New Roman" w:eastAsia="黑体" w:cs="Times New Roman"/>
          <w:b w:val="0"/>
          <w:bCs/>
          <w:color w:val="auto"/>
          <w:kern w:val="0"/>
          <w:sz w:val="32"/>
          <w:szCs w:val="32"/>
          <w:highlight w:val="none"/>
          <w:lang w:eastAsia="zh-CN"/>
        </w:rPr>
        <w:t>、项目职责权限划分</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仿宋_GBK" w:cs="Times New Roman"/>
          <w:b/>
          <w:bCs/>
          <w:color w:val="auto"/>
          <w:sz w:val="32"/>
          <w:szCs w:val="32"/>
          <w:lang w:eastAsia="zh-CN"/>
        </w:rPr>
      </w:pPr>
      <w:r>
        <w:rPr>
          <w:rFonts w:hint="default" w:ascii="Times New Roman" w:hAnsi="Times New Roman" w:eastAsia="方正楷体_GBK" w:cs="Times New Roman"/>
          <w:b/>
          <w:bCs/>
          <w:color w:val="auto"/>
          <w:sz w:val="32"/>
          <w:szCs w:val="32"/>
          <w:lang w:eastAsia="zh-CN"/>
        </w:rPr>
        <w:t>（一）</w:t>
      </w:r>
      <w:r>
        <w:rPr>
          <w:rFonts w:hint="default" w:ascii="Times New Roman" w:hAnsi="Times New Roman" w:eastAsia="方正楷体_GBK" w:cs="Times New Roman"/>
          <w:b/>
          <w:bCs/>
          <w:color w:val="auto"/>
          <w:sz w:val="32"/>
          <w:szCs w:val="32"/>
          <w:lang w:val="en-US" w:eastAsia="zh-CN"/>
        </w:rPr>
        <w:t>资金</w:t>
      </w:r>
      <w:r>
        <w:rPr>
          <w:rFonts w:hint="default" w:ascii="Times New Roman" w:hAnsi="Times New Roman" w:eastAsia="方正楷体_GBK" w:cs="Times New Roman"/>
          <w:b/>
          <w:bCs/>
          <w:color w:val="auto"/>
          <w:sz w:val="32"/>
          <w:szCs w:val="32"/>
          <w:lang w:eastAsia="zh-CN"/>
        </w:rPr>
        <w:t>主管单位职责。</w:t>
      </w:r>
      <w:r>
        <w:rPr>
          <w:rFonts w:hint="default" w:ascii="Times New Roman" w:hAnsi="Times New Roman" w:eastAsia="方正仿宋_GBK" w:cs="Times New Roman"/>
          <w:color w:val="auto"/>
          <w:kern w:val="0"/>
          <w:sz w:val="32"/>
          <w:szCs w:val="32"/>
          <w:highlight w:val="none"/>
          <w:lang w:val="en-US" w:eastAsia="zh-CN"/>
        </w:rPr>
        <w:t>资金主管部门主要负责项目库、项目计划编制和审查论证，下达资金安排计划，对项目质量、进度监督检查，组织开展项目竣工验收。</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楷体_GBK" w:cs="Times New Roman"/>
          <w:b/>
          <w:bCs/>
          <w:color w:val="auto"/>
          <w:sz w:val="32"/>
          <w:szCs w:val="32"/>
          <w:lang w:eastAsia="zh-CN"/>
        </w:rPr>
        <w:t>（</w:t>
      </w:r>
      <w:r>
        <w:rPr>
          <w:rFonts w:hint="default" w:ascii="Times New Roman" w:hAnsi="Times New Roman" w:eastAsia="方正楷体_GBK" w:cs="Times New Roman"/>
          <w:b/>
          <w:bCs/>
          <w:color w:val="auto"/>
          <w:sz w:val="32"/>
          <w:szCs w:val="32"/>
          <w:lang w:val="en-US" w:eastAsia="zh-CN"/>
        </w:rPr>
        <w:t>二</w:t>
      </w:r>
      <w:r>
        <w:rPr>
          <w:rFonts w:hint="default" w:ascii="Times New Roman" w:hAnsi="Times New Roman" w:eastAsia="方正楷体_GBK" w:cs="Times New Roman"/>
          <w:b/>
          <w:bCs/>
          <w:color w:val="auto"/>
          <w:sz w:val="32"/>
          <w:szCs w:val="32"/>
          <w:lang w:eastAsia="zh-CN"/>
        </w:rPr>
        <w:t>）项目主管单位职责。</w:t>
      </w:r>
      <w:r>
        <w:rPr>
          <w:rFonts w:hint="default" w:ascii="Times New Roman" w:hAnsi="Times New Roman" w:eastAsia="方正仿宋_GBK" w:cs="Times New Roman"/>
          <w:color w:val="auto"/>
          <w:kern w:val="0"/>
          <w:sz w:val="32"/>
          <w:szCs w:val="32"/>
          <w:highlight w:val="none"/>
          <w:lang w:val="en-US" w:eastAsia="zh-CN"/>
        </w:rPr>
        <w:t>项目主管单位主要负责项目实施方案的审查论证，项目前期资料的审核，对项目质量、进度监督检查，参与项目竣工验收。</w:t>
      </w:r>
    </w:p>
    <w:p>
      <w:pPr>
        <w:pStyle w:val="2"/>
        <w:keepNext w:val="0"/>
        <w:keepLines w:val="0"/>
        <w:pageBreakBefore w:val="0"/>
        <w:kinsoku/>
        <w:wordWrap/>
        <w:overflowPunct/>
        <w:topLinePunct w:val="0"/>
        <w:bidi w:val="0"/>
        <w:snapToGrid/>
        <w:spacing w:line="560" w:lineRule="exact"/>
        <w:ind w:firstLine="626"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楷体_GBK" w:cs="Times New Roman"/>
          <w:b/>
          <w:bCs/>
          <w:color w:val="auto"/>
          <w:sz w:val="32"/>
          <w:szCs w:val="32"/>
          <w:lang w:val="en-US" w:eastAsia="zh-CN"/>
        </w:rPr>
        <w:t>（三）项目建设单位职责</w:t>
      </w:r>
      <w:r>
        <w:rPr>
          <w:rFonts w:hint="default" w:ascii="Times New Roman" w:hAnsi="Times New Roman" w:eastAsia="楷体_GB2312" w:cs="Times New Roman"/>
          <w:b/>
          <w:bCs/>
          <w:color w:val="auto"/>
          <w:sz w:val="32"/>
          <w:szCs w:val="32"/>
          <w:lang w:val="en-US" w:eastAsia="zh-CN"/>
        </w:rPr>
        <w:t>。</w:t>
      </w:r>
      <w:r>
        <w:rPr>
          <w:rFonts w:hint="default" w:ascii="Times New Roman" w:hAnsi="Times New Roman" w:eastAsia="方正仿宋_GBK" w:cs="Times New Roman"/>
          <w:color w:val="auto"/>
          <w:kern w:val="0"/>
          <w:sz w:val="32"/>
          <w:szCs w:val="32"/>
          <w:highlight w:val="none"/>
          <w:lang w:val="en-US" w:eastAsia="zh-CN"/>
        </w:rPr>
        <w:t>项目建设单位主要负责制定《项目可行性研究报告》《初步设计方案》《项目实施方案》，组织开展项目设计、勘察、招投标、合同订立、委托项目监理、结算审核、财务决算等，督促项目施工单位和监理单位履职尽责，对项目施工质量和进度进行监督检查，按照工程进度支付项目资金，项目竣工后向主管部门提出验收申请等。</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楷体_GBK" w:cs="Times New Roman"/>
          <w:b/>
          <w:bCs/>
          <w:color w:val="auto"/>
          <w:sz w:val="32"/>
          <w:szCs w:val="32"/>
          <w:lang w:val="en-US" w:eastAsia="zh-CN"/>
        </w:rPr>
        <w:t>（四）项目施工单位职责。</w:t>
      </w:r>
      <w:r>
        <w:rPr>
          <w:rFonts w:hint="default" w:ascii="Times New Roman" w:hAnsi="Times New Roman" w:eastAsia="方正仿宋_GBK" w:cs="Times New Roman"/>
          <w:color w:val="auto"/>
          <w:kern w:val="0"/>
          <w:sz w:val="32"/>
          <w:szCs w:val="32"/>
          <w:highlight w:val="none"/>
          <w:lang w:val="en-US" w:eastAsia="zh-CN"/>
        </w:rPr>
        <w:t>组织项目按照设计要求施工，保证项目施工质量和施工进度。</w:t>
      </w:r>
    </w:p>
    <w:p>
      <w:pPr>
        <w:keepNext w:val="0"/>
        <w:keepLines w:val="0"/>
        <w:pageBreakBefore w:val="0"/>
        <w:kinsoku/>
        <w:wordWrap/>
        <w:overflowPunct/>
        <w:topLinePunct w:val="0"/>
        <w:autoSpaceDE/>
        <w:autoSpaceDN/>
        <w:bidi w:val="0"/>
        <w:adjustRightInd/>
        <w:snapToGrid/>
        <w:spacing w:line="560" w:lineRule="exact"/>
        <w:ind w:firstLine="626" w:firstLineChars="200"/>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楷体_GBK" w:cs="Times New Roman"/>
          <w:b/>
          <w:bCs/>
          <w:color w:val="auto"/>
          <w:sz w:val="32"/>
          <w:szCs w:val="32"/>
          <w:lang w:val="en-US" w:eastAsia="zh-CN"/>
        </w:rPr>
        <w:t>（五）</w:t>
      </w:r>
      <w:r>
        <w:rPr>
          <w:rFonts w:hint="default" w:ascii="Times New Roman" w:hAnsi="Times New Roman" w:eastAsia="方正楷体_GBK" w:cs="Times New Roman"/>
          <w:b/>
          <w:bCs/>
          <w:color w:val="auto"/>
          <w:sz w:val="32"/>
          <w:szCs w:val="32"/>
          <w:highlight w:val="none"/>
          <w:lang w:val="en-US" w:eastAsia="zh-CN"/>
        </w:rPr>
        <w:t>项目使</w:t>
      </w:r>
      <w:r>
        <w:rPr>
          <w:rFonts w:hint="default" w:ascii="Times New Roman" w:hAnsi="Times New Roman" w:eastAsia="方正楷体_GBK" w:cs="Times New Roman"/>
          <w:b/>
          <w:bCs/>
          <w:color w:val="auto"/>
          <w:sz w:val="32"/>
          <w:szCs w:val="32"/>
          <w:lang w:val="en-US" w:eastAsia="zh-CN"/>
        </w:rPr>
        <w:t>用单位。</w:t>
      </w:r>
      <w:r>
        <w:rPr>
          <w:rFonts w:hint="default" w:ascii="Times New Roman" w:hAnsi="Times New Roman" w:eastAsia="方正仿宋_GBK" w:cs="Times New Roman"/>
          <w:color w:val="auto"/>
          <w:kern w:val="0"/>
          <w:sz w:val="32"/>
          <w:szCs w:val="32"/>
          <w:highlight w:val="none"/>
          <w:lang w:val="en-US" w:eastAsia="zh-CN"/>
        </w:rPr>
        <w:t>遵循“谁使用、谁管理、谁负责”原则，做好项目后续管理。</w:t>
      </w:r>
    </w:p>
    <w:p>
      <w:pPr>
        <w:keepNext w:val="0"/>
        <w:keepLines w:val="0"/>
        <w:pageBreakBefore w:val="0"/>
        <w:widowControl/>
        <w:numPr>
          <w:ilvl w:val="0"/>
          <w:numId w:val="0"/>
        </w:numPr>
        <w:kinsoku/>
        <w:wordWrap/>
        <w:overflowPunct/>
        <w:topLinePunct w:val="0"/>
        <w:bidi w:val="0"/>
        <w:snapToGrid/>
        <w:spacing w:line="560" w:lineRule="exact"/>
        <w:ind w:right="0" w:rightChars="0" w:firstLine="626"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三、项目建设内容</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楷体_GBK" w:cs="Times New Roman"/>
          <w:b/>
          <w:bCs/>
          <w:color w:val="auto"/>
          <w:sz w:val="32"/>
          <w:szCs w:val="32"/>
          <w:highlight w:val="none"/>
          <w:lang w:eastAsia="zh-CN"/>
        </w:rPr>
      </w:pPr>
      <w:r>
        <w:rPr>
          <w:rFonts w:hint="default" w:ascii="Times New Roman" w:hAnsi="Times New Roman" w:eastAsia="方正楷体_GBK" w:cs="Times New Roman"/>
          <w:b/>
          <w:bCs/>
          <w:color w:val="auto"/>
          <w:sz w:val="32"/>
          <w:szCs w:val="32"/>
          <w:highlight w:val="none"/>
          <w:lang w:eastAsia="zh-CN"/>
        </w:rPr>
        <w:t>（一）阿克陶县2025年巩固拓展脱贫攻坚成果同乡村振兴项目储备库共138个项目，计划投资251521.636438万元</w:t>
      </w:r>
      <w:bookmarkStart w:id="0" w:name="_GoBack"/>
      <w:bookmarkEnd w:id="0"/>
      <w:r>
        <w:rPr>
          <w:rFonts w:hint="eastAsia" w:eastAsia="方正楷体_GBK" w:cs="Times New Roman"/>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lang w:eastAsia="zh-CN"/>
        </w:rPr>
        <w:t>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1.产业发展79个项目，计划投资147050.3497万元，投资占比58.</w:t>
      </w:r>
      <w:r>
        <w:rPr>
          <w:rFonts w:hint="default" w:ascii="Times New Roman" w:hAnsi="Times New Roman" w:eastAsia="方正仿宋_GBK" w:cs="Times New Roman"/>
          <w:b/>
          <w:bCs/>
          <w:color w:val="auto"/>
          <w:sz w:val="32"/>
          <w:szCs w:val="32"/>
          <w:highlight w:val="none"/>
          <w:lang w:val="en-US" w:eastAsia="zh-CN"/>
        </w:rPr>
        <w:t>46</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产业到户奖补4个项目，计划投资12736.84274万元，其中：种植业1个项目，建设规模7项，计划投资2067.92217万元；畜牧业1个项目，建设规模4项，计划投资7662.436万元；庭院经济1个项目，建设规模1011.5亩，计划投资101.15万元；就业创业1个项目，建设规模3人，计划投资2905.334565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生产项目43个项目，计划投资39885.177万元，其中：种植业基地15个项目，建设规模46260亩/座，计划投资21053.507万元；养殖业基地15个项目，建设规模3282座/头/个，计划投资11030.75万元；林草基地建设4个项目，建设规模49829亩，计划投资3158.42万元；休闲农业与乡村旅游9个项目，建设规模2087个，计划投资4642.5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（3）加工流通项目5个项目，计划投资1722万元，其中：产地初加工和精深加工4个项目，建设规模5座/个，计划投资1332万元；品牌打造和展销平台1个项目，建设规模1座，计划投资390万元。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4）配套基础设施项目26个项目，计划投资92234.33万元，其中：小型农田水利设施建设(排碱渠、节水灌溉、防渗渠建设、其它乡村振兴有关的农田水利建设)19个项目，建设规模2116.097公里/万立方米，计划投资91492.33万元；其他（合作社补助、壮大村集体经济）7个项目，建设规模10个/台，计划投资742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（5）金融保险配套项目1个项目，计划投资472万元，其中：小额贷款贴息1个项目，建设规模</w:t>
      </w:r>
      <w:r>
        <w:rPr>
          <w:rFonts w:hint="default" w:ascii="Times New Roman" w:hAnsi="Times New Roman" w:eastAsia="方正仿宋_GBK" w:cs="Times New Roman"/>
          <w:b w:val="0"/>
          <w:bCs w:val="0"/>
          <w:color w:val="auto"/>
          <w:sz w:val="32"/>
          <w:szCs w:val="32"/>
          <w:highlight w:val="none"/>
          <w:lang w:val="en-US" w:eastAsia="zh-CN"/>
        </w:rPr>
        <w:t>4812</w:t>
      </w:r>
      <w:r>
        <w:rPr>
          <w:rFonts w:hint="default" w:ascii="Times New Roman" w:hAnsi="Times New Roman" w:eastAsia="方正仿宋_GBK" w:cs="Times New Roman"/>
          <w:b w:val="0"/>
          <w:bCs w:val="0"/>
          <w:color w:val="auto"/>
          <w:sz w:val="32"/>
          <w:szCs w:val="32"/>
          <w:highlight w:val="none"/>
          <w:lang w:eastAsia="zh-CN"/>
        </w:rPr>
        <w:t>户，计划投资472万元；</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2.就业项目1个项目，计划投资1200万元，投资占比0.48%。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3.乡村建设行动43个项目，计划投资51201.1547万元，投资占比20.</w:t>
      </w:r>
      <w:r>
        <w:rPr>
          <w:rFonts w:hint="default" w:ascii="Times New Roman" w:hAnsi="Times New Roman" w:eastAsia="方正仿宋_GBK" w:cs="Times New Roman"/>
          <w:b/>
          <w:bCs/>
          <w:color w:val="auto"/>
          <w:sz w:val="32"/>
          <w:szCs w:val="32"/>
          <w:highlight w:val="none"/>
          <w:lang w:val="en-US" w:eastAsia="zh-CN"/>
        </w:rPr>
        <w:t>35</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农村基础设施（含产业基础设施配套）28个项目，计划投资31154.075万元，其中：农村道路（县乡之间、乡乡之间、乡村之间及其沿线管理、服务等附属设施；道路安全生命防护工程、危旧桥梁改造；乡级客货运输站场、招呼站；村内道路、通户路等）14个项目，建设规模134.257公里/座，计划投资22117万元；</w:t>
      </w:r>
    </w:p>
    <w:p>
      <w:pPr>
        <w:keepNext w:val="0"/>
        <w:keepLines w:val="0"/>
        <w:pageBreakBefore w:val="0"/>
        <w:kinsoku/>
        <w:wordWrap/>
        <w:overflowPunct/>
        <w:topLinePunct w:val="0"/>
        <w:autoSpaceDE w:val="0"/>
        <w:autoSpaceDN w:val="0"/>
        <w:bidi w:val="0"/>
        <w:adjustRightInd w:val="0"/>
        <w:snapToGrid/>
        <w:spacing w:line="560" w:lineRule="exact"/>
        <w:ind w:right="0" w:rightChars="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产业路、资源路、旅游路建设3个项目，建设规模14.09公里，计划投资620万元；农村清洁能源设施（燃气、户用光伏、风电、水电、农村生物质能源、北方地区清洁取暖等）3个项目，建设规模3座，计划投资1900万元；其他（防洪工程、渠道清淤、草原配套设施）8个项目，建设规模47.917公里/套，计划投资6517.075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人居环境整治10个项目，计划投资4943.85万元，其中：农村污水治理5个项目，建设规模18.13公里/套，计划投资2523.85万元；农村垃圾治理2个项目，建设规模5座，计划投资1250万元；村容村貌提升3个项目，建设规模35公里，计划投资1170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4.巩固三保障成果14个项目，计划投资52020.74万元，投资占比20.</w:t>
      </w:r>
      <w:r>
        <w:rPr>
          <w:rFonts w:hint="default" w:ascii="Times New Roman" w:hAnsi="Times New Roman" w:eastAsia="方正仿宋_GBK" w:cs="Times New Roman"/>
          <w:b/>
          <w:bCs/>
          <w:color w:val="auto"/>
          <w:sz w:val="32"/>
          <w:szCs w:val="32"/>
          <w:highlight w:val="none"/>
          <w:lang w:val="en-US" w:eastAsia="zh-CN"/>
        </w:rPr>
        <w:t>68</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（1）教育1个项目，计划投资2522.1万元，其中：享受</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雨露计划+</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职业教育补助1个项目，建设规模</w:t>
      </w:r>
      <w:r>
        <w:rPr>
          <w:rFonts w:hint="default" w:ascii="Times New Roman" w:hAnsi="Times New Roman" w:eastAsia="方正仿宋_GBK" w:cs="Times New Roman"/>
          <w:b w:val="0"/>
          <w:bCs w:val="0"/>
          <w:color w:val="auto"/>
          <w:sz w:val="32"/>
          <w:szCs w:val="32"/>
          <w:highlight w:val="none"/>
          <w:lang w:val="en-US" w:eastAsia="zh-CN"/>
        </w:rPr>
        <w:t>8407</w:t>
      </w:r>
      <w:r>
        <w:rPr>
          <w:rFonts w:hint="default" w:ascii="Times New Roman" w:hAnsi="Times New Roman" w:eastAsia="方正仿宋_GBK" w:cs="Times New Roman"/>
          <w:b w:val="0"/>
          <w:bCs w:val="0"/>
          <w:color w:val="auto"/>
          <w:sz w:val="32"/>
          <w:szCs w:val="32"/>
          <w:highlight w:val="none"/>
          <w:lang w:eastAsia="zh-CN"/>
        </w:rPr>
        <w:t>人，计划投资2522.1万元。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（2）饮水13个项目，计划投资49498.64万元，其中：农村饮水安全巩固提升13个项目，建设规模137.12座/公里/户，计划投资49498.64万元。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5.其他1个项目，计划投资49.392万元，投资占比0.02%。</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（1）其他1个项目，计划投资49.392万元，其中：困难群众饮用低氟茶1个项目，建设规模8232户，计划投资49.392万元。</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具体内容详见附件2。</w:t>
      </w:r>
      <w:r>
        <w:rPr>
          <w:rFonts w:hint="eastAsia" w:eastAsia="方正仿宋_GBK" w:cs="Times New Roman"/>
          <w:b w:val="0"/>
          <w:bCs w:val="0"/>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楷体_GBK" w:cs="Times New Roman"/>
          <w:b/>
          <w:bCs/>
          <w:color w:val="auto"/>
          <w:sz w:val="32"/>
          <w:szCs w:val="32"/>
          <w:highlight w:val="none"/>
          <w:lang w:eastAsia="zh-CN"/>
        </w:rPr>
      </w:pPr>
      <w:r>
        <w:rPr>
          <w:rFonts w:hint="default" w:ascii="Times New Roman" w:hAnsi="Times New Roman" w:eastAsia="方正楷体_GBK" w:cs="Times New Roman"/>
          <w:b/>
          <w:bCs/>
          <w:color w:val="auto"/>
          <w:sz w:val="32"/>
          <w:szCs w:val="32"/>
          <w:highlight w:val="none"/>
          <w:lang w:eastAsia="zh-CN"/>
        </w:rPr>
        <w:t>（二）阿克陶县2025年巩固拓展脱贫攻坚成果</w:t>
      </w:r>
      <w:r>
        <w:rPr>
          <w:rFonts w:hint="default" w:ascii="Times New Roman" w:hAnsi="Times New Roman" w:eastAsia="方正楷体_GBK" w:cs="Times New Roman"/>
          <w:b/>
          <w:bCs/>
          <w:color w:val="auto"/>
          <w:sz w:val="32"/>
          <w:szCs w:val="32"/>
          <w:highlight w:val="none"/>
          <w:lang w:val="en-US" w:eastAsia="zh-CN"/>
        </w:rPr>
        <w:t>同</w:t>
      </w:r>
      <w:r>
        <w:rPr>
          <w:rFonts w:hint="default" w:ascii="Times New Roman" w:hAnsi="Times New Roman" w:eastAsia="方正楷体_GBK" w:cs="Times New Roman"/>
          <w:b/>
          <w:bCs/>
          <w:color w:val="auto"/>
          <w:sz w:val="32"/>
          <w:szCs w:val="32"/>
          <w:highlight w:val="none"/>
          <w:lang w:eastAsia="zh-CN"/>
        </w:rPr>
        <w:t>乡村振兴项目计划库共98个项目，计划投资83989.566438万元</w:t>
      </w:r>
      <w:r>
        <w:rPr>
          <w:rFonts w:hint="eastAsia" w:eastAsia="方正楷体_GBK" w:cs="Times New Roman"/>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lang w:eastAsia="zh-CN"/>
        </w:rPr>
        <w:t>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1.产业发展59个项目，计划投资51774.16974万元，投资占比61.6</w:t>
      </w:r>
      <w:r>
        <w:rPr>
          <w:rFonts w:hint="default" w:ascii="Times New Roman" w:hAnsi="Times New Roman" w:eastAsia="方正仿宋_GBK" w:cs="Times New Roman"/>
          <w:b/>
          <w:bCs/>
          <w:color w:val="auto"/>
          <w:sz w:val="32"/>
          <w:szCs w:val="32"/>
          <w:highlight w:val="none"/>
          <w:lang w:val="en-US" w:eastAsia="zh-CN"/>
        </w:rPr>
        <w:t>4</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产业到户奖补4个项目，计划投资12736.84274万元，其中：种植业1个项目，建设规模7项，计划投资2067.92217万元；畜牧业1个项目，建设规模4项，计划投资7662.436万元；庭院经济1个项目，建设规模1011.5亩，计划投资101.15万元；就业创业1个项目，建设规模3人，计划投资2905.334565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生产项目31个项目，计划投资29242.677万元，其中：种植业基地11个项目，建设规模35500亩/座，计划投资15975.507万元；养殖业基地13个项目，建设规模3077座/头/个，计划投资9330.75万元；林草基地建设1个项目，建设规模44482亩，计划投资908.42万元；休闲农业与乡村旅游6个项目，建设规模2084个，计划投资3028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（3）加工流通项目3个项目，计划投资872万元，其中：产地初加工和精深加工2个项目，建设规模3座/个，计划投资482万元；品牌打造和展销平台1个项目，建设规模1座，计划投资390万元。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4）配套基础设施项目20个项目，计划投资8450.65万元，其中：小型农田水利设施建设(排碱渠、节水灌溉、防渗渠建设、其它乡村振兴有关的农田水利建设)14个项目，建设规模81.697公里/万立方米，计划投资7908.65万元；其他（合作社补助、壮大村集体经济）6个项目，建设规模9个/台，计划投资542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（5）金融保险配套项目1个项目，计划投资472万元，其中：小额贷款贴息1个项目，建设规模</w:t>
      </w:r>
      <w:r>
        <w:rPr>
          <w:rFonts w:hint="default" w:ascii="Times New Roman" w:hAnsi="Times New Roman" w:eastAsia="方正仿宋_GBK" w:cs="Times New Roman"/>
          <w:b w:val="0"/>
          <w:bCs w:val="0"/>
          <w:color w:val="auto"/>
          <w:sz w:val="32"/>
          <w:szCs w:val="32"/>
          <w:highlight w:val="none"/>
          <w:lang w:val="en-US" w:eastAsia="zh-CN"/>
        </w:rPr>
        <w:t>4812</w:t>
      </w:r>
      <w:r>
        <w:rPr>
          <w:rFonts w:hint="default" w:ascii="Times New Roman" w:hAnsi="Times New Roman" w:eastAsia="方正仿宋_GBK" w:cs="Times New Roman"/>
          <w:b w:val="0"/>
          <w:bCs w:val="0"/>
          <w:color w:val="auto"/>
          <w:sz w:val="32"/>
          <w:szCs w:val="32"/>
          <w:highlight w:val="none"/>
          <w:lang w:eastAsia="zh-CN"/>
        </w:rPr>
        <w:t>户，计划投资472万元。</w:t>
      </w:r>
    </w:p>
    <w:p>
      <w:pPr>
        <w:keepNext w:val="0"/>
        <w:keepLines w:val="0"/>
        <w:pageBreakBefore w:val="0"/>
        <w:kinsoku/>
        <w:wordWrap/>
        <w:overflowPunct/>
        <w:topLinePunct w:val="0"/>
        <w:autoSpaceDE w:val="0"/>
        <w:autoSpaceDN w:val="0"/>
        <w:bidi w:val="0"/>
        <w:adjustRightInd w:val="0"/>
        <w:snapToGrid/>
        <w:spacing w:line="560" w:lineRule="exact"/>
        <w:ind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2.就业项目1个项目，计划投资1200万元，投资占比1.4</w:t>
      </w:r>
      <w:r>
        <w:rPr>
          <w:rFonts w:hint="default" w:ascii="Times New Roman" w:hAnsi="Times New Roman" w:eastAsia="方正仿宋_GBK" w:cs="Times New Roman"/>
          <w:b/>
          <w:bCs/>
          <w:color w:val="auto"/>
          <w:sz w:val="32"/>
          <w:szCs w:val="32"/>
          <w:highlight w:val="none"/>
          <w:lang w:val="en-US" w:eastAsia="zh-CN"/>
        </w:rPr>
        <w:t>2</w:t>
      </w:r>
      <w:r>
        <w:rPr>
          <w:rFonts w:hint="default" w:ascii="Times New Roman" w:hAnsi="Times New Roman" w:eastAsia="方正仿宋_GBK" w:cs="Times New Roman"/>
          <w:b/>
          <w:bCs/>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3.乡村建设行动28个项目，计划投资26849.5947万元，投资占比3</w:t>
      </w:r>
      <w:r>
        <w:rPr>
          <w:rFonts w:hint="default"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eastAsia="zh-CN"/>
        </w:rPr>
        <w:t>.9</w:t>
      </w:r>
      <w:r>
        <w:rPr>
          <w:rFonts w:hint="default" w:ascii="Times New Roman" w:hAnsi="Times New Roman" w:eastAsia="方正仿宋_GBK" w:cs="Times New Roman"/>
          <w:b/>
          <w:bCs/>
          <w:color w:val="auto"/>
          <w:sz w:val="32"/>
          <w:szCs w:val="32"/>
          <w:highlight w:val="none"/>
          <w:lang w:val="en-US" w:eastAsia="zh-CN"/>
        </w:rPr>
        <w:t>6</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农村基础设施（含产业基础设施配套）17个项目，计划投资8892.515万元，其中：农村道路（县乡之间、乡乡之间、乡村之间及其沿线管理、服务等附属设施；道路安全生命防护工程、危旧桥梁改造；乡级客货运输站场、招呼站；村内道路、通户路等）7个项目，建设规模50.544公里/座，计划投资4082万元；产业路、资源路、旅游路建设2个项目，建设规模4.39公里，计划投资230万元；农村清洁能源设施（燃气、户用光伏、风电、水电、农村生物质能源、北方地区清洁取暖等）3个项目，建设规模3座，计划投资1900万元；其他（防洪工程、渠道清淤、草原配套设施）5个项目，建设规模41.1公里/套，计划投资2680.515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（2）人居环境整治6个项目，计划投资2853.85万元，其中：农村污水治理4个项目，建设规模13.83公里/套，计划投资2073.85万元；村容村貌提升2个项目，建设规模30公里，计划投资780万元。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（3）农村公共服务5个项目，计划投资15103.229703万元，其中：开展县乡村公共服务一体化示范创建5个项目，建设规模5个，计划投资15103.229703万元。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4.巩固三保障成果9个项目，计划投资4116.41万元，投资占比4.9%。</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（1）教育1个项目，计划投资2522.1万元，其中：享受</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雨露计划+</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职业教育补助1个项目，建设规模</w:t>
      </w:r>
      <w:r>
        <w:rPr>
          <w:rFonts w:hint="default" w:ascii="Times New Roman" w:hAnsi="Times New Roman" w:eastAsia="方正仿宋_GBK" w:cs="Times New Roman"/>
          <w:b w:val="0"/>
          <w:bCs w:val="0"/>
          <w:color w:val="auto"/>
          <w:sz w:val="32"/>
          <w:szCs w:val="32"/>
          <w:highlight w:val="none"/>
          <w:lang w:val="en-US" w:eastAsia="zh-CN"/>
        </w:rPr>
        <w:t>8407</w:t>
      </w:r>
      <w:r>
        <w:rPr>
          <w:rFonts w:hint="default" w:ascii="Times New Roman" w:hAnsi="Times New Roman" w:eastAsia="方正仿宋_GBK" w:cs="Times New Roman"/>
          <w:b w:val="0"/>
          <w:bCs w:val="0"/>
          <w:color w:val="auto"/>
          <w:sz w:val="32"/>
          <w:szCs w:val="32"/>
          <w:highlight w:val="none"/>
          <w:lang w:eastAsia="zh-CN"/>
        </w:rPr>
        <w:t>人，计划投资2522.1万元。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（2）饮水8个项目，计划投资1594.31万元，其中：农村饮水安全巩固提升8个项目，建设规模128.12座/公里/户，计划投资1594.31万元。</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leftChars="200" w:right="0" w:rightChars="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lang w:eastAsia="zh-CN"/>
        </w:rPr>
        <w:t>其他1个项目，计划投资49.392万元，投资占比0.0</w:t>
      </w:r>
      <w:r>
        <w:rPr>
          <w:rFonts w:hint="default" w:ascii="Times New Roman" w:hAnsi="Times New Roman"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Chars="0" w:right="0" w:rightChars="0" w:firstLine="626" w:firstLineChars="200"/>
        <w:jc w:val="left"/>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（1）其他1个项目，计划投资49.392万元，其中：困难群众饮用低氟茶1个项目，建设规模8232户，计划投资49.392万元。</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具体内容详见附件3。</w:t>
      </w:r>
      <w:r>
        <w:rPr>
          <w:rFonts w:hint="eastAsia" w:eastAsia="方正仿宋_GBK" w:cs="Times New Roman"/>
          <w:b w:val="0"/>
          <w:bCs w:val="0"/>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楷体_GBK" w:cs="Times New Roman"/>
          <w:b/>
          <w:bCs/>
          <w:color w:val="auto"/>
          <w:sz w:val="32"/>
          <w:szCs w:val="32"/>
          <w:highlight w:val="none"/>
          <w:lang w:eastAsia="zh-CN"/>
        </w:rPr>
      </w:pPr>
      <w:r>
        <w:rPr>
          <w:rFonts w:hint="default" w:ascii="Times New Roman" w:hAnsi="Times New Roman" w:eastAsia="方正楷体_GBK" w:cs="Times New Roman"/>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lang w:val="en-US" w:eastAsia="zh-CN"/>
        </w:rPr>
        <w:t>三</w:t>
      </w:r>
      <w:r>
        <w:rPr>
          <w:rFonts w:hint="default" w:ascii="Times New Roman" w:hAnsi="Times New Roman" w:eastAsia="方正楷体_GBK" w:cs="Times New Roman"/>
          <w:b/>
          <w:bCs/>
          <w:color w:val="auto"/>
          <w:sz w:val="32"/>
          <w:szCs w:val="32"/>
          <w:highlight w:val="none"/>
          <w:lang w:eastAsia="zh-CN"/>
        </w:rPr>
        <w:t>）阿克陶县2025年巩固拓展脱贫攻坚成果</w:t>
      </w:r>
      <w:r>
        <w:rPr>
          <w:rFonts w:hint="default" w:ascii="Times New Roman" w:hAnsi="Times New Roman" w:eastAsia="方正楷体_GBK" w:cs="Times New Roman"/>
          <w:b/>
          <w:bCs/>
          <w:color w:val="auto"/>
          <w:sz w:val="32"/>
          <w:szCs w:val="32"/>
          <w:highlight w:val="none"/>
          <w:lang w:val="en-US" w:eastAsia="zh-CN"/>
        </w:rPr>
        <w:t>同</w:t>
      </w:r>
      <w:r>
        <w:rPr>
          <w:rFonts w:hint="default" w:ascii="Times New Roman" w:hAnsi="Times New Roman" w:eastAsia="方正楷体_GBK" w:cs="Times New Roman"/>
          <w:b/>
          <w:bCs/>
          <w:color w:val="auto"/>
          <w:sz w:val="32"/>
          <w:szCs w:val="32"/>
          <w:highlight w:val="none"/>
          <w:lang w:eastAsia="zh-CN"/>
        </w:rPr>
        <w:t>乡村振兴项目执行库共75个项目，计划投资58819.69944万元</w:t>
      </w:r>
      <w:r>
        <w:rPr>
          <w:rFonts w:hint="eastAsia" w:eastAsia="方正楷体_GBK" w:cs="Times New Roman"/>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lang w:eastAsia="zh-CN"/>
        </w:rPr>
        <w:t>其中：</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1.产业发展48个项目，计划投资39263.15274万元，投资占比66.7</w:t>
      </w:r>
      <w:r>
        <w:rPr>
          <w:rFonts w:hint="default" w:ascii="Times New Roman" w:hAnsi="Times New Roman" w:eastAsia="方正仿宋_GBK" w:cs="Times New Roman"/>
          <w:b/>
          <w:bCs/>
          <w:color w:val="auto"/>
          <w:sz w:val="32"/>
          <w:szCs w:val="32"/>
          <w:highlight w:val="none"/>
          <w:lang w:val="en-US" w:eastAsia="zh-CN"/>
        </w:rPr>
        <w:t>5</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产业到户奖补4个项目，计划投资12736.84274万元，其中：种植业1个项目，建设规模7项，计划投资2067.92217万元；畜牧业1个项目，建设规模4项，计划投资7662.436万元；庭院经济1个项目，建设规模1011.5亩，计划投资101.15万元；就业创业1个项目，建设规模3人，计划投资2905.334565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（2）生产项目26个项目，计划投资19964.17万元，其中：种植业基地6个项目，建设规模7680亩/座，计划投资6697万元；养殖业基地13个项目，建设规模3077座/头/个，计划投资9330.75万元；</w:t>
      </w:r>
    </w:p>
    <w:p>
      <w:pPr>
        <w:keepNext w:val="0"/>
        <w:keepLines w:val="0"/>
        <w:pageBreakBefore w:val="0"/>
        <w:kinsoku/>
        <w:wordWrap/>
        <w:overflowPunct/>
        <w:topLinePunct w:val="0"/>
        <w:autoSpaceDE w:val="0"/>
        <w:autoSpaceDN w:val="0"/>
        <w:bidi w:val="0"/>
        <w:adjustRightInd w:val="0"/>
        <w:snapToGrid/>
        <w:spacing w:line="560" w:lineRule="exact"/>
        <w:ind w:right="0" w:rightChars="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林草基地建设1个项目，建设规模44482亩，计划投资908.42万元；休闲农业与乡村旅游6个项目，建设规模2084个，计划投资3028万元。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（3）加工流通项目2个项目，计划投资492万元，其中：品牌打造和展销平台1个项目，建设规模1座，计划投资390万元。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4）配套基础设施项目15个项目，计划投资5598.14万元，其中：小型农田水利设施建设(排碱渠、节水灌溉、防渗渠建设、其它乡村振兴有关的农田水利建设)10个项目，建设规模60.733公里/万立方米，计划投资5158.14万元；其他（合作社补助、壮大村集体经济）5个项目，建设规模8个/台，计划投资440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（5）金融保险配套项目1个项目，计划投资472万元，其中：小额贷款贴息1个项目，建设规模</w:t>
      </w:r>
      <w:r>
        <w:rPr>
          <w:rFonts w:hint="default" w:ascii="Times New Roman" w:hAnsi="Times New Roman" w:eastAsia="方正仿宋_GBK" w:cs="Times New Roman"/>
          <w:b w:val="0"/>
          <w:bCs w:val="0"/>
          <w:color w:val="auto"/>
          <w:sz w:val="32"/>
          <w:szCs w:val="32"/>
          <w:highlight w:val="none"/>
          <w:lang w:val="en-US" w:eastAsia="zh-CN"/>
        </w:rPr>
        <w:t>4812</w:t>
      </w:r>
      <w:r>
        <w:rPr>
          <w:rFonts w:hint="default" w:ascii="Times New Roman" w:hAnsi="Times New Roman" w:eastAsia="方正仿宋_GBK" w:cs="Times New Roman"/>
          <w:b w:val="0"/>
          <w:bCs w:val="0"/>
          <w:color w:val="auto"/>
          <w:sz w:val="32"/>
          <w:szCs w:val="32"/>
          <w:highlight w:val="none"/>
          <w:lang w:eastAsia="zh-CN"/>
        </w:rPr>
        <w:t>户，计划投资472万元。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2.就业项目1个项目，计划投资1200万元，投资占比2.04%。</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（1）公益性岗位1个项目，计划投资1200万元，其中：公益性岗位1个项目，建设规模1000人，计划投资1200万元。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3.乡村建设行动17个项目，计划投资15010.744703万元，投资占比25.5</w:t>
      </w:r>
      <w:r>
        <w:rPr>
          <w:rFonts w:hint="default" w:ascii="Times New Roman" w:hAnsi="Times New Roman" w:eastAsia="方正仿宋_GBK" w:cs="Times New Roman"/>
          <w:b/>
          <w:bCs/>
          <w:color w:val="auto"/>
          <w:sz w:val="32"/>
          <w:szCs w:val="32"/>
          <w:highlight w:val="none"/>
          <w:lang w:val="en-US" w:eastAsia="zh-CN"/>
        </w:rPr>
        <w:t>1</w:t>
      </w:r>
      <w:r>
        <w:rPr>
          <w:rFonts w:hint="default" w:ascii="Times New Roman" w:hAnsi="Times New Roman" w:eastAsia="方正仿宋_GBK" w:cs="Times New Roman"/>
          <w:b/>
          <w:bCs/>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农村基础设施（含产业基础设施配套）9个项目，计划投资2627.515万元，其中：农村道路（县乡之间、乡乡之间、乡村之间及其沿线管理、服务等附属设施；道路安全生命防护工程、危旧桥梁改造；乡级客货运输站场、招呼站；村内道路、通户路等）5个项目，建设规模22.244公里/座，计划投资1977万元；产业路、资源路、旅游路建设</w:t>
      </w:r>
      <w:r>
        <w:rPr>
          <w:rFonts w:hint="default" w:ascii="Times New Roman" w:hAnsi="Times New Roman" w:eastAsia="方正仿宋_GBK" w:cs="Times New Roman"/>
          <w:b w:val="0"/>
          <w:bCs w:val="0"/>
          <w:color w:val="auto"/>
          <w:sz w:val="32"/>
          <w:szCs w:val="32"/>
          <w:highlight w:val="none"/>
          <w:lang w:val="en-US" w:eastAsia="zh-CN"/>
        </w:rPr>
        <w:t>1</w:t>
      </w:r>
      <w:r>
        <w:rPr>
          <w:rFonts w:hint="default" w:ascii="Times New Roman" w:hAnsi="Times New Roman" w:eastAsia="方正仿宋_GBK" w:cs="Times New Roman"/>
          <w:b w:val="0"/>
          <w:bCs w:val="0"/>
          <w:color w:val="auto"/>
          <w:sz w:val="32"/>
          <w:szCs w:val="32"/>
          <w:highlight w:val="none"/>
          <w:lang w:eastAsia="zh-CN"/>
        </w:rPr>
        <w:t>个项目，建设规模</w:t>
      </w:r>
      <w:r>
        <w:rPr>
          <w:rFonts w:hint="default" w:ascii="Times New Roman" w:hAnsi="Times New Roman" w:eastAsia="方正仿宋_GBK" w:cs="Times New Roman"/>
          <w:b w:val="0"/>
          <w:bCs w:val="0"/>
          <w:color w:val="auto"/>
          <w:sz w:val="32"/>
          <w:szCs w:val="32"/>
          <w:highlight w:val="none"/>
          <w:lang w:val="en-US" w:eastAsia="zh-CN"/>
        </w:rPr>
        <w:t>2.19</w:t>
      </w:r>
      <w:r>
        <w:rPr>
          <w:rFonts w:hint="default" w:ascii="Times New Roman" w:hAnsi="Times New Roman" w:eastAsia="方正仿宋_GBK" w:cs="Times New Roman"/>
          <w:b w:val="0"/>
          <w:bCs w:val="0"/>
          <w:color w:val="auto"/>
          <w:sz w:val="32"/>
          <w:szCs w:val="32"/>
          <w:highlight w:val="none"/>
          <w:lang w:eastAsia="zh-CN"/>
        </w:rPr>
        <w:t>公里，计划投资</w:t>
      </w:r>
      <w:r>
        <w:rPr>
          <w:rFonts w:hint="default" w:ascii="Times New Roman" w:hAnsi="Times New Roman" w:eastAsia="方正仿宋_GBK" w:cs="Times New Roman"/>
          <w:b w:val="0"/>
          <w:bCs w:val="0"/>
          <w:color w:val="auto"/>
          <w:sz w:val="32"/>
          <w:szCs w:val="32"/>
          <w:highlight w:val="none"/>
          <w:lang w:val="en-US" w:eastAsia="zh-CN"/>
        </w:rPr>
        <w:t>80</w:t>
      </w:r>
      <w:r>
        <w:rPr>
          <w:rFonts w:hint="default" w:ascii="Times New Roman" w:hAnsi="Times New Roman" w:eastAsia="方正仿宋_GBK" w:cs="Times New Roman"/>
          <w:b w:val="0"/>
          <w:bCs w:val="0"/>
          <w:color w:val="auto"/>
          <w:sz w:val="32"/>
          <w:szCs w:val="32"/>
          <w:highlight w:val="none"/>
          <w:lang w:eastAsia="zh-CN"/>
        </w:rPr>
        <w:t>万元；其他（防洪工程、渠道清淤、草原配套设施）3个项目，建设规模38公里/套，计划投资570.515万元。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（2）人居环境整治4个项目，计划投资2280万元，其中：农村污水治理2个项目，建设规模6.83公里/套，计划投资1500万元；村容村貌提升2个项目，建设规模30公里，计划投资780万元。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（3）农村公共服务4个项目，计划投资10103.229703万元，其中：开展县乡村公共服务一体化示范创建4个项目，建设规模4个，计划投资10103.229703万元。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4.巩固三保障成果8个项目，计划投资3296.41万元，投资占比5.6%。</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（1）教育1个项目，计划投资2522.1万元，其中：享受“雨露计划+”职业教育补助1个项目，建设规模</w:t>
      </w:r>
      <w:r>
        <w:rPr>
          <w:rFonts w:hint="default" w:ascii="Times New Roman" w:hAnsi="Times New Roman" w:eastAsia="方正仿宋_GBK" w:cs="Times New Roman"/>
          <w:b w:val="0"/>
          <w:bCs w:val="0"/>
          <w:color w:val="auto"/>
          <w:sz w:val="32"/>
          <w:szCs w:val="32"/>
          <w:highlight w:val="none"/>
          <w:lang w:val="en-US" w:eastAsia="zh-CN"/>
        </w:rPr>
        <w:t>8407</w:t>
      </w:r>
      <w:r>
        <w:rPr>
          <w:rFonts w:hint="default" w:ascii="Times New Roman" w:hAnsi="Times New Roman" w:eastAsia="方正仿宋_GBK" w:cs="Times New Roman"/>
          <w:b w:val="0"/>
          <w:bCs w:val="0"/>
          <w:color w:val="auto"/>
          <w:sz w:val="32"/>
          <w:szCs w:val="32"/>
          <w:highlight w:val="none"/>
          <w:lang w:eastAsia="zh-CN"/>
        </w:rPr>
        <w:t>人，计划投资2522.1万元。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（2）饮水7个项目，计划投资774.31万元，其中：农村饮水安全巩固提升7个项目，建设规模118.12座/公里/户，计划投资774.31万元。</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lang w:eastAsia="zh-CN"/>
        </w:rPr>
        <w:t>5.其他1个项目，计划投资49.392万元，投资占比0.08%。</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val="0"/>
          <w:bCs w:val="0"/>
          <w:color w:val="auto"/>
          <w:sz w:val="32"/>
          <w:szCs w:val="32"/>
          <w:highlight w:val="none"/>
          <w:lang w:eastAsia="zh-CN"/>
        </w:rPr>
        <w:t>（1）其他1个项目，计划投资49.392万元，其中：困难群众饮用低氟茶1个项目，建设规模8232户，计划投资49.392万元。</w:t>
      </w:r>
      <w:r>
        <w:rPr>
          <w:rFonts w:hint="eastAsia"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eastAsia="zh-CN"/>
        </w:rPr>
        <w:t>具体内容详见附件4。</w:t>
      </w:r>
      <w:r>
        <w:rPr>
          <w:rFonts w:hint="eastAsia" w:eastAsia="方正仿宋_GBK" w:cs="Times New Roman"/>
          <w:b w:val="0"/>
          <w:bCs w:val="0"/>
          <w:color w:val="auto"/>
          <w:sz w:val="32"/>
          <w:szCs w:val="32"/>
          <w:highlight w:val="none"/>
          <w:lang w:eastAsia="zh-CN"/>
        </w:rPr>
        <w:t>）</w:t>
      </w:r>
    </w:p>
    <w:p>
      <w:pPr>
        <w:keepNext w:val="0"/>
        <w:keepLines w:val="0"/>
        <w:pageBreakBefore w:val="0"/>
        <w:kinsoku/>
        <w:wordWrap/>
        <w:overflowPunct/>
        <w:topLinePunct w:val="0"/>
        <w:autoSpaceDE w:val="0"/>
        <w:autoSpaceDN w:val="0"/>
        <w:bidi w:val="0"/>
        <w:adjustRightInd w:val="0"/>
        <w:snapToGrid/>
        <w:spacing w:line="560" w:lineRule="exact"/>
        <w:ind w:left="0" w:leftChars="0" w:right="0" w:rightChars="0" w:firstLine="626" w:firstLineChars="200"/>
        <w:jc w:val="both"/>
        <w:textAlignment w:val="auto"/>
        <w:outlineLvl w:val="9"/>
        <w:rPr>
          <w:rFonts w:hint="default" w:ascii="Times New Roman" w:hAnsi="Times New Roman" w:eastAsia="仿宋_GB2312" w:cs="Times New Roman"/>
          <w:b w:val="0"/>
          <w:bCs/>
          <w:color w:val="auto"/>
          <w:kern w:val="0"/>
          <w:sz w:val="32"/>
          <w:szCs w:val="32"/>
          <w:highlight w:val="none"/>
        </w:rPr>
      </w:pPr>
      <w:r>
        <w:rPr>
          <w:rFonts w:hint="default" w:ascii="Times New Roman" w:hAnsi="Times New Roman" w:eastAsia="黑体" w:cs="Times New Roman"/>
          <w:b w:val="0"/>
          <w:bCs/>
          <w:color w:val="auto"/>
          <w:sz w:val="32"/>
          <w:szCs w:val="32"/>
          <w:highlight w:val="none"/>
          <w:lang w:val="en-US" w:eastAsia="zh-CN"/>
        </w:rPr>
        <w:t>四</w:t>
      </w:r>
      <w:r>
        <w:rPr>
          <w:rFonts w:hint="default" w:ascii="Times New Roman" w:hAnsi="Times New Roman" w:eastAsia="黑体" w:cs="Times New Roman"/>
          <w:b w:val="0"/>
          <w:bCs/>
          <w:color w:val="auto"/>
          <w:sz w:val="32"/>
          <w:szCs w:val="32"/>
          <w:highlight w:val="none"/>
        </w:rPr>
        <w:t>、</w:t>
      </w:r>
      <w:r>
        <w:rPr>
          <w:rFonts w:hint="default" w:ascii="Times New Roman" w:hAnsi="Times New Roman" w:eastAsia="黑体" w:cs="Times New Roman"/>
          <w:b w:val="0"/>
          <w:bCs/>
          <w:color w:val="auto"/>
          <w:kern w:val="0"/>
          <w:sz w:val="32"/>
          <w:szCs w:val="32"/>
          <w:highlight w:val="none"/>
        </w:rPr>
        <w:t>实施要求</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color w:val="auto"/>
          <w:sz w:val="32"/>
          <w:szCs w:val="32"/>
          <w:highlight w:val="red"/>
          <w:lang w:val="en-US" w:eastAsia="zh-CN"/>
        </w:rPr>
      </w:pPr>
      <w:r>
        <w:rPr>
          <w:rFonts w:hint="default" w:ascii="Times New Roman" w:hAnsi="Times New Roman" w:eastAsia="方正楷体_GBK" w:cs="Times New Roman"/>
          <w:b/>
          <w:bCs/>
          <w:color w:val="auto"/>
          <w:sz w:val="32"/>
          <w:szCs w:val="32"/>
          <w:highlight w:val="none"/>
          <w:lang w:eastAsia="zh-CN"/>
        </w:rPr>
        <w:t>（一）</w:t>
      </w:r>
      <w:r>
        <w:rPr>
          <w:rFonts w:hint="default" w:ascii="Times New Roman" w:hAnsi="Times New Roman" w:eastAsia="方正楷体_GBK" w:cs="Times New Roman"/>
          <w:b/>
          <w:bCs/>
          <w:color w:val="auto"/>
          <w:sz w:val="32"/>
          <w:szCs w:val="32"/>
          <w:highlight w:val="none"/>
          <w:lang w:val="en-US" w:eastAsia="zh-CN"/>
        </w:rPr>
        <w:t>加强项目实施管理。</w:t>
      </w:r>
      <w:r>
        <w:rPr>
          <w:rFonts w:hint="eastAsia" w:ascii="方正仿宋_GBK" w:hAnsi="方正仿宋_GBK" w:eastAsia="方正仿宋_GBK" w:cs="方正仿宋_GBK"/>
          <w:b w:val="0"/>
          <w:bCs w:val="0"/>
          <w:color w:val="auto"/>
          <w:sz w:val="32"/>
          <w:szCs w:val="32"/>
          <w:highlight w:val="none"/>
          <w:lang w:val="en-US" w:eastAsia="zh-CN"/>
        </w:rPr>
        <w:t>项目经党委农村工作领导小组批复后，各项目建设单位要严格按照批复的建设内容、建设地点、规模等内容实施，不得擅自更改和调整，确需调整的，由项目建设单位、主管部门提出申请，报党委农村工作领导小组研究同意后予以调整。各项目建设单位、主管部门要加强项目实施过程中的监督检查，加快项目实施进度，保证项目建设质量和施工安全。</w:t>
      </w:r>
      <w:r>
        <w:rPr>
          <w:rFonts w:hint="eastAsia" w:ascii="方正仿宋_GBK" w:hAnsi="方正仿宋_GBK" w:eastAsia="方正仿宋_GBK" w:cs="方正仿宋_GBK"/>
          <w:color w:val="auto"/>
          <w:sz w:val="32"/>
          <w:szCs w:val="32"/>
          <w:highlight w:val="none"/>
          <w:lang w:val="en-US" w:eastAsia="zh-CN"/>
        </w:rPr>
        <w:t>项目竣工后，项目建设单位要按照“一项目一档案”的要求，扎实做好档案的收集整理工作。</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lang w:val="en-US" w:eastAsia="zh-CN"/>
        </w:rPr>
        <w:t>二</w:t>
      </w:r>
      <w:r>
        <w:rPr>
          <w:rFonts w:hint="default" w:ascii="Times New Roman" w:hAnsi="Times New Roman" w:eastAsia="方正楷体_GBK" w:cs="Times New Roman"/>
          <w:b/>
          <w:bCs/>
          <w:color w:val="auto"/>
          <w:sz w:val="32"/>
          <w:szCs w:val="32"/>
          <w:highlight w:val="none"/>
          <w:lang w:eastAsia="zh-CN"/>
        </w:rPr>
        <w:t>）</w:t>
      </w:r>
      <w:r>
        <w:rPr>
          <w:rFonts w:hint="default" w:ascii="Times New Roman" w:hAnsi="Times New Roman" w:eastAsia="方正楷体_GBK" w:cs="Times New Roman"/>
          <w:b/>
          <w:bCs/>
          <w:color w:val="auto"/>
          <w:sz w:val="32"/>
          <w:szCs w:val="32"/>
          <w:highlight w:val="none"/>
          <w:lang w:val="en-US" w:eastAsia="zh-CN"/>
        </w:rPr>
        <w:t>规范项目资金管理</w:t>
      </w:r>
      <w:r>
        <w:rPr>
          <w:rFonts w:hint="default" w:ascii="Times New Roman" w:hAnsi="Times New Roman" w:eastAsia="楷体_GB2312" w:cs="Times New Roman"/>
          <w:b/>
          <w:bCs/>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财政衔接资金</w:t>
      </w:r>
      <w:r>
        <w:rPr>
          <w:rFonts w:hint="default" w:ascii="Times New Roman" w:hAnsi="Times New Roman" w:eastAsia="方正仿宋_GBK" w:cs="Times New Roman"/>
          <w:b w:val="0"/>
          <w:bCs w:val="0"/>
          <w:color w:val="auto"/>
          <w:sz w:val="32"/>
          <w:szCs w:val="32"/>
          <w:highlight w:val="none"/>
          <w:lang w:val="zh-CN" w:eastAsia="zh-CN"/>
        </w:rPr>
        <w:t>实行国库集中支付报帐运行，</w:t>
      </w:r>
      <w:r>
        <w:rPr>
          <w:rFonts w:hint="default" w:ascii="Times New Roman" w:hAnsi="Times New Roman" w:eastAsia="方正仿宋_GBK" w:cs="Times New Roman"/>
          <w:color w:val="auto"/>
          <w:sz w:val="32"/>
          <w:szCs w:val="32"/>
          <w:highlight w:val="none"/>
          <w:lang w:val="zh-CN" w:eastAsia="zh-CN"/>
        </w:rPr>
        <w:t>资金拨付由项目建设单位向项目主管</w:t>
      </w:r>
      <w:r>
        <w:rPr>
          <w:rFonts w:hint="default" w:ascii="Times New Roman" w:hAnsi="Times New Roman" w:eastAsia="方正仿宋_GBK" w:cs="Times New Roman"/>
          <w:b w:val="0"/>
          <w:bCs w:val="0"/>
          <w:color w:val="auto"/>
          <w:sz w:val="32"/>
          <w:szCs w:val="32"/>
          <w:highlight w:val="none"/>
          <w:lang w:val="en-US" w:eastAsia="zh-CN"/>
        </w:rPr>
        <w:t>部门</w:t>
      </w:r>
      <w:r>
        <w:rPr>
          <w:rFonts w:hint="default" w:ascii="Times New Roman" w:hAnsi="Times New Roman" w:eastAsia="方正仿宋_GBK" w:cs="Times New Roman"/>
          <w:color w:val="auto"/>
          <w:sz w:val="32"/>
          <w:szCs w:val="32"/>
          <w:highlight w:val="none"/>
          <w:lang w:val="en-US" w:eastAsia="zh-CN"/>
        </w:rPr>
        <w:t>提出</w:t>
      </w:r>
      <w:r>
        <w:rPr>
          <w:rFonts w:hint="default" w:ascii="Times New Roman" w:hAnsi="Times New Roman" w:eastAsia="方正仿宋_GBK" w:cs="Times New Roman"/>
          <w:color w:val="auto"/>
          <w:sz w:val="32"/>
          <w:szCs w:val="32"/>
          <w:highlight w:val="none"/>
          <w:lang w:val="zh-CN" w:eastAsia="zh-CN"/>
        </w:rPr>
        <w:t>申请，</w:t>
      </w:r>
      <w:r>
        <w:rPr>
          <w:rFonts w:hint="default" w:ascii="Times New Roman" w:hAnsi="Times New Roman" w:eastAsia="方正仿宋_GBK" w:cs="Times New Roman"/>
          <w:color w:val="auto"/>
          <w:sz w:val="32"/>
          <w:szCs w:val="32"/>
          <w:highlight w:val="none"/>
          <w:lang w:val="en-US" w:eastAsia="zh-CN"/>
        </w:rPr>
        <w:t>经主管部门</w:t>
      </w:r>
      <w:r>
        <w:rPr>
          <w:rFonts w:hint="default" w:ascii="Times New Roman" w:hAnsi="Times New Roman" w:eastAsia="方正仿宋_GBK" w:cs="Times New Roman"/>
          <w:color w:val="auto"/>
          <w:sz w:val="32"/>
          <w:szCs w:val="32"/>
          <w:highlight w:val="none"/>
          <w:lang w:val="zh-CN" w:eastAsia="zh-CN"/>
        </w:rPr>
        <w:t>同意</w:t>
      </w:r>
      <w:r>
        <w:rPr>
          <w:rFonts w:hint="default" w:ascii="Times New Roman" w:hAnsi="Times New Roman" w:eastAsia="方正仿宋_GBK" w:cs="Times New Roman"/>
          <w:color w:val="auto"/>
          <w:sz w:val="32"/>
          <w:szCs w:val="32"/>
          <w:highlight w:val="none"/>
          <w:lang w:val="en-US" w:eastAsia="zh-CN"/>
        </w:rPr>
        <w:t>后提交</w:t>
      </w:r>
      <w:r>
        <w:rPr>
          <w:rFonts w:hint="default" w:ascii="Times New Roman" w:hAnsi="Times New Roman" w:eastAsia="方正仿宋_GBK" w:cs="Times New Roman"/>
          <w:color w:val="auto"/>
          <w:sz w:val="32"/>
          <w:szCs w:val="32"/>
          <w:highlight w:val="none"/>
          <w:lang w:val="zh-CN" w:eastAsia="zh-CN"/>
        </w:rPr>
        <w:t>财政局审核</w:t>
      </w:r>
      <w:r>
        <w:rPr>
          <w:rFonts w:hint="default" w:ascii="Times New Roman" w:hAnsi="Times New Roman" w:eastAsia="方正仿宋_GBK" w:cs="Times New Roman"/>
          <w:color w:val="auto"/>
          <w:sz w:val="32"/>
          <w:szCs w:val="32"/>
          <w:highlight w:val="none"/>
          <w:lang w:val="en-US" w:eastAsia="zh-CN"/>
        </w:rPr>
        <w:t>，由</w:t>
      </w:r>
      <w:r>
        <w:rPr>
          <w:rFonts w:hint="default" w:ascii="Times New Roman" w:hAnsi="Times New Roman" w:eastAsia="方正仿宋_GBK" w:cs="Times New Roman"/>
          <w:color w:val="auto"/>
          <w:sz w:val="32"/>
          <w:szCs w:val="32"/>
          <w:highlight w:val="none"/>
          <w:lang w:val="zh-CN" w:eastAsia="zh-CN"/>
        </w:rPr>
        <w:t>国库支付中心</w:t>
      </w:r>
      <w:r>
        <w:rPr>
          <w:rFonts w:hint="default" w:ascii="Times New Roman" w:hAnsi="Times New Roman" w:eastAsia="方正仿宋_GBK" w:cs="Times New Roman"/>
          <w:color w:val="auto"/>
          <w:sz w:val="32"/>
          <w:szCs w:val="32"/>
          <w:highlight w:val="none"/>
          <w:lang w:val="en-US" w:eastAsia="zh-CN"/>
        </w:rPr>
        <w:t>支付至施工单位</w:t>
      </w:r>
      <w:r>
        <w:rPr>
          <w:rFonts w:hint="default"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b w:val="0"/>
          <w:bCs w:val="0"/>
          <w:color w:val="auto"/>
          <w:sz w:val="32"/>
          <w:szCs w:val="32"/>
          <w:highlight w:val="none"/>
          <w:lang w:val="en-US" w:eastAsia="zh-CN"/>
        </w:rPr>
        <w:t>各项目建设单位要严格资金审核审批手续，按照项目实施进度拨付资金，</w:t>
      </w:r>
      <w:r>
        <w:rPr>
          <w:rFonts w:hint="default" w:ascii="Times New Roman" w:hAnsi="Times New Roman" w:eastAsia="方正仿宋_GBK" w:cs="Times New Roman"/>
          <w:color w:val="auto"/>
          <w:sz w:val="32"/>
          <w:szCs w:val="32"/>
          <w:highlight w:val="none"/>
          <w:lang w:val="zh-CN" w:eastAsia="zh-CN"/>
        </w:rPr>
        <w:t>不得随意改变资金用途，扩大资金使用范围，严禁挪用、挤占和滞留资金。</w:t>
      </w:r>
    </w:p>
    <w:p>
      <w:pPr>
        <w:keepNext w:val="0"/>
        <w:keepLines w:val="0"/>
        <w:pageBreakBefore w:val="0"/>
        <w:widowControl/>
        <w:kinsoku/>
        <w:wordWrap/>
        <w:overflowPunct/>
        <w:topLinePunct w:val="0"/>
        <w:autoSpaceDE/>
        <w:autoSpaceDN/>
        <w:bidi w:val="0"/>
        <w:snapToGrid/>
        <w:spacing w:line="560" w:lineRule="exact"/>
        <w:ind w:left="0" w:leftChars="0" w:right="0" w:rightChars="0" w:firstLine="626" w:firstLineChars="200"/>
        <w:jc w:val="both"/>
        <w:textAlignment w:val="auto"/>
        <w:outlineLvl w:val="9"/>
        <w:rPr>
          <w:rFonts w:hint="eastAsia" w:ascii="方正仿宋_GBK" w:hAnsi="方正仿宋_GBK" w:eastAsia="方正仿宋_GBK" w:cs="方正仿宋_GBK"/>
          <w:lang w:val="en-US" w:eastAsia="zh-CN"/>
        </w:rPr>
      </w:pPr>
      <w:r>
        <w:rPr>
          <w:rFonts w:hint="default" w:ascii="Times New Roman" w:hAnsi="Times New Roman" w:eastAsia="方正楷体_GBK" w:cs="Times New Roman"/>
          <w:b/>
          <w:bCs/>
          <w:color w:val="auto"/>
          <w:sz w:val="32"/>
          <w:szCs w:val="32"/>
          <w:highlight w:val="none"/>
          <w:lang w:eastAsia="zh-CN"/>
        </w:rPr>
        <w:t>（三）</w:t>
      </w:r>
      <w:r>
        <w:rPr>
          <w:rFonts w:hint="default" w:ascii="Times New Roman" w:hAnsi="Times New Roman" w:eastAsia="方正楷体_GBK" w:cs="Times New Roman"/>
          <w:b/>
          <w:bCs/>
          <w:color w:val="auto"/>
          <w:sz w:val="32"/>
          <w:szCs w:val="32"/>
          <w:highlight w:val="none"/>
          <w:lang w:val="en-US" w:eastAsia="zh-CN"/>
        </w:rPr>
        <w:t>强化项目公告公示</w:t>
      </w:r>
      <w:r>
        <w:rPr>
          <w:rFonts w:hint="default" w:ascii="Times New Roman" w:hAnsi="Times New Roman" w:eastAsia="方正楷体_GBK" w:cs="Times New Roman"/>
          <w:b/>
          <w:bCs/>
          <w:color w:val="auto"/>
          <w:sz w:val="32"/>
          <w:szCs w:val="32"/>
          <w:highlight w:val="none"/>
          <w:lang w:val="zh-CN" w:eastAsia="zh-CN"/>
        </w:rPr>
        <w:t>。</w:t>
      </w:r>
      <w:r>
        <w:rPr>
          <w:rFonts w:hint="eastAsia" w:ascii="方正仿宋_GBK" w:hAnsi="方正仿宋_GBK" w:eastAsia="方正仿宋_GBK" w:cs="方正仿宋_GBK"/>
          <w:b w:val="0"/>
          <w:bCs w:val="0"/>
          <w:color w:val="auto"/>
          <w:sz w:val="32"/>
          <w:szCs w:val="32"/>
          <w:highlight w:val="none"/>
          <w:lang w:val="en-US" w:eastAsia="zh-CN"/>
        </w:rPr>
        <w:t>各项目建设单位和主管部门要严格落实衔接资金公告公示相关要求，项目建设单位对项目库、项目计划、资金分配情况、项目实施方案及时公示公告，</w:t>
      </w:r>
      <w:r>
        <w:rPr>
          <w:rFonts w:hint="eastAsia" w:ascii="方正仿宋_GBK" w:hAnsi="方正仿宋_GBK" w:eastAsia="方正仿宋_GBK" w:cs="方正仿宋_GBK"/>
          <w:color w:val="auto"/>
          <w:sz w:val="32"/>
          <w:szCs w:val="32"/>
          <w:highlight w:val="none"/>
          <w:lang w:val="zh-CN" w:eastAsia="zh-CN"/>
        </w:rPr>
        <w:t>在</w:t>
      </w:r>
      <w:r>
        <w:rPr>
          <w:rFonts w:hint="eastAsia" w:ascii="方正仿宋_GBK" w:hAnsi="方正仿宋_GBK" w:eastAsia="方正仿宋_GBK" w:cs="方正仿宋_GBK"/>
          <w:color w:val="auto"/>
          <w:sz w:val="32"/>
          <w:szCs w:val="32"/>
          <w:highlight w:val="none"/>
          <w:lang w:val="en-US" w:eastAsia="zh-CN"/>
        </w:rPr>
        <w:t>乡村两级公示栏、</w:t>
      </w:r>
      <w:r>
        <w:rPr>
          <w:rFonts w:hint="eastAsia" w:ascii="方正仿宋_GBK" w:hAnsi="方正仿宋_GBK" w:eastAsia="方正仿宋_GBK" w:cs="方正仿宋_GBK"/>
          <w:color w:val="auto"/>
          <w:sz w:val="32"/>
          <w:szCs w:val="32"/>
          <w:highlight w:val="none"/>
          <w:lang w:val="zh-CN" w:eastAsia="zh-CN"/>
        </w:rPr>
        <w:t>主要实施</w:t>
      </w:r>
      <w:r>
        <w:rPr>
          <w:rFonts w:hint="eastAsia" w:ascii="方正仿宋_GBK" w:hAnsi="方正仿宋_GBK" w:eastAsia="方正仿宋_GBK" w:cs="方正仿宋_GBK"/>
          <w:color w:val="auto"/>
          <w:sz w:val="32"/>
          <w:szCs w:val="32"/>
          <w:highlight w:val="none"/>
          <w:lang w:val="en-US" w:eastAsia="zh-CN"/>
        </w:rPr>
        <w:t>地</w:t>
      </w:r>
      <w:r>
        <w:rPr>
          <w:rFonts w:hint="eastAsia" w:ascii="方正仿宋_GBK" w:hAnsi="方正仿宋_GBK" w:eastAsia="方正仿宋_GBK" w:cs="方正仿宋_GBK"/>
          <w:color w:val="auto"/>
          <w:sz w:val="32"/>
          <w:szCs w:val="32"/>
          <w:highlight w:val="none"/>
          <w:lang w:val="zh-CN" w:eastAsia="zh-CN"/>
        </w:rPr>
        <w:t>点</w:t>
      </w:r>
      <w:r>
        <w:rPr>
          <w:rFonts w:hint="eastAsia" w:ascii="方正仿宋_GBK" w:hAnsi="方正仿宋_GBK" w:eastAsia="方正仿宋_GBK" w:cs="方正仿宋_GBK"/>
          <w:color w:val="auto"/>
          <w:sz w:val="32"/>
          <w:szCs w:val="32"/>
          <w:highlight w:val="none"/>
          <w:lang w:val="en-US" w:eastAsia="zh-CN"/>
        </w:rPr>
        <w:t>等</w:t>
      </w:r>
      <w:r>
        <w:rPr>
          <w:rFonts w:hint="eastAsia" w:ascii="方正仿宋_GBK" w:hAnsi="方正仿宋_GBK" w:eastAsia="方正仿宋_GBK" w:cs="方正仿宋_GBK"/>
          <w:color w:val="auto"/>
          <w:sz w:val="32"/>
          <w:szCs w:val="32"/>
          <w:highlight w:val="none"/>
          <w:lang w:val="zh-CN" w:eastAsia="zh-CN"/>
        </w:rPr>
        <w:t>树立项目公示牌，公开</w:t>
      </w:r>
      <w:r>
        <w:rPr>
          <w:rFonts w:hint="eastAsia" w:ascii="方正仿宋_GBK" w:hAnsi="方正仿宋_GBK" w:eastAsia="方正仿宋_GBK" w:cs="方正仿宋_GBK"/>
          <w:color w:val="auto"/>
          <w:sz w:val="32"/>
          <w:szCs w:val="32"/>
          <w:highlight w:val="none"/>
          <w:lang w:val="en-US" w:eastAsia="zh-CN"/>
        </w:rPr>
        <w:t>公示</w:t>
      </w:r>
      <w:r>
        <w:rPr>
          <w:rFonts w:hint="eastAsia" w:ascii="方正仿宋_GBK" w:hAnsi="方正仿宋_GBK" w:eastAsia="方正仿宋_GBK" w:cs="方正仿宋_GBK"/>
          <w:color w:val="auto"/>
          <w:sz w:val="32"/>
          <w:szCs w:val="32"/>
          <w:highlight w:val="none"/>
          <w:lang w:val="zh-CN" w:eastAsia="zh-CN"/>
        </w:rPr>
        <w:t>“项目名称、建设内容和规模、施工地点和范围、建设质量标准、投资及其构成、</w:t>
      </w:r>
      <w:r>
        <w:rPr>
          <w:rFonts w:hint="eastAsia" w:ascii="方正仿宋_GBK" w:hAnsi="方正仿宋_GBK" w:eastAsia="方正仿宋_GBK" w:cs="方正仿宋_GBK"/>
          <w:color w:val="auto"/>
          <w:sz w:val="32"/>
          <w:szCs w:val="32"/>
          <w:highlight w:val="none"/>
          <w:lang w:val="en-US" w:eastAsia="zh-CN"/>
        </w:rPr>
        <w:t>绩效</w:t>
      </w:r>
      <w:r>
        <w:rPr>
          <w:rFonts w:hint="eastAsia" w:ascii="方正仿宋_GBK" w:hAnsi="方正仿宋_GBK" w:eastAsia="方正仿宋_GBK" w:cs="方正仿宋_GBK"/>
          <w:color w:val="auto"/>
          <w:sz w:val="32"/>
          <w:szCs w:val="32"/>
          <w:highlight w:val="none"/>
          <w:lang w:val="zh-CN" w:eastAsia="zh-CN"/>
        </w:rPr>
        <w:t>情况、项目技术负责人”等事项，确保阳光操作，</w:t>
      </w:r>
      <w:r>
        <w:rPr>
          <w:rFonts w:hint="eastAsia" w:ascii="方正仿宋_GBK" w:hAnsi="方正仿宋_GBK" w:eastAsia="方正仿宋_GBK" w:cs="方正仿宋_GBK"/>
          <w:color w:val="auto"/>
          <w:sz w:val="32"/>
          <w:szCs w:val="32"/>
          <w:highlight w:val="none"/>
          <w:lang w:val="en-US" w:eastAsia="zh-CN"/>
        </w:rPr>
        <w:t>广泛</w:t>
      </w:r>
      <w:r>
        <w:rPr>
          <w:rFonts w:hint="eastAsia" w:ascii="方正仿宋_GBK" w:hAnsi="方正仿宋_GBK" w:eastAsia="方正仿宋_GBK" w:cs="方正仿宋_GBK"/>
          <w:color w:val="auto"/>
          <w:sz w:val="32"/>
          <w:szCs w:val="32"/>
          <w:highlight w:val="none"/>
          <w:lang w:val="zh-CN" w:eastAsia="zh-CN"/>
        </w:rPr>
        <w:t>接受</w:t>
      </w:r>
      <w:r>
        <w:rPr>
          <w:rFonts w:hint="eastAsia" w:ascii="方正仿宋_GBK" w:hAnsi="方正仿宋_GBK" w:eastAsia="方正仿宋_GBK" w:cs="方正仿宋_GBK"/>
          <w:color w:val="auto"/>
          <w:sz w:val="32"/>
          <w:szCs w:val="32"/>
          <w:highlight w:val="none"/>
          <w:lang w:val="en-US" w:eastAsia="zh-CN"/>
        </w:rPr>
        <w:t>社会各界</w:t>
      </w:r>
      <w:r>
        <w:rPr>
          <w:rFonts w:hint="eastAsia" w:ascii="方正仿宋_GBK" w:hAnsi="方正仿宋_GBK" w:eastAsia="方正仿宋_GBK" w:cs="方正仿宋_GBK"/>
          <w:color w:val="auto"/>
          <w:sz w:val="32"/>
          <w:szCs w:val="32"/>
          <w:highlight w:val="none"/>
          <w:lang w:val="zh-CN" w:eastAsia="zh-CN"/>
        </w:rPr>
        <w:t>监督。</w:t>
      </w:r>
    </w:p>
    <w:sectPr>
      <w:headerReference r:id="rId5" w:type="default"/>
      <w:footerReference r:id="rId6" w:type="default"/>
      <w:pgSz w:w="11901" w:h="16834"/>
      <w:pgMar w:top="2098" w:right="1474" w:bottom="1984" w:left="1587" w:header="851" w:footer="992" w:gutter="0"/>
      <w:pgNumType w:fmt="numberInDash" w:start="1"/>
      <w:cols w:space="720" w:num="1"/>
      <w:docGrid w:type="linesAndChars" w:linePitch="319" w:charSpace="-15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69AE8B3-26AF-4B5F-AD02-14D4BB114B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756F514-3D61-42FC-88CA-B965C2693E52}"/>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embedRegular r:id="rId3" w:fontKey="{87B7D978-D029-47D4-B230-999A24DA5D46}"/>
  </w:font>
  <w:font w:name="方正仿宋_GBK">
    <w:panose1 w:val="03000509000000000000"/>
    <w:charset w:val="86"/>
    <w:family w:val="auto"/>
    <w:pitch w:val="default"/>
    <w:sig w:usb0="00000001" w:usb1="080E0000" w:usb2="00000000" w:usb3="00000000" w:csb0="00040000" w:csb1="00000000"/>
    <w:embedRegular r:id="rId4" w:fontKey="{4AD03B28-6248-4391-9FEB-59A7E4F6F5CB}"/>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5" w:fontKey="{BBBD02B6-3C4E-42F3-9FD3-60B554C6AD7C}"/>
  </w:font>
  <w:font w:name="楷体_GB2312">
    <w:panose1 w:val="02010609030101010101"/>
    <w:charset w:val="86"/>
    <w:family w:val="auto"/>
    <w:pitch w:val="default"/>
    <w:sig w:usb0="00000001" w:usb1="080E0000" w:usb2="00000000" w:usb3="00000000" w:csb0="00040000" w:csb1="00000000"/>
    <w:embedRegular r:id="rId6" w:fontKey="{E1CF71FA-E2CE-4741-8B41-386BD5839B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5MzMyYzczZGI0MjMxNGYxY2U0NWNlMWQyZGVmZGQifQ=="/>
  </w:docVars>
  <w:rsids>
    <w:rsidRoot w:val="0050697F"/>
    <w:rsid w:val="00003681"/>
    <w:rsid w:val="00026B62"/>
    <w:rsid w:val="000974D4"/>
    <w:rsid w:val="00144609"/>
    <w:rsid w:val="0015301B"/>
    <w:rsid w:val="001C2CFE"/>
    <w:rsid w:val="001C4456"/>
    <w:rsid w:val="00244D74"/>
    <w:rsid w:val="00260331"/>
    <w:rsid w:val="00270103"/>
    <w:rsid w:val="00277A4D"/>
    <w:rsid w:val="0028674A"/>
    <w:rsid w:val="002A355F"/>
    <w:rsid w:val="002C5D75"/>
    <w:rsid w:val="00331F62"/>
    <w:rsid w:val="0037699C"/>
    <w:rsid w:val="003874B1"/>
    <w:rsid w:val="00395342"/>
    <w:rsid w:val="004059D7"/>
    <w:rsid w:val="00444433"/>
    <w:rsid w:val="00446920"/>
    <w:rsid w:val="00455BC0"/>
    <w:rsid w:val="004612BC"/>
    <w:rsid w:val="00462EB6"/>
    <w:rsid w:val="00473245"/>
    <w:rsid w:val="00490D79"/>
    <w:rsid w:val="004B669B"/>
    <w:rsid w:val="004C130D"/>
    <w:rsid w:val="004D5228"/>
    <w:rsid w:val="004F4D19"/>
    <w:rsid w:val="0050697F"/>
    <w:rsid w:val="00517073"/>
    <w:rsid w:val="00533882"/>
    <w:rsid w:val="0056253F"/>
    <w:rsid w:val="005E0CD1"/>
    <w:rsid w:val="005E0F1D"/>
    <w:rsid w:val="00617A28"/>
    <w:rsid w:val="00617F6A"/>
    <w:rsid w:val="006334B5"/>
    <w:rsid w:val="00642ECB"/>
    <w:rsid w:val="006455F3"/>
    <w:rsid w:val="00647731"/>
    <w:rsid w:val="00675722"/>
    <w:rsid w:val="00677DB7"/>
    <w:rsid w:val="006A178A"/>
    <w:rsid w:val="006D2AF6"/>
    <w:rsid w:val="00717706"/>
    <w:rsid w:val="00736FF1"/>
    <w:rsid w:val="0075215C"/>
    <w:rsid w:val="0076606F"/>
    <w:rsid w:val="00772340"/>
    <w:rsid w:val="007A0EA3"/>
    <w:rsid w:val="007A37B2"/>
    <w:rsid w:val="007B0E81"/>
    <w:rsid w:val="007B628D"/>
    <w:rsid w:val="007D045B"/>
    <w:rsid w:val="008077AB"/>
    <w:rsid w:val="00837711"/>
    <w:rsid w:val="00855E2C"/>
    <w:rsid w:val="00886E3E"/>
    <w:rsid w:val="008B1669"/>
    <w:rsid w:val="008D11AA"/>
    <w:rsid w:val="00960A21"/>
    <w:rsid w:val="009844F3"/>
    <w:rsid w:val="009B1331"/>
    <w:rsid w:val="009E2ECC"/>
    <w:rsid w:val="00A03B88"/>
    <w:rsid w:val="00A2385B"/>
    <w:rsid w:val="00A77384"/>
    <w:rsid w:val="00AD5C2F"/>
    <w:rsid w:val="00AE585D"/>
    <w:rsid w:val="00B439AE"/>
    <w:rsid w:val="00B53324"/>
    <w:rsid w:val="00C02630"/>
    <w:rsid w:val="00C24697"/>
    <w:rsid w:val="00C702F4"/>
    <w:rsid w:val="00C968D2"/>
    <w:rsid w:val="00CC1372"/>
    <w:rsid w:val="00CE52D2"/>
    <w:rsid w:val="00D15AEB"/>
    <w:rsid w:val="00D23DCF"/>
    <w:rsid w:val="00D460E4"/>
    <w:rsid w:val="00D4743A"/>
    <w:rsid w:val="00D47A52"/>
    <w:rsid w:val="00D5589C"/>
    <w:rsid w:val="00DC686D"/>
    <w:rsid w:val="00DD2082"/>
    <w:rsid w:val="00DD4847"/>
    <w:rsid w:val="00E12586"/>
    <w:rsid w:val="00E43FF3"/>
    <w:rsid w:val="00E57A7F"/>
    <w:rsid w:val="00E65343"/>
    <w:rsid w:val="00E8089F"/>
    <w:rsid w:val="00E85082"/>
    <w:rsid w:val="00EA3DCE"/>
    <w:rsid w:val="00ED7725"/>
    <w:rsid w:val="00EE6170"/>
    <w:rsid w:val="00F10E9F"/>
    <w:rsid w:val="00F144AD"/>
    <w:rsid w:val="00F17AE1"/>
    <w:rsid w:val="00FA06E0"/>
    <w:rsid w:val="00FC7BF2"/>
    <w:rsid w:val="012104EA"/>
    <w:rsid w:val="013C7481"/>
    <w:rsid w:val="015668C3"/>
    <w:rsid w:val="01933CA1"/>
    <w:rsid w:val="01A45240"/>
    <w:rsid w:val="01CF6BA4"/>
    <w:rsid w:val="01F8585D"/>
    <w:rsid w:val="01F93368"/>
    <w:rsid w:val="02063FE0"/>
    <w:rsid w:val="021563B1"/>
    <w:rsid w:val="02217B5C"/>
    <w:rsid w:val="02454DC9"/>
    <w:rsid w:val="024D21D6"/>
    <w:rsid w:val="026C327A"/>
    <w:rsid w:val="02890D36"/>
    <w:rsid w:val="029E30EC"/>
    <w:rsid w:val="02AC27EB"/>
    <w:rsid w:val="02BE378E"/>
    <w:rsid w:val="02E122B8"/>
    <w:rsid w:val="02F70F49"/>
    <w:rsid w:val="03410215"/>
    <w:rsid w:val="037D0349"/>
    <w:rsid w:val="03821244"/>
    <w:rsid w:val="038D2B62"/>
    <w:rsid w:val="03D47809"/>
    <w:rsid w:val="043D40D0"/>
    <w:rsid w:val="04664A43"/>
    <w:rsid w:val="04DF6255"/>
    <w:rsid w:val="04ED064B"/>
    <w:rsid w:val="04F9580D"/>
    <w:rsid w:val="04F964D3"/>
    <w:rsid w:val="05097AD0"/>
    <w:rsid w:val="052B1309"/>
    <w:rsid w:val="05726DCA"/>
    <w:rsid w:val="05E05D63"/>
    <w:rsid w:val="05EE437C"/>
    <w:rsid w:val="061E541A"/>
    <w:rsid w:val="062D05D7"/>
    <w:rsid w:val="06393F14"/>
    <w:rsid w:val="063B1645"/>
    <w:rsid w:val="064F2365"/>
    <w:rsid w:val="06A350B4"/>
    <w:rsid w:val="06B41D25"/>
    <w:rsid w:val="06CB7781"/>
    <w:rsid w:val="06E17413"/>
    <w:rsid w:val="07056611"/>
    <w:rsid w:val="075E2523"/>
    <w:rsid w:val="07DF75F9"/>
    <w:rsid w:val="081E7972"/>
    <w:rsid w:val="0851745D"/>
    <w:rsid w:val="08553597"/>
    <w:rsid w:val="085C2E7C"/>
    <w:rsid w:val="08842082"/>
    <w:rsid w:val="08934B1E"/>
    <w:rsid w:val="08AE69CD"/>
    <w:rsid w:val="090962A8"/>
    <w:rsid w:val="091B377D"/>
    <w:rsid w:val="091D3317"/>
    <w:rsid w:val="095B7DEA"/>
    <w:rsid w:val="09B207F9"/>
    <w:rsid w:val="09BE287B"/>
    <w:rsid w:val="09DB14DA"/>
    <w:rsid w:val="09DC5CF4"/>
    <w:rsid w:val="09DE12BD"/>
    <w:rsid w:val="0A4E5D4C"/>
    <w:rsid w:val="0A864054"/>
    <w:rsid w:val="0A8723C8"/>
    <w:rsid w:val="0ABD5205"/>
    <w:rsid w:val="0AC921EF"/>
    <w:rsid w:val="0ACF661C"/>
    <w:rsid w:val="0ADB7567"/>
    <w:rsid w:val="0ADD3F73"/>
    <w:rsid w:val="0AE174DB"/>
    <w:rsid w:val="0B48036E"/>
    <w:rsid w:val="0B7A4561"/>
    <w:rsid w:val="0B7B3573"/>
    <w:rsid w:val="0BE41EBA"/>
    <w:rsid w:val="0C064DB6"/>
    <w:rsid w:val="0C296820"/>
    <w:rsid w:val="0C337593"/>
    <w:rsid w:val="0C415580"/>
    <w:rsid w:val="0C434D7C"/>
    <w:rsid w:val="0C655A97"/>
    <w:rsid w:val="0C930B0A"/>
    <w:rsid w:val="0C9D11C1"/>
    <w:rsid w:val="0CB259BB"/>
    <w:rsid w:val="0CCF66AB"/>
    <w:rsid w:val="0CE3505E"/>
    <w:rsid w:val="0D0F69F2"/>
    <w:rsid w:val="0D212FF5"/>
    <w:rsid w:val="0D352C40"/>
    <w:rsid w:val="0D3B1916"/>
    <w:rsid w:val="0D4E21C4"/>
    <w:rsid w:val="0D5B6D4E"/>
    <w:rsid w:val="0D822C8A"/>
    <w:rsid w:val="0D8B4C1B"/>
    <w:rsid w:val="0DB0715F"/>
    <w:rsid w:val="0DC444A6"/>
    <w:rsid w:val="0E076E35"/>
    <w:rsid w:val="0E2112A0"/>
    <w:rsid w:val="0E4E19E0"/>
    <w:rsid w:val="0E5C7E9D"/>
    <w:rsid w:val="0EAA6ACD"/>
    <w:rsid w:val="0EB10A59"/>
    <w:rsid w:val="0ED0793F"/>
    <w:rsid w:val="0F3A1B8F"/>
    <w:rsid w:val="0F4B77A5"/>
    <w:rsid w:val="0F575BBA"/>
    <w:rsid w:val="0F6B5ADC"/>
    <w:rsid w:val="0F87378A"/>
    <w:rsid w:val="0FD9607A"/>
    <w:rsid w:val="101B61C8"/>
    <w:rsid w:val="10275CD9"/>
    <w:rsid w:val="1048402D"/>
    <w:rsid w:val="104C4C48"/>
    <w:rsid w:val="1065014D"/>
    <w:rsid w:val="106865B7"/>
    <w:rsid w:val="108F1510"/>
    <w:rsid w:val="10AE2E64"/>
    <w:rsid w:val="10F2465E"/>
    <w:rsid w:val="11143D06"/>
    <w:rsid w:val="115433FE"/>
    <w:rsid w:val="117F6755"/>
    <w:rsid w:val="11803EC2"/>
    <w:rsid w:val="118350D1"/>
    <w:rsid w:val="118E5DD7"/>
    <w:rsid w:val="119C636A"/>
    <w:rsid w:val="119D746A"/>
    <w:rsid w:val="11A12295"/>
    <w:rsid w:val="11DC024F"/>
    <w:rsid w:val="11F62AC7"/>
    <w:rsid w:val="12015F43"/>
    <w:rsid w:val="12313E48"/>
    <w:rsid w:val="124C41A3"/>
    <w:rsid w:val="124E101D"/>
    <w:rsid w:val="126F0E91"/>
    <w:rsid w:val="128C7DEB"/>
    <w:rsid w:val="12A44024"/>
    <w:rsid w:val="13241681"/>
    <w:rsid w:val="13D62ADD"/>
    <w:rsid w:val="145B3237"/>
    <w:rsid w:val="14D03514"/>
    <w:rsid w:val="14E32355"/>
    <w:rsid w:val="14EF0F92"/>
    <w:rsid w:val="15171C09"/>
    <w:rsid w:val="1537716A"/>
    <w:rsid w:val="1561250C"/>
    <w:rsid w:val="15663828"/>
    <w:rsid w:val="15BB45B7"/>
    <w:rsid w:val="161D20DA"/>
    <w:rsid w:val="16266269"/>
    <w:rsid w:val="16294BEB"/>
    <w:rsid w:val="164E6403"/>
    <w:rsid w:val="165D767C"/>
    <w:rsid w:val="167C2FAE"/>
    <w:rsid w:val="16990CEC"/>
    <w:rsid w:val="16F83FBE"/>
    <w:rsid w:val="170148CE"/>
    <w:rsid w:val="171E7335"/>
    <w:rsid w:val="173E361E"/>
    <w:rsid w:val="175E2160"/>
    <w:rsid w:val="176F17A4"/>
    <w:rsid w:val="17E72103"/>
    <w:rsid w:val="182C6F3D"/>
    <w:rsid w:val="182D4770"/>
    <w:rsid w:val="186C20A8"/>
    <w:rsid w:val="18ED4FA0"/>
    <w:rsid w:val="18ED50DB"/>
    <w:rsid w:val="1907121A"/>
    <w:rsid w:val="192C06DB"/>
    <w:rsid w:val="192F7604"/>
    <w:rsid w:val="193143DC"/>
    <w:rsid w:val="19332CCB"/>
    <w:rsid w:val="196D1144"/>
    <w:rsid w:val="199D1430"/>
    <w:rsid w:val="19CB4D09"/>
    <w:rsid w:val="19E47E89"/>
    <w:rsid w:val="1A1B2562"/>
    <w:rsid w:val="1A2608F3"/>
    <w:rsid w:val="1A3E73F4"/>
    <w:rsid w:val="1A841F91"/>
    <w:rsid w:val="1AB667DA"/>
    <w:rsid w:val="1AEE28FE"/>
    <w:rsid w:val="1B1F438E"/>
    <w:rsid w:val="1B2A271F"/>
    <w:rsid w:val="1B566A66"/>
    <w:rsid w:val="1B61067A"/>
    <w:rsid w:val="1B643F70"/>
    <w:rsid w:val="1B970C49"/>
    <w:rsid w:val="1BC82009"/>
    <w:rsid w:val="1C502501"/>
    <w:rsid w:val="1C557889"/>
    <w:rsid w:val="1C672126"/>
    <w:rsid w:val="1CC244AF"/>
    <w:rsid w:val="1D1125BF"/>
    <w:rsid w:val="1D1D23E0"/>
    <w:rsid w:val="1D1E6052"/>
    <w:rsid w:val="1D3B239B"/>
    <w:rsid w:val="1D4654D5"/>
    <w:rsid w:val="1D740662"/>
    <w:rsid w:val="1D756A60"/>
    <w:rsid w:val="1D786D14"/>
    <w:rsid w:val="1DE003B4"/>
    <w:rsid w:val="1DEB0357"/>
    <w:rsid w:val="1E0D4E38"/>
    <w:rsid w:val="1E172BDE"/>
    <w:rsid w:val="1EAE534D"/>
    <w:rsid w:val="1EB45814"/>
    <w:rsid w:val="1ED0129B"/>
    <w:rsid w:val="1EFD05AE"/>
    <w:rsid w:val="1F1D153E"/>
    <w:rsid w:val="1F1F5DB3"/>
    <w:rsid w:val="1F22524B"/>
    <w:rsid w:val="1F595F73"/>
    <w:rsid w:val="1F6F05E3"/>
    <w:rsid w:val="1FD9510D"/>
    <w:rsid w:val="2033783E"/>
    <w:rsid w:val="203B35A2"/>
    <w:rsid w:val="20462102"/>
    <w:rsid w:val="207D06FF"/>
    <w:rsid w:val="20A26F98"/>
    <w:rsid w:val="20E01BC9"/>
    <w:rsid w:val="2108122A"/>
    <w:rsid w:val="211D791B"/>
    <w:rsid w:val="21395D40"/>
    <w:rsid w:val="21A70A44"/>
    <w:rsid w:val="21B26DD5"/>
    <w:rsid w:val="21CE0C5B"/>
    <w:rsid w:val="21FE1453"/>
    <w:rsid w:val="220D1D5B"/>
    <w:rsid w:val="22135B75"/>
    <w:rsid w:val="221E7789"/>
    <w:rsid w:val="22641FDC"/>
    <w:rsid w:val="22FA6B52"/>
    <w:rsid w:val="23385CD8"/>
    <w:rsid w:val="234E78E5"/>
    <w:rsid w:val="2398059E"/>
    <w:rsid w:val="23C50DBF"/>
    <w:rsid w:val="247164AE"/>
    <w:rsid w:val="24856663"/>
    <w:rsid w:val="24950E0B"/>
    <w:rsid w:val="24992335"/>
    <w:rsid w:val="24B2705F"/>
    <w:rsid w:val="24F03D01"/>
    <w:rsid w:val="250B18A4"/>
    <w:rsid w:val="254D770E"/>
    <w:rsid w:val="25AC261C"/>
    <w:rsid w:val="25F70F20"/>
    <w:rsid w:val="26105100"/>
    <w:rsid w:val="261F7E87"/>
    <w:rsid w:val="263C168A"/>
    <w:rsid w:val="264137C8"/>
    <w:rsid w:val="26A768F9"/>
    <w:rsid w:val="26E47BF2"/>
    <w:rsid w:val="272D3C8A"/>
    <w:rsid w:val="273F4551"/>
    <w:rsid w:val="27590340"/>
    <w:rsid w:val="27762449"/>
    <w:rsid w:val="27A73ABA"/>
    <w:rsid w:val="27F45506"/>
    <w:rsid w:val="27FE3AEB"/>
    <w:rsid w:val="28021134"/>
    <w:rsid w:val="28046A13"/>
    <w:rsid w:val="282E547B"/>
    <w:rsid w:val="28B66770"/>
    <w:rsid w:val="28D25F89"/>
    <w:rsid w:val="28E64C29"/>
    <w:rsid w:val="28F22C3A"/>
    <w:rsid w:val="29040311"/>
    <w:rsid w:val="291E22D1"/>
    <w:rsid w:val="29315ADB"/>
    <w:rsid w:val="294A4F2D"/>
    <w:rsid w:val="295E7D6B"/>
    <w:rsid w:val="29657405"/>
    <w:rsid w:val="297E60A1"/>
    <w:rsid w:val="29A67F6A"/>
    <w:rsid w:val="29CC039F"/>
    <w:rsid w:val="29E31D66"/>
    <w:rsid w:val="2A0C4A0C"/>
    <w:rsid w:val="2A2B3BFF"/>
    <w:rsid w:val="2A2F50A2"/>
    <w:rsid w:val="2A3B3447"/>
    <w:rsid w:val="2A5B7B7F"/>
    <w:rsid w:val="2A5C4F5F"/>
    <w:rsid w:val="2A623B6D"/>
    <w:rsid w:val="2A7464DB"/>
    <w:rsid w:val="2AA45E84"/>
    <w:rsid w:val="2ABB77F0"/>
    <w:rsid w:val="2AED3A82"/>
    <w:rsid w:val="2B0032BA"/>
    <w:rsid w:val="2B1D3F18"/>
    <w:rsid w:val="2B2603F1"/>
    <w:rsid w:val="2B432797"/>
    <w:rsid w:val="2B513A1E"/>
    <w:rsid w:val="2B711E67"/>
    <w:rsid w:val="2B8C5C7C"/>
    <w:rsid w:val="2BBD43D2"/>
    <w:rsid w:val="2BEF4836"/>
    <w:rsid w:val="2BF1759C"/>
    <w:rsid w:val="2C1E048C"/>
    <w:rsid w:val="2C344667"/>
    <w:rsid w:val="2C477249"/>
    <w:rsid w:val="2C847FBC"/>
    <w:rsid w:val="2CB2710A"/>
    <w:rsid w:val="2CE26223"/>
    <w:rsid w:val="2D3710D1"/>
    <w:rsid w:val="2D654973"/>
    <w:rsid w:val="2D77087A"/>
    <w:rsid w:val="2DA376FF"/>
    <w:rsid w:val="2DB00085"/>
    <w:rsid w:val="2DC74427"/>
    <w:rsid w:val="2DC97202"/>
    <w:rsid w:val="2E127631"/>
    <w:rsid w:val="2E375CE7"/>
    <w:rsid w:val="2E5F4F3B"/>
    <w:rsid w:val="2E9879BB"/>
    <w:rsid w:val="2EBB3DDD"/>
    <w:rsid w:val="2ED9575A"/>
    <w:rsid w:val="2EE161F9"/>
    <w:rsid w:val="2EF5664B"/>
    <w:rsid w:val="2F7E78CF"/>
    <w:rsid w:val="2FB66BD0"/>
    <w:rsid w:val="2FB72E9D"/>
    <w:rsid w:val="2FE2391A"/>
    <w:rsid w:val="30386A84"/>
    <w:rsid w:val="30825925"/>
    <w:rsid w:val="30D143AC"/>
    <w:rsid w:val="30D2144D"/>
    <w:rsid w:val="30F545DF"/>
    <w:rsid w:val="316C3324"/>
    <w:rsid w:val="316E2FA4"/>
    <w:rsid w:val="3176509E"/>
    <w:rsid w:val="31B84B7C"/>
    <w:rsid w:val="31C439B2"/>
    <w:rsid w:val="31D53C4D"/>
    <w:rsid w:val="31E35AC9"/>
    <w:rsid w:val="31E41CE9"/>
    <w:rsid w:val="32285197"/>
    <w:rsid w:val="32666DBF"/>
    <w:rsid w:val="326A352C"/>
    <w:rsid w:val="326D2B8A"/>
    <w:rsid w:val="32B822B7"/>
    <w:rsid w:val="32DE1F01"/>
    <w:rsid w:val="32F31EA6"/>
    <w:rsid w:val="33007843"/>
    <w:rsid w:val="330F24F0"/>
    <w:rsid w:val="331034D9"/>
    <w:rsid w:val="336F5420"/>
    <w:rsid w:val="33711927"/>
    <w:rsid w:val="33937736"/>
    <w:rsid w:val="33D24074"/>
    <w:rsid w:val="33DE6207"/>
    <w:rsid w:val="33E90C23"/>
    <w:rsid w:val="33FC7DE2"/>
    <w:rsid w:val="33FF1A16"/>
    <w:rsid w:val="3418104E"/>
    <w:rsid w:val="3439473C"/>
    <w:rsid w:val="34B9512B"/>
    <w:rsid w:val="35195C3D"/>
    <w:rsid w:val="35281D9A"/>
    <w:rsid w:val="35375CCD"/>
    <w:rsid w:val="353D6568"/>
    <w:rsid w:val="354748F9"/>
    <w:rsid w:val="357C4178"/>
    <w:rsid w:val="36366780"/>
    <w:rsid w:val="366776B3"/>
    <w:rsid w:val="369D3692"/>
    <w:rsid w:val="36B02BC6"/>
    <w:rsid w:val="36B92BD4"/>
    <w:rsid w:val="36D64050"/>
    <w:rsid w:val="371B2276"/>
    <w:rsid w:val="376748F3"/>
    <w:rsid w:val="379D6FCC"/>
    <w:rsid w:val="37C56D16"/>
    <w:rsid w:val="37C83693"/>
    <w:rsid w:val="385B0683"/>
    <w:rsid w:val="385C657C"/>
    <w:rsid w:val="38CC54BF"/>
    <w:rsid w:val="38DB3976"/>
    <w:rsid w:val="38EC46EF"/>
    <w:rsid w:val="38F16F43"/>
    <w:rsid w:val="39187986"/>
    <w:rsid w:val="39453E84"/>
    <w:rsid w:val="395C7629"/>
    <w:rsid w:val="39617854"/>
    <w:rsid w:val="39992536"/>
    <w:rsid w:val="39B96BAE"/>
    <w:rsid w:val="39C45CA7"/>
    <w:rsid w:val="39D7708D"/>
    <w:rsid w:val="39DD62A2"/>
    <w:rsid w:val="3A1E5D66"/>
    <w:rsid w:val="3A334E71"/>
    <w:rsid w:val="3A4C3BF6"/>
    <w:rsid w:val="3A553D90"/>
    <w:rsid w:val="3A7127CC"/>
    <w:rsid w:val="3A7F53DC"/>
    <w:rsid w:val="3A824771"/>
    <w:rsid w:val="3A9435C1"/>
    <w:rsid w:val="3ADE420A"/>
    <w:rsid w:val="3AE12187"/>
    <w:rsid w:val="3B096031"/>
    <w:rsid w:val="3B416ECF"/>
    <w:rsid w:val="3B4D4259"/>
    <w:rsid w:val="3B595AEE"/>
    <w:rsid w:val="3B7C1525"/>
    <w:rsid w:val="3BD00FAF"/>
    <w:rsid w:val="3BDC1873"/>
    <w:rsid w:val="3BE34329"/>
    <w:rsid w:val="3BFB6B9B"/>
    <w:rsid w:val="3C3A6937"/>
    <w:rsid w:val="3C7B33CF"/>
    <w:rsid w:val="3C88075E"/>
    <w:rsid w:val="3C96546D"/>
    <w:rsid w:val="3D0C3E25"/>
    <w:rsid w:val="3D201BD6"/>
    <w:rsid w:val="3D2F79C3"/>
    <w:rsid w:val="3D407F0C"/>
    <w:rsid w:val="3D5F178B"/>
    <w:rsid w:val="3D9439A6"/>
    <w:rsid w:val="3D98059B"/>
    <w:rsid w:val="3DDB4A8F"/>
    <w:rsid w:val="3E0F72E0"/>
    <w:rsid w:val="3E1D0FE3"/>
    <w:rsid w:val="3E2F22BC"/>
    <w:rsid w:val="3E550094"/>
    <w:rsid w:val="3E5D17C4"/>
    <w:rsid w:val="3E65446C"/>
    <w:rsid w:val="3E9207B3"/>
    <w:rsid w:val="3E9C23C7"/>
    <w:rsid w:val="3EBC06FE"/>
    <w:rsid w:val="3EC94417"/>
    <w:rsid w:val="3F3A752B"/>
    <w:rsid w:val="3F564BF9"/>
    <w:rsid w:val="3F6B5F18"/>
    <w:rsid w:val="3F825489"/>
    <w:rsid w:val="3FA41A95"/>
    <w:rsid w:val="3FB1203C"/>
    <w:rsid w:val="3FC06CA7"/>
    <w:rsid w:val="3FCE7269"/>
    <w:rsid w:val="3FF7137F"/>
    <w:rsid w:val="3FF74C02"/>
    <w:rsid w:val="404035EE"/>
    <w:rsid w:val="406D1A50"/>
    <w:rsid w:val="40854466"/>
    <w:rsid w:val="40AC6262"/>
    <w:rsid w:val="40BF3346"/>
    <w:rsid w:val="40C01EBA"/>
    <w:rsid w:val="41003DB0"/>
    <w:rsid w:val="411D1161"/>
    <w:rsid w:val="412A6A67"/>
    <w:rsid w:val="4169765E"/>
    <w:rsid w:val="41741B70"/>
    <w:rsid w:val="418111C4"/>
    <w:rsid w:val="41A2257B"/>
    <w:rsid w:val="41BF77E9"/>
    <w:rsid w:val="41F25C68"/>
    <w:rsid w:val="41FA1EF1"/>
    <w:rsid w:val="42004FD7"/>
    <w:rsid w:val="425F2D03"/>
    <w:rsid w:val="42B8760E"/>
    <w:rsid w:val="42C36095"/>
    <w:rsid w:val="42D0145C"/>
    <w:rsid w:val="42E41C46"/>
    <w:rsid w:val="431E2028"/>
    <w:rsid w:val="432F369F"/>
    <w:rsid w:val="4354213A"/>
    <w:rsid w:val="43675823"/>
    <w:rsid w:val="43822FDD"/>
    <w:rsid w:val="43823C68"/>
    <w:rsid w:val="439D5A06"/>
    <w:rsid w:val="43DF63AB"/>
    <w:rsid w:val="441118A9"/>
    <w:rsid w:val="441215E9"/>
    <w:rsid w:val="44146C41"/>
    <w:rsid w:val="442607E9"/>
    <w:rsid w:val="44550754"/>
    <w:rsid w:val="4463147F"/>
    <w:rsid w:val="44B47177"/>
    <w:rsid w:val="44BF59D3"/>
    <w:rsid w:val="44C147DB"/>
    <w:rsid w:val="44F1220B"/>
    <w:rsid w:val="44F2134B"/>
    <w:rsid w:val="4515338D"/>
    <w:rsid w:val="45157DD5"/>
    <w:rsid w:val="454F3145"/>
    <w:rsid w:val="459E7706"/>
    <w:rsid w:val="45E22612"/>
    <w:rsid w:val="45FD4563"/>
    <w:rsid w:val="461E1AEC"/>
    <w:rsid w:val="46806350"/>
    <w:rsid w:val="468B1B1C"/>
    <w:rsid w:val="469D56B0"/>
    <w:rsid w:val="46A05239"/>
    <w:rsid w:val="46BB5314"/>
    <w:rsid w:val="46BF20A2"/>
    <w:rsid w:val="46E561EA"/>
    <w:rsid w:val="476E5E6B"/>
    <w:rsid w:val="47847862"/>
    <w:rsid w:val="4793467C"/>
    <w:rsid w:val="480C04DE"/>
    <w:rsid w:val="48482199"/>
    <w:rsid w:val="485D4FC6"/>
    <w:rsid w:val="48684BEA"/>
    <w:rsid w:val="486A7F85"/>
    <w:rsid w:val="487D7A79"/>
    <w:rsid w:val="48B459D5"/>
    <w:rsid w:val="48CB030A"/>
    <w:rsid w:val="48E220CC"/>
    <w:rsid w:val="4920368B"/>
    <w:rsid w:val="493E7CBF"/>
    <w:rsid w:val="4961356F"/>
    <w:rsid w:val="497566C3"/>
    <w:rsid w:val="498C34BA"/>
    <w:rsid w:val="49A177C4"/>
    <w:rsid w:val="49A60ED0"/>
    <w:rsid w:val="49F805EB"/>
    <w:rsid w:val="49FE0702"/>
    <w:rsid w:val="4A0465FC"/>
    <w:rsid w:val="4A1A65A1"/>
    <w:rsid w:val="4A3D38A8"/>
    <w:rsid w:val="4A51394E"/>
    <w:rsid w:val="4A790C26"/>
    <w:rsid w:val="4A873352"/>
    <w:rsid w:val="4AC60743"/>
    <w:rsid w:val="4ADC4E79"/>
    <w:rsid w:val="4AFA3CFF"/>
    <w:rsid w:val="4B0257D0"/>
    <w:rsid w:val="4B97259D"/>
    <w:rsid w:val="4C0309E8"/>
    <w:rsid w:val="4C2E1F00"/>
    <w:rsid w:val="4C3E139E"/>
    <w:rsid w:val="4C787385"/>
    <w:rsid w:val="4C890DD6"/>
    <w:rsid w:val="4C89761F"/>
    <w:rsid w:val="4C990862"/>
    <w:rsid w:val="4D2952E3"/>
    <w:rsid w:val="4D351269"/>
    <w:rsid w:val="4D707ACD"/>
    <w:rsid w:val="4D940DD6"/>
    <w:rsid w:val="4DAD5863"/>
    <w:rsid w:val="4DE05EE4"/>
    <w:rsid w:val="4E080DF2"/>
    <w:rsid w:val="4E1E7439"/>
    <w:rsid w:val="4E5F6933"/>
    <w:rsid w:val="4E7564B7"/>
    <w:rsid w:val="4E81191F"/>
    <w:rsid w:val="4E9F7224"/>
    <w:rsid w:val="4EA61571"/>
    <w:rsid w:val="4EA71B98"/>
    <w:rsid w:val="4EC14BCF"/>
    <w:rsid w:val="4F2F5AAB"/>
    <w:rsid w:val="4F3935F6"/>
    <w:rsid w:val="4F3B240C"/>
    <w:rsid w:val="4F5C4B3F"/>
    <w:rsid w:val="4F7C2E75"/>
    <w:rsid w:val="4F995207"/>
    <w:rsid w:val="4F9C11AB"/>
    <w:rsid w:val="4FBE4ED9"/>
    <w:rsid w:val="4FE62DEC"/>
    <w:rsid w:val="502B7796"/>
    <w:rsid w:val="50726A1D"/>
    <w:rsid w:val="5075308D"/>
    <w:rsid w:val="507F513F"/>
    <w:rsid w:val="50BA1615"/>
    <w:rsid w:val="50EB3193"/>
    <w:rsid w:val="50EC654F"/>
    <w:rsid w:val="50FA2CEF"/>
    <w:rsid w:val="50FC1398"/>
    <w:rsid w:val="51186119"/>
    <w:rsid w:val="515B3C3B"/>
    <w:rsid w:val="51640797"/>
    <w:rsid w:val="5177374E"/>
    <w:rsid w:val="5183682D"/>
    <w:rsid w:val="51927A2D"/>
    <w:rsid w:val="519D4B01"/>
    <w:rsid w:val="51BA5BBB"/>
    <w:rsid w:val="51F50190"/>
    <w:rsid w:val="522D0101"/>
    <w:rsid w:val="527F6965"/>
    <w:rsid w:val="52BF2FD2"/>
    <w:rsid w:val="5357444A"/>
    <w:rsid w:val="538D474B"/>
    <w:rsid w:val="53A86FFC"/>
    <w:rsid w:val="53B3608D"/>
    <w:rsid w:val="53CE4BFB"/>
    <w:rsid w:val="53FA3C53"/>
    <w:rsid w:val="54151A08"/>
    <w:rsid w:val="543B45B4"/>
    <w:rsid w:val="544D76C4"/>
    <w:rsid w:val="54513D71"/>
    <w:rsid w:val="54BE5078"/>
    <w:rsid w:val="54C708EB"/>
    <w:rsid w:val="54E77D17"/>
    <w:rsid w:val="55004205"/>
    <w:rsid w:val="55114AD1"/>
    <w:rsid w:val="55145A25"/>
    <w:rsid w:val="5528299B"/>
    <w:rsid w:val="554922DF"/>
    <w:rsid w:val="554B00FD"/>
    <w:rsid w:val="5557179F"/>
    <w:rsid w:val="55DB3A9F"/>
    <w:rsid w:val="560F58BD"/>
    <w:rsid w:val="561B47C4"/>
    <w:rsid w:val="5670465C"/>
    <w:rsid w:val="56902993"/>
    <w:rsid w:val="56A62938"/>
    <w:rsid w:val="56C7506B"/>
    <w:rsid w:val="56DC5010"/>
    <w:rsid w:val="57260BFF"/>
    <w:rsid w:val="57906FEF"/>
    <w:rsid w:val="57AD2340"/>
    <w:rsid w:val="57D05502"/>
    <w:rsid w:val="57E1169B"/>
    <w:rsid w:val="57ED4E4E"/>
    <w:rsid w:val="581748CB"/>
    <w:rsid w:val="583978C7"/>
    <w:rsid w:val="58591F7E"/>
    <w:rsid w:val="58BA45A1"/>
    <w:rsid w:val="58C069CB"/>
    <w:rsid w:val="58D33CA5"/>
    <w:rsid w:val="58D96479"/>
    <w:rsid w:val="5905702A"/>
    <w:rsid w:val="591D5EC5"/>
    <w:rsid w:val="59461814"/>
    <w:rsid w:val="594D6DCB"/>
    <w:rsid w:val="595A233F"/>
    <w:rsid w:val="59870472"/>
    <w:rsid w:val="599E0097"/>
    <w:rsid w:val="59B94DB3"/>
    <w:rsid w:val="59F27B21"/>
    <w:rsid w:val="5A3744D9"/>
    <w:rsid w:val="5A6C3F68"/>
    <w:rsid w:val="5A760DB1"/>
    <w:rsid w:val="5A8114B3"/>
    <w:rsid w:val="5A882A18"/>
    <w:rsid w:val="5B0F6FF4"/>
    <w:rsid w:val="5B1B5005"/>
    <w:rsid w:val="5B253396"/>
    <w:rsid w:val="5B301727"/>
    <w:rsid w:val="5B7F6812"/>
    <w:rsid w:val="5BAD4574"/>
    <w:rsid w:val="5BEC0D33"/>
    <w:rsid w:val="5BED6745"/>
    <w:rsid w:val="5C0E40E7"/>
    <w:rsid w:val="5C3B3E48"/>
    <w:rsid w:val="5C52446F"/>
    <w:rsid w:val="5C584A0D"/>
    <w:rsid w:val="5CB06720"/>
    <w:rsid w:val="5CCC024F"/>
    <w:rsid w:val="5D395C12"/>
    <w:rsid w:val="5D8440B3"/>
    <w:rsid w:val="5DBF0ADC"/>
    <w:rsid w:val="5DF5675E"/>
    <w:rsid w:val="5E0B4AF9"/>
    <w:rsid w:val="5E136682"/>
    <w:rsid w:val="5E2E2245"/>
    <w:rsid w:val="5E2F5271"/>
    <w:rsid w:val="5E3D71AC"/>
    <w:rsid w:val="5E7B6871"/>
    <w:rsid w:val="5E9020A0"/>
    <w:rsid w:val="5EAE52E1"/>
    <w:rsid w:val="5EEA2FD3"/>
    <w:rsid w:val="5F136346"/>
    <w:rsid w:val="5F8D1FD1"/>
    <w:rsid w:val="5FB9411A"/>
    <w:rsid w:val="5FBB5BF4"/>
    <w:rsid w:val="5FBC1EE2"/>
    <w:rsid w:val="600A374F"/>
    <w:rsid w:val="603D3843"/>
    <w:rsid w:val="604D206E"/>
    <w:rsid w:val="60561B85"/>
    <w:rsid w:val="60C7208D"/>
    <w:rsid w:val="610F0200"/>
    <w:rsid w:val="611E2899"/>
    <w:rsid w:val="612A2DD1"/>
    <w:rsid w:val="615A7776"/>
    <w:rsid w:val="6160574F"/>
    <w:rsid w:val="61737471"/>
    <w:rsid w:val="619F06F1"/>
    <w:rsid w:val="61A44F0E"/>
    <w:rsid w:val="61CE5D83"/>
    <w:rsid w:val="61D412F3"/>
    <w:rsid w:val="61F8244A"/>
    <w:rsid w:val="620307DC"/>
    <w:rsid w:val="620C78BF"/>
    <w:rsid w:val="62155C45"/>
    <w:rsid w:val="62256897"/>
    <w:rsid w:val="623921EE"/>
    <w:rsid w:val="628F4BAD"/>
    <w:rsid w:val="629364BA"/>
    <w:rsid w:val="62A63868"/>
    <w:rsid w:val="62BE310D"/>
    <w:rsid w:val="62D20728"/>
    <w:rsid w:val="62D27BAF"/>
    <w:rsid w:val="63112315"/>
    <w:rsid w:val="633E4CE0"/>
    <w:rsid w:val="634467E0"/>
    <w:rsid w:val="63456EA9"/>
    <w:rsid w:val="63A13700"/>
    <w:rsid w:val="63CB7DC7"/>
    <w:rsid w:val="64374EF8"/>
    <w:rsid w:val="64775CE1"/>
    <w:rsid w:val="65197E9A"/>
    <w:rsid w:val="651D5B94"/>
    <w:rsid w:val="657D3011"/>
    <w:rsid w:val="659265FB"/>
    <w:rsid w:val="659473B3"/>
    <w:rsid w:val="660A2875"/>
    <w:rsid w:val="660B42A8"/>
    <w:rsid w:val="661D5F5B"/>
    <w:rsid w:val="66231A10"/>
    <w:rsid w:val="66534905"/>
    <w:rsid w:val="66A8394E"/>
    <w:rsid w:val="66AE4435"/>
    <w:rsid w:val="66CF38B7"/>
    <w:rsid w:val="66D91C48"/>
    <w:rsid w:val="66E47FD9"/>
    <w:rsid w:val="671A3D0E"/>
    <w:rsid w:val="67702FB9"/>
    <w:rsid w:val="67C04F29"/>
    <w:rsid w:val="67DD3A75"/>
    <w:rsid w:val="67E03DB1"/>
    <w:rsid w:val="681364CD"/>
    <w:rsid w:val="685B0351"/>
    <w:rsid w:val="6862245F"/>
    <w:rsid w:val="68696EDC"/>
    <w:rsid w:val="68B70ECA"/>
    <w:rsid w:val="68FD6E91"/>
    <w:rsid w:val="692F61D9"/>
    <w:rsid w:val="69A5003C"/>
    <w:rsid w:val="69C61397"/>
    <w:rsid w:val="69FB3DEF"/>
    <w:rsid w:val="6A4E1A27"/>
    <w:rsid w:val="6A4E74F8"/>
    <w:rsid w:val="6A5E280F"/>
    <w:rsid w:val="6A647F9B"/>
    <w:rsid w:val="6A9F48E9"/>
    <w:rsid w:val="6AC7223E"/>
    <w:rsid w:val="6ACC6633"/>
    <w:rsid w:val="6B181D06"/>
    <w:rsid w:val="6B3602F4"/>
    <w:rsid w:val="6B571141"/>
    <w:rsid w:val="6B786BD3"/>
    <w:rsid w:val="6BB63E21"/>
    <w:rsid w:val="6BF1523F"/>
    <w:rsid w:val="6BF23772"/>
    <w:rsid w:val="6C011228"/>
    <w:rsid w:val="6C03568F"/>
    <w:rsid w:val="6C0576C7"/>
    <w:rsid w:val="6C1364D3"/>
    <w:rsid w:val="6C1A118A"/>
    <w:rsid w:val="6C460131"/>
    <w:rsid w:val="6C8B3ED7"/>
    <w:rsid w:val="6CA84A13"/>
    <w:rsid w:val="6CBB4190"/>
    <w:rsid w:val="6CD81701"/>
    <w:rsid w:val="6CDE15A9"/>
    <w:rsid w:val="6D095C70"/>
    <w:rsid w:val="6D0A674E"/>
    <w:rsid w:val="6D351FB7"/>
    <w:rsid w:val="6D591D2B"/>
    <w:rsid w:val="6D601F02"/>
    <w:rsid w:val="6DF8337A"/>
    <w:rsid w:val="6E4E0CF4"/>
    <w:rsid w:val="6E59211A"/>
    <w:rsid w:val="6EBD637B"/>
    <w:rsid w:val="6EC1476E"/>
    <w:rsid w:val="6EC76ECB"/>
    <w:rsid w:val="6F372A02"/>
    <w:rsid w:val="6F52129D"/>
    <w:rsid w:val="6F897FF3"/>
    <w:rsid w:val="6FB7674C"/>
    <w:rsid w:val="6FDC43D7"/>
    <w:rsid w:val="6FE7584B"/>
    <w:rsid w:val="6FE84EB3"/>
    <w:rsid w:val="7024217B"/>
    <w:rsid w:val="705253D1"/>
    <w:rsid w:val="707C2FC1"/>
    <w:rsid w:val="707D28F5"/>
    <w:rsid w:val="708304A5"/>
    <w:rsid w:val="70B65BB8"/>
    <w:rsid w:val="70BE6D52"/>
    <w:rsid w:val="70CE30E6"/>
    <w:rsid w:val="70F73F4B"/>
    <w:rsid w:val="70FE34EA"/>
    <w:rsid w:val="71465FE5"/>
    <w:rsid w:val="7158478A"/>
    <w:rsid w:val="718E2444"/>
    <w:rsid w:val="719D69F4"/>
    <w:rsid w:val="71A32505"/>
    <w:rsid w:val="71BA39B7"/>
    <w:rsid w:val="71BC10DC"/>
    <w:rsid w:val="71C2566F"/>
    <w:rsid w:val="71E71848"/>
    <w:rsid w:val="72206646"/>
    <w:rsid w:val="72783C76"/>
    <w:rsid w:val="72B554C4"/>
    <w:rsid w:val="72B84BC2"/>
    <w:rsid w:val="72E8311A"/>
    <w:rsid w:val="72F90EAF"/>
    <w:rsid w:val="72FF48C3"/>
    <w:rsid w:val="73245576"/>
    <w:rsid w:val="73546F37"/>
    <w:rsid w:val="73CB7F8C"/>
    <w:rsid w:val="74335733"/>
    <w:rsid w:val="74373E62"/>
    <w:rsid w:val="746C3C0E"/>
    <w:rsid w:val="747764BF"/>
    <w:rsid w:val="74AD3CBD"/>
    <w:rsid w:val="751F2FD4"/>
    <w:rsid w:val="754167EA"/>
    <w:rsid w:val="754506C9"/>
    <w:rsid w:val="75F1707B"/>
    <w:rsid w:val="75F92B7B"/>
    <w:rsid w:val="76352CD3"/>
    <w:rsid w:val="76691AD0"/>
    <w:rsid w:val="767A19ED"/>
    <w:rsid w:val="76B344CD"/>
    <w:rsid w:val="76C26A7E"/>
    <w:rsid w:val="76FA13A2"/>
    <w:rsid w:val="775B68AA"/>
    <w:rsid w:val="77752A50"/>
    <w:rsid w:val="77A871DC"/>
    <w:rsid w:val="77C65BD9"/>
    <w:rsid w:val="77D22B59"/>
    <w:rsid w:val="78124E05"/>
    <w:rsid w:val="782765AD"/>
    <w:rsid w:val="78304CBF"/>
    <w:rsid w:val="787C3AB9"/>
    <w:rsid w:val="788B465E"/>
    <w:rsid w:val="78CA3838"/>
    <w:rsid w:val="78CA4D1E"/>
    <w:rsid w:val="78DB11B2"/>
    <w:rsid w:val="79085E42"/>
    <w:rsid w:val="792A109E"/>
    <w:rsid w:val="79352EE7"/>
    <w:rsid w:val="796A4022"/>
    <w:rsid w:val="79744E85"/>
    <w:rsid w:val="79A150B3"/>
    <w:rsid w:val="79B70892"/>
    <w:rsid w:val="79C35DCF"/>
    <w:rsid w:val="79EE531A"/>
    <w:rsid w:val="7A186D5D"/>
    <w:rsid w:val="7A2D6D03"/>
    <w:rsid w:val="7A9E0C5A"/>
    <w:rsid w:val="7AE3772B"/>
    <w:rsid w:val="7AFC2853"/>
    <w:rsid w:val="7B187629"/>
    <w:rsid w:val="7B334F2B"/>
    <w:rsid w:val="7B95754E"/>
    <w:rsid w:val="7BC37DB4"/>
    <w:rsid w:val="7BDA71FF"/>
    <w:rsid w:val="7C1F61B3"/>
    <w:rsid w:val="7C4C7115"/>
    <w:rsid w:val="7C565E00"/>
    <w:rsid w:val="7C794F51"/>
    <w:rsid w:val="7C96268C"/>
    <w:rsid w:val="7CB925E2"/>
    <w:rsid w:val="7CE76123"/>
    <w:rsid w:val="7D0564AB"/>
    <w:rsid w:val="7D074522"/>
    <w:rsid w:val="7DA24C69"/>
    <w:rsid w:val="7DDF12C6"/>
    <w:rsid w:val="7E043104"/>
    <w:rsid w:val="7E23622B"/>
    <w:rsid w:val="7E4A0D41"/>
    <w:rsid w:val="7E5C035B"/>
    <w:rsid w:val="7E6B3474"/>
    <w:rsid w:val="7E7461FA"/>
    <w:rsid w:val="7F0204F0"/>
    <w:rsid w:val="7F58347D"/>
    <w:rsid w:val="7FD8724E"/>
    <w:rsid w:val="7FFF6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qFormat/>
    <w:uiPriority w:val="0"/>
    <w:pPr>
      <w:keepNext/>
      <w:keepLines/>
      <w:adjustRightInd/>
      <w:snapToGrid/>
      <w:spacing w:after="0" w:line="413" w:lineRule="auto"/>
      <w:ind w:firstLine="200" w:firstLineChars="200"/>
      <w:outlineLvl w:val="1"/>
    </w:pPr>
    <w:rPr>
      <w:rFonts w:ascii="Arial" w:hAnsi="Arial" w:eastAsia="黑体" w:cs="Times New Roman"/>
      <w:b/>
      <w:sz w:val="28"/>
      <w:szCs w:val="20"/>
    </w:rPr>
  </w:style>
  <w:style w:type="paragraph" w:styleId="4">
    <w:name w:val="heading 3"/>
    <w:basedOn w:val="1"/>
    <w:next w:val="1"/>
    <w:unhideWhenUsed/>
    <w:qFormat/>
    <w:uiPriority w:val="0"/>
    <w:pPr>
      <w:keepNext/>
      <w:keepLines/>
      <w:adjustRightInd/>
      <w:snapToGrid/>
      <w:spacing w:before="260" w:after="260" w:line="416" w:lineRule="auto"/>
      <w:ind w:firstLine="200" w:firstLineChars="200"/>
      <w:outlineLvl w:val="2"/>
    </w:pPr>
    <w:rPr>
      <w:rFonts w:ascii="Times New Roman" w:hAnsi="Times New Roman" w:eastAsia="宋体" w:cs="Times New Roman"/>
      <w:b/>
      <w:kern w:val="2"/>
      <w:sz w:val="21"/>
      <w:szCs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9">
    <w:name w:val="Body Text First Indent 2"/>
    <w:basedOn w:val="2"/>
    <w:qFormat/>
    <w:uiPriority w:val="0"/>
    <w:pPr>
      <w:ind w:firstLine="420" w:firstLineChars="200"/>
    </w:pPr>
    <w:rPr>
      <w:rFonts w:ascii="Calibri" w:hAnsi="Calibri" w:eastAsia="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font181"/>
    <w:basedOn w:val="12"/>
    <w:qFormat/>
    <w:uiPriority w:val="0"/>
    <w:rPr>
      <w:rFonts w:hint="eastAsia" w:ascii="仿宋_GB2312" w:eastAsia="仿宋_GB2312" w:cs="仿宋_GB2312"/>
      <w:b/>
      <w:color w:val="auto"/>
      <w:sz w:val="20"/>
      <w:szCs w:val="20"/>
      <w:u w:val="none"/>
    </w:rPr>
  </w:style>
  <w:style w:type="character" w:customStyle="1" w:styleId="15">
    <w:name w:val="font111"/>
    <w:basedOn w:val="12"/>
    <w:qFormat/>
    <w:uiPriority w:val="0"/>
    <w:rPr>
      <w:rFonts w:hint="eastAsia" w:ascii="宋体" w:hAnsi="宋体" w:eastAsia="宋体" w:cs="宋体"/>
      <w:color w:val="auto"/>
      <w:sz w:val="20"/>
      <w:szCs w:val="20"/>
      <w:u w:val="none"/>
    </w:rPr>
  </w:style>
  <w:style w:type="character" w:customStyle="1" w:styleId="16">
    <w:name w:val="font391"/>
    <w:basedOn w:val="12"/>
    <w:qFormat/>
    <w:uiPriority w:val="0"/>
    <w:rPr>
      <w:rFonts w:hint="default" w:ascii="font-weight : 400" w:hAnsi="font-weight : 400" w:eastAsia="font-weight : 400" w:cs="font-weight : 400"/>
      <w:color w:val="000000"/>
      <w:sz w:val="18"/>
      <w:szCs w:val="18"/>
      <w:u w:val="none"/>
    </w:rPr>
  </w:style>
  <w:style w:type="character" w:customStyle="1" w:styleId="17">
    <w:name w:val="font171"/>
    <w:basedOn w:val="12"/>
    <w:qFormat/>
    <w:uiPriority w:val="0"/>
    <w:rPr>
      <w:rFonts w:hint="eastAsia" w:ascii="宋体" w:hAnsi="宋体" w:eastAsia="宋体" w:cs="宋体"/>
      <w:color w:val="000000"/>
      <w:sz w:val="18"/>
      <w:szCs w:val="18"/>
      <w:u w:val="none"/>
    </w:rPr>
  </w:style>
  <w:style w:type="character" w:customStyle="1" w:styleId="18">
    <w:name w:val="font321"/>
    <w:basedOn w:val="12"/>
    <w:qFormat/>
    <w:uiPriority w:val="0"/>
    <w:rPr>
      <w:rFonts w:hint="eastAsia" w:ascii="宋体" w:hAnsi="宋体" w:eastAsia="宋体" w:cs="宋体"/>
      <w:color w:val="000000"/>
      <w:sz w:val="20"/>
      <w:szCs w:val="20"/>
      <w:u w:val="none"/>
    </w:rPr>
  </w:style>
  <w:style w:type="character" w:customStyle="1" w:styleId="19">
    <w:name w:val="font221"/>
    <w:basedOn w:val="12"/>
    <w:qFormat/>
    <w:uiPriority w:val="0"/>
    <w:rPr>
      <w:rFonts w:hint="eastAsia" w:ascii="宋体" w:hAnsi="宋体" w:eastAsia="宋体" w:cs="宋体"/>
      <w:color w:val="000000"/>
      <w:sz w:val="20"/>
      <w:szCs w:val="20"/>
      <w:u w:val="none"/>
    </w:rPr>
  </w:style>
  <w:style w:type="character" w:customStyle="1" w:styleId="20">
    <w:name w:val="font231"/>
    <w:basedOn w:val="12"/>
    <w:qFormat/>
    <w:uiPriority w:val="0"/>
    <w:rPr>
      <w:rFonts w:hint="eastAsia" w:ascii="仿宋_GB2312" w:eastAsia="仿宋_GB2312" w:cs="仿宋_GB2312"/>
      <w:color w:val="auto"/>
      <w:sz w:val="20"/>
      <w:szCs w:val="20"/>
      <w:u w:val="none"/>
    </w:rPr>
  </w:style>
  <w:style w:type="character" w:customStyle="1" w:styleId="21">
    <w:name w:val="font481"/>
    <w:basedOn w:val="12"/>
    <w:qFormat/>
    <w:uiPriority w:val="0"/>
    <w:rPr>
      <w:rFonts w:hint="eastAsia" w:ascii="宋体" w:hAnsi="宋体" w:eastAsia="宋体" w:cs="宋体"/>
      <w:b/>
      <w:color w:val="000000"/>
      <w:sz w:val="20"/>
      <w:szCs w:val="20"/>
      <w:u w:val="none"/>
    </w:rPr>
  </w:style>
  <w:style w:type="character" w:customStyle="1" w:styleId="22">
    <w:name w:val="font451"/>
    <w:basedOn w:val="12"/>
    <w:qFormat/>
    <w:uiPriority w:val="0"/>
    <w:rPr>
      <w:rFonts w:hint="eastAsia" w:ascii="宋体" w:hAnsi="宋体" w:eastAsia="宋体" w:cs="宋体"/>
      <w:b/>
      <w:color w:val="000000"/>
      <w:sz w:val="16"/>
      <w:szCs w:val="16"/>
      <w:u w:val="none"/>
    </w:rPr>
  </w:style>
  <w:style w:type="character" w:customStyle="1" w:styleId="23">
    <w:name w:val="font71"/>
    <w:basedOn w:val="12"/>
    <w:qFormat/>
    <w:uiPriority w:val="0"/>
    <w:rPr>
      <w:rFonts w:hint="eastAsia" w:ascii="宋体" w:hAnsi="宋体" w:eastAsia="宋体" w:cs="宋体"/>
      <w:b/>
      <w:color w:val="auto"/>
      <w:sz w:val="18"/>
      <w:szCs w:val="18"/>
      <w:u w:val="none"/>
    </w:rPr>
  </w:style>
  <w:style w:type="character" w:customStyle="1" w:styleId="24">
    <w:name w:val="font141"/>
    <w:basedOn w:val="12"/>
    <w:qFormat/>
    <w:uiPriority w:val="0"/>
    <w:rPr>
      <w:rFonts w:hint="eastAsia" w:ascii="宋体" w:hAnsi="宋体" w:eastAsia="宋体" w:cs="宋体"/>
      <w:color w:val="auto"/>
      <w:sz w:val="16"/>
      <w:szCs w:val="16"/>
      <w:u w:val="none"/>
    </w:rPr>
  </w:style>
  <w:style w:type="character" w:customStyle="1" w:styleId="25">
    <w:name w:val="font351"/>
    <w:basedOn w:val="12"/>
    <w:qFormat/>
    <w:uiPriority w:val="0"/>
    <w:rPr>
      <w:rFonts w:hint="eastAsia" w:ascii="宋体" w:hAnsi="宋体" w:eastAsia="宋体" w:cs="宋体"/>
      <w:b/>
      <w:color w:val="000000"/>
      <w:sz w:val="16"/>
      <w:szCs w:val="16"/>
      <w:u w:val="none"/>
    </w:rPr>
  </w:style>
  <w:style w:type="character" w:customStyle="1" w:styleId="26">
    <w:name w:val="font441"/>
    <w:basedOn w:val="12"/>
    <w:qFormat/>
    <w:uiPriority w:val="0"/>
    <w:rPr>
      <w:rFonts w:hint="eastAsia" w:ascii="宋体" w:hAnsi="宋体" w:eastAsia="宋体" w:cs="宋体"/>
      <w:color w:val="000000"/>
      <w:sz w:val="20"/>
      <w:szCs w:val="20"/>
      <w:u w:val="none"/>
    </w:rPr>
  </w:style>
  <w:style w:type="character" w:customStyle="1" w:styleId="27">
    <w:name w:val="font461"/>
    <w:basedOn w:val="12"/>
    <w:qFormat/>
    <w:uiPriority w:val="0"/>
    <w:rPr>
      <w:rFonts w:hint="eastAsia" w:ascii="宋体" w:hAnsi="宋体" w:eastAsia="宋体" w:cs="宋体"/>
      <w:b/>
      <w:color w:val="000000"/>
      <w:sz w:val="18"/>
      <w:szCs w:val="18"/>
      <w:u w:val="none"/>
    </w:rPr>
  </w:style>
  <w:style w:type="character" w:customStyle="1" w:styleId="28">
    <w:name w:val="font51"/>
    <w:basedOn w:val="12"/>
    <w:qFormat/>
    <w:uiPriority w:val="0"/>
    <w:rPr>
      <w:rFonts w:hint="eastAsia" w:ascii="宋体" w:hAnsi="宋体" w:eastAsia="宋体" w:cs="宋体"/>
      <w:color w:val="auto"/>
      <w:sz w:val="20"/>
      <w:szCs w:val="20"/>
      <w:u w:val="none"/>
    </w:rPr>
  </w:style>
  <w:style w:type="character" w:customStyle="1" w:styleId="29">
    <w:name w:val="font301"/>
    <w:basedOn w:val="12"/>
    <w:qFormat/>
    <w:uiPriority w:val="0"/>
    <w:rPr>
      <w:rFonts w:ascii="宋体" w:hAnsi="宋体" w:eastAsia="宋体" w:cs="宋体"/>
      <w:b/>
      <w:color w:val="000000"/>
      <w:sz w:val="16"/>
      <w:szCs w:val="16"/>
      <w:u w:val="none"/>
    </w:rPr>
  </w:style>
  <w:style w:type="character" w:customStyle="1" w:styleId="30">
    <w:name w:val="font251"/>
    <w:basedOn w:val="12"/>
    <w:qFormat/>
    <w:uiPriority w:val="0"/>
    <w:rPr>
      <w:rFonts w:hint="eastAsia" w:ascii="仿宋_GB2312" w:eastAsia="仿宋_GB2312" w:cs="仿宋_GB2312"/>
      <w:color w:val="auto"/>
      <w:sz w:val="18"/>
      <w:szCs w:val="18"/>
      <w:u w:val="none"/>
    </w:rPr>
  </w:style>
  <w:style w:type="character" w:customStyle="1" w:styleId="31">
    <w:name w:val="font401"/>
    <w:basedOn w:val="12"/>
    <w:qFormat/>
    <w:uiPriority w:val="0"/>
    <w:rPr>
      <w:rFonts w:hint="eastAsia" w:ascii="宋体" w:hAnsi="宋体" w:eastAsia="宋体" w:cs="宋体"/>
      <w:color w:val="000000"/>
      <w:sz w:val="16"/>
      <w:szCs w:val="16"/>
      <w:u w:val="none"/>
    </w:rPr>
  </w:style>
  <w:style w:type="character" w:customStyle="1" w:styleId="32">
    <w:name w:val="font331"/>
    <w:basedOn w:val="12"/>
    <w:qFormat/>
    <w:uiPriority w:val="0"/>
    <w:rPr>
      <w:rFonts w:hint="eastAsia" w:ascii="宋体" w:hAnsi="宋体" w:eastAsia="宋体" w:cs="宋体"/>
      <w:color w:val="000000"/>
      <w:sz w:val="16"/>
      <w:szCs w:val="16"/>
      <w:u w:val="none"/>
    </w:rPr>
  </w:style>
  <w:style w:type="character" w:customStyle="1" w:styleId="33">
    <w:name w:val="font61"/>
    <w:basedOn w:val="12"/>
    <w:qFormat/>
    <w:uiPriority w:val="0"/>
    <w:rPr>
      <w:rFonts w:hint="eastAsia" w:ascii="宋体" w:hAnsi="宋体" w:eastAsia="宋体" w:cs="宋体"/>
      <w:b/>
      <w:color w:val="auto"/>
      <w:sz w:val="20"/>
      <w:szCs w:val="20"/>
      <w:u w:val="none"/>
    </w:rPr>
  </w:style>
  <w:style w:type="character" w:customStyle="1" w:styleId="34">
    <w:name w:val="font91"/>
    <w:basedOn w:val="12"/>
    <w:qFormat/>
    <w:uiPriority w:val="0"/>
    <w:rPr>
      <w:rFonts w:hint="eastAsia" w:ascii="宋体" w:hAnsi="宋体" w:eastAsia="宋体" w:cs="宋体"/>
      <w:b/>
      <w:color w:val="auto"/>
      <w:sz w:val="16"/>
      <w:szCs w:val="16"/>
      <w:u w:val="none"/>
    </w:rPr>
  </w:style>
  <w:style w:type="character" w:customStyle="1" w:styleId="35">
    <w:name w:val="font261"/>
    <w:basedOn w:val="12"/>
    <w:qFormat/>
    <w:uiPriority w:val="0"/>
    <w:rPr>
      <w:rFonts w:ascii="宋体" w:hAnsi="宋体" w:eastAsia="宋体" w:cs="宋体"/>
      <w:b/>
      <w:color w:val="000000"/>
      <w:sz w:val="16"/>
      <w:szCs w:val="16"/>
      <w:u w:val="none"/>
    </w:rPr>
  </w:style>
  <w:style w:type="character" w:customStyle="1" w:styleId="36">
    <w:name w:val="font211"/>
    <w:basedOn w:val="12"/>
    <w:qFormat/>
    <w:uiPriority w:val="0"/>
    <w:rPr>
      <w:rFonts w:hint="eastAsia" w:ascii="宋体" w:hAnsi="宋体" w:eastAsia="宋体" w:cs="宋体"/>
      <w:b/>
      <w:color w:val="000000"/>
      <w:sz w:val="18"/>
      <w:szCs w:val="18"/>
      <w:u w:val="none"/>
    </w:rPr>
  </w:style>
  <w:style w:type="character" w:customStyle="1" w:styleId="37">
    <w:name w:val="font101"/>
    <w:basedOn w:val="12"/>
    <w:qFormat/>
    <w:uiPriority w:val="0"/>
    <w:rPr>
      <w:rFonts w:hint="eastAsia" w:ascii="宋体" w:hAnsi="宋体" w:eastAsia="宋体" w:cs="宋体"/>
      <w:color w:val="auto"/>
      <w:sz w:val="18"/>
      <w:szCs w:val="18"/>
      <w:u w:val="none"/>
    </w:rPr>
  </w:style>
  <w:style w:type="character" w:customStyle="1" w:styleId="38">
    <w:name w:val="font121"/>
    <w:basedOn w:val="12"/>
    <w:qFormat/>
    <w:uiPriority w:val="0"/>
    <w:rPr>
      <w:rFonts w:hint="eastAsia" w:ascii="宋体" w:hAnsi="宋体" w:eastAsia="宋体" w:cs="宋体"/>
      <w:color w:val="000000"/>
      <w:sz w:val="18"/>
      <w:szCs w:val="18"/>
      <w:u w:val="none"/>
    </w:rPr>
  </w:style>
  <w:style w:type="character" w:customStyle="1" w:styleId="39">
    <w:name w:val="font151"/>
    <w:basedOn w:val="12"/>
    <w:qFormat/>
    <w:uiPriority w:val="0"/>
    <w:rPr>
      <w:rFonts w:hint="eastAsia" w:ascii="宋体" w:hAnsi="宋体" w:eastAsia="宋体" w:cs="宋体"/>
      <w:color w:val="000000"/>
      <w:sz w:val="20"/>
      <w:szCs w:val="20"/>
      <w:u w:val="none"/>
    </w:rPr>
  </w:style>
  <w:style w:type="character" w:customStyle="1" w:styleId="40">
    <w:name w:val="font161"/>
    <w:basedOn w:val="12"/>
    <w:qFormat/>
    <w:uiPriority w:val="0"/>
    <w:rPr>
      <w:rFonts w:hint="eastAsia" w:ascii="宋体" w:hAnsi="宋体" w:eastAsia="宋体" w:cs="宋体"/>
      <w:color w:val="000000"/>
      <w:sz w:val="18"/>
      <w:szCs w:val="18"/>
      <w:u w:val="none"/>
    </w:rPr>
  </w:style>
  <w:style w:type="character" w:customStyle="1" w:styleId="41">
    <w:name w:val="font191"/>
    <w:basedOn w:val="12"/>
    <w:qFormat/>
    <w:uiPriority w:val="0"/>
    <w:rPr>
      <w:rFonts w:hint="eastAsia" w:ascii="宋体" w:hAnsi="宋体" w:eastAsia="宋体" w:cs="宋体"/>
      <w:b/>
      <w:color w:val="000000"/>
      <w:sz w:val="16"/>
      <w:szCs w:val="16"/>
      <w:u w:val="none"/>
    </w:rPr>
  </w:style>
  <w:style w:type="character" w:customStyle="1" w:styleId="42">
    <w:name w:val="font412"/>
    <w:basedOn w:val="12"/>
    <w:qFormat/>
    <w:uiPriority w:val="0"/>
    <w:rPr>
      <w:rFonts w:hint="eastAsia" w:ascii="宋体" w:hAnsi="宋体" w:eastAsia="宋体" w:cs="宋体"/>
      <w:b/>
      <w:color w:val="000000"/>
      <w:sz w:val="20"/>
      <w:szCs w:val="20"/>
      <w:u w:val="none"/>
    </w:rPr>
  </w:style>
  <w:style w:type="character" w:customStyle="1" w:styleId="43">
    <w:name w:val="font41"/>
    <w:basedOn w:val="12"/>
    <w:qFormat/>
    <w:uiPriority w:val="0"/>
    <w:rPr>
      <w:rFonts w:hint="default" w:ascii="font-weight : 400" w:hAnsi="font-weight : 400" w:eastAsia="font-weight : 400" w:cs="font-weight : 400"/>
      <w:color w:val="000000"/>
      <w:sz w:val="20"/>
      <w:szCs w:val="20"/>
      <w:u w:val="none"/>
    </w:rPr>
  </w:style>
  <w:style w:type="character" w:customStyle="1" w:styleId="44">
    <w:name w:val="font201"/>
    <w:basedOn w:val="12"/>
    <w:qFormat/>
    <w:uiPriority w:val="0"/>
    <w:rPr>
      <w:rFonts w:hint="eastAsia" w:ascii="宋体" w:hAnsi="宋体" w:eastAsia="宋体" w:cs="宋体"/>
      <w:color w:val="000000"/>
      <w:sz w:val="16"/>
      <w:szCs w:val="16"/>
      <w:u w:val="none"/>
    </w:rPr>
  </w:style>
  <w:style w:type="character" w:customStyle="1" w:styleId="45">
    <w:name w:val="页眉 Char"/>
    <w:basedOn w:val="12"/>
    <w:link w:val="7"/>
    <w:qFormat/>
    <w:uiPriority w:val="0"/>
    <w:rPr>
      <w:kern w:val="2"/>
      <w:sz w:val="18"/>
      <w:szCs w:val="18"/>
    </w:rPr>
  </w:style>
  <w:style w:type="character" w:customStyle="1" w:styleId="46">
    <w:name w:val="font311"/>
    <w:basedOn w:val="12"/>
    <w:qFormat/>
    <w:uiPriority w:val="0"/>
    <w:rPr>
      <w:rFonts w:hint="eastAsia" w:ascii="仿宋_GB2312" w:eastAsia="仿宋_GB2312" w:cs="仿宋_GB2312"/>
      <w:b/>
      <w:color w:val="000000"/>
      <w:sz w:val="18"/>
      <w:szCs w:val="18"/>
      <w:u w:val="none"/>
    </w:rPr>
  </w:style>
  <w:style w:type="character" w:customStyle="1" w:styleId="47">
    <w:name w:val="font241"/>
    <w:basedOn w:val="12"/>
    <w:qFormat/>
    <w:uiPriority w:val="0"/>
    <w:rPr>
      <w:rFonts w:hint="eastAsia" w:ascii="仿宋_GB2312" w:eastAsia="仿宋_GB2312" w:cs="仿宋_GB2312"/>
      <w:b/>
      <w:color w:val="auto"/>
      <w:sz w:val="18"/>
      <w:szCs w:val="18"/>
      <w:u w:val="none"/>
    </w:rPr>
  </w:style>
  <w:style w:type="character" w:customStyle="1" w:styleId="48">
    <w:name w:val="font81"/>
    <w:basedOn w:val="12"/>
    <w:qFormat/>
    <w:uiPriority w:val="0"/>
    <w:rPr>
      <w:rFonts w:hint="eastAsia" w:ascii="宋体" w:hAnsi="宋体" w:eastAsia="宋体" w:cs="宋体"/>
      <w:color w:val="auto"/>
      <w:sz w:val="18"/>
      <w:szCs w:val="18"/>
      <w:u w:val="none"/>
    </w:rPr>
  </w:style>
  <w:style w:type="character" w:customStyle="1" w:styleId="49">
    <w:name w:val="font131"/>
    <w:basedOn w:val="12"/>
    <w:qFormat/>
    <w:uiPriority w:val="0"/>
    <w:rPr>
      <w:rFonts w:hint="eastAsia" w:ascii="宋体" w:hAnsi="宋体" w:eastAsia="宋体" w:cs="宋体"/>
      <w:b/>
      <w:color w:val="000000"/>
      <w:sz w:val="20"/>
      <w:szCs w:val="20"/>
      <w:u w:val="none"/>
    </w:rPr>
  </w:style>
  <w:style w:type="character" w:customStyle="1" w:styleId="50">
    <w:name w:val="font21"/>
    <w:basedOn w:val="12"/>
    <w:qFormat/>
    <w:uiPriority w:val="0"/>
    <w:rPr>
      <w:rFonts w:hint="eastAsia" w:ascii="宋体" w:hAnsi="宋体" w:eastAsia="宋体" w:cs="宋体"/>
      <w:color w:val="000000"/>
      <w:sz w:val="20"/>
      <w:szCs w:val="20"/>
      <w:u w:val="none"/>
    </w:rPr>
  </w:style>
  <w:style w:type="character" w:customStyle="1" w:styleId="51">
    <w:name w:val="font31"/>
    <w:basedOn w:val="12"/>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9</Pages>
  <Words>3851</Words>
  <Characters>4399</Characters>
  <Lines>1401</Lines>
  <Paragraphs>394</Paragraphs>
  <TotalTime>0</TotalTime>
  <ScaleCrop>false</ScaleCrop>
  <LinksUpToDate>false</LinksUpToDate>
  <CharactersWithSpaces>4468</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2017-04-13T10:09:00Z</dcterms:created>
  <dc:creator>user</dc:creator>
  <cp:lastModifiedBy>Administrator</cp:lastModifiedBy>
  <cp:lastPrinted>2025-08-12T10:04:00Z</cp:lastPrinted>
  <dcterms:modified xsi:type="dcterms:W3CDTF">2025-12-26T04:00:40Z</dcterms:modified>
  <dc:title>×政〔2017〕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6E3FA96A1C11413587DFC0F5B9AD5A9F</vt:lpwstr>
  </property>
</Properties>
</file>