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阿克陶县天山中学2024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027DC1">
      <w:r>
        <w:br w:type="page"/>
      </w:r>
    </w:p>
    <w:p w14:paraId="45D49BD6">
      <w:pPr>
        <w:spacing w:line="640" w:lineRule="exact"/>
        <w:jc w:val="center"/>
        <w:outlineLvl w:val="1"/>
      </w:pPr>
      <w:r>
        <w:rPr>
          <w:rFonts w:ascii="黑体" w:hAnsi="黑体" w:eastAsia="黑体"/>
          <w:sz w:val="32"/>
        </w:rPr>
        <w:t>第一部分 单位概况</w:t>
      </w:r>
    </w:p>
    <w:p w14:paraId="60D225C1">
      <w:pPr>
        <w:spacing w:line="640" w:lineRule="exact"/>
        <w:ind w:firstLine="640"/>
        <w:jc w:val="both"/>
        <w:outlineLvl w:val="2"/>
      </w:pPr>
      <w:r>
        <w:rPr>
          <w:rFonts w:ascii="黑体" w:hAnsi="黑体" w:eastAsia="黑体"/>
          <w:sz w:val="32"/>
        </w:rPr>
        <w:t>一、主要职能</w:t>
      </w:r>
    </w:p>
    <w:p w14:paraId="5EEC71D4">
      <w:pPr>
        <w:spacing w:line="580" w:lineRule="exact"/>
        <w:ind w:firstLine="640"/>
        <w:jc w:val="both"/>
      </w:pPr>
      <w:r>
        <w:rPr>
          <w:rFonts w:ascii="仿宋_GB2312" w:hAnsi="仿宋_GB2312" w:eastAsia="仿宋_GB2312"/>
          <w:sz w:val="32"/>
        </w:rPr>
        <w:t>宣传贯彻执行党和国家的教育方针、教育政策、教育法律和法规</w:t>
      </w:r>
      <w:r>
        <w:rPr>
          <w:rFonts w:hint="eastAsia" w:ascii="仿宋_GB2312" w:hAnsi="仿宋_GB2312" w:eastAsia="仿宋_GB2312"/>
          <w:sz w:val="32"/>
          <w:lang w:eastAsia="zh-CN"/>
        </w:rPr>
        <w:t>，</w:t>
      </w:r>
      <w:r>
        <w:rPr>
          <w:rFonts w:ascii="仿宋_GB2312" w:hAnsi="仿宋_GB2312" w:eastAsia="仿宋_GB2312"/>
          <w:sz w:val="32"/>
        </w:rPr>
        <w:t>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w:t>
      </w:r>
      <w:r>
        <w:rPr>
          <w:rFonts w:hint="eastAsia" w:ascii="仿宋_GB2312" w:hAnsi="仿宋_GB2312" w:eastAsia="仿宋_GB2312"/>
          <w:sz w:val="32"/>
          <w:lang w:eastAsia="zh-CN"/>
        </w:rPr>
        <w:t>，</w:t>
      </w:r>
      <w:r>
        <w:rPr>
          <w:rFonts w:ascii="仿宋_GB2312" w:hAnsi="仿宋_GB2312" w:eastAsia="仿宋_GB2312"/>
          <w:sz w:val="32"/>
        </w:rPr>
        <w:t>开齐课程</w:t>
      </w:r>
      <w:r>
        <w:rPr>
          <w:rFonts w:hint="eastAsia" w:ascii="仿宋_GB2312" w:hAnsi="仿宋_GB2312" w:eastAsia="仿宋_GB2312"/>
          <w:sz w:val="32"/>
          <w:lang w:eastAsia="zh-CN"/>
        </w:rPr>
        <w:t>，</w:t>
      </w:r>
      <w:r>
        <w:rPr>
          <w:rFonts w:ascii="仿宋_GB2312" w:hAnsi="仿宋_GB2312" w:eastAsia="仿宋_GB2312"/>
          <w:sz w:val="32"/>
        </w:rPr>
        <w:t>开足课时</w:t>
      </w:r>
      <w:r>
        <w:rPr>
          <w:rFonts w:hint="eastAsia" w:ascii="仿宋_GB2312" w:hAnsi="仿宋_GB2312" w:eastAsia="仿宋_GB2312"/>
          <w:sz w:val="32"/>
          <w:lang w:eastAsia="zh-CN"/>
        </w:rPr>
        <w:t>，</w:t>
      </w:r>
      <w:r>
        <w:rPr>
          <w:rFonts w:ascii="仿宋_GB2312" w:hAnsi="仿宋_GB2312" w:eastAsia="仿宋_GB2312"/>
          <w:sz w:val="32"/>
        </w:rPr>
        <w:t>认真实施中学的教育教学管理</w:t>
      </w:r>
      <w:r>
        <w:rPr>
          <w:rFonts w:hint="eastAsia" w:ascii="仿宋_GB2312" w:hAnsi="仿宋_GB2312" w:eastAsia="仿宋_GB2312"/>
          <w:sz w:val="32"/>
          <w:lang w:eastAsia="zh-CN"/>
        </w:rPr>
        <w:t>，</w:t>
      </w:r>
      <w:r>
        <w:rPr>
          <w:rFonts w:ascii="仿宋_GB2312" w:hAnsi="仿宋_GB2312" w:eastAsia="仿宋_GB2312"/>
          <w:sz w:val="32"/>
        </w:rPr>
        <w:t>全面推进素质教育</w:t>
      </w:r>
      <w:r>
        <w:rPr>
          <w:rFonts w:hint="eastAsia" w:ascii="仿宋_GB2312" w:hAnsi="仿宋_GB2312" w:eastAsia="仿宋_GB2312"/>
          <w:sz w:val="32"/>
          <w:lang w:eastAsia="zh-CN"/>
        </w:rPr>
        <w:t>，</w:t>
      </w:r>
      <w:r>
        <w:rPr>
          <w:rFonts w:ascii="仿宋_GB2312" w:hAnsi="仿宋_GB2312" w:eastAsia="仿宋_GB2312"/>
          <w:sz w:val="32"/>
        </w:rPr>
        <w:t>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5A0D62B9">
      <w:pPr>
        <w:spacing w:line="640" w:lineRule="exact"/>
        <w:ind w:firstLine="640"/>
        <w:jc w:val="both"/>
        <w:outlineLvl w:val="2"/>
      </w:pPr>
      <w:r>
        <w:rPr>
          <w:rFonts w:ascii="黑体" w:hAnsi="黑体" w:eastAsia="黑体"/>
          <w:sz w:val="32"/>
        </w:rPr>
        <w:t>二、机构设置及人员情况</w:t>
      </w:r>
    </w:p>
    <w:p w14:paraId="4F8AAAA7">
      <w:pPr>
        <w:spacing w:line="580" w:lineRule="exact"/>
        <w:ind w:firstLine="640"/>
        <w:jc w:val="both"/>
      </w:pPr>
      <w:r>
        <w:rPr>
          <w:rFonts w:ascii="仿宋_GB2312" w:hAnsi="仿宋_GB2312" w:eastAsia="仿宋_GB2312"/>
          <w:sz w:val="32"/>
        </w:rPr>
        <w:t>阿克陶县天山中学2024年度，实有人数140人，其中：在职人员130人，增加0人；离休人员0人，增加0人；退休人员10人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增加0人。</w:t>
      </w:r>
    </w:p>
    <w:p w14:paraId="376F9717">
      <w:pPr>
        <w:spacing w:line="580" w:lineRule="exact"/>
        <w:ind w:firstLine="640"/>
        <w:jc w:val="both"/>
      </w:pPr>
      <w:r>
        <w:rPr>
          <w:rFonts w:ascii="仿宋_GB2312" w:hAnsi="仿宋_GB2312" w:eastAsia="仿宋_GB2312"/>
          <w:sz w:val="32"/>
        </w:rPr>
        <w:t>阿克陶县天山中学无下属预算单位，下设8个科室，分别是：党建办、教务处、教研室、财务室、校办、工会、安全办、团委。</w:t>
      </w:r>
    </w:p>
    <w:p w14:paraId="74A7594D">
      <w:r>
        <w:br w:type="page"/>
      </w:r>
    </w:p>
    <w:p w14:paraId="4585B2B1">
      <w:pPr>
        <w:spacing w:line="240" w:lineRule="auto"/>
        <w:jc w:val="center"/>
        <w:outlineLvl w:val="1"/>
      </w:pPr>
      <w:r>
        <w:rPr>
          <w:rFonts w:ascii="黑体" w:hAnsi="黑体" w:eastAsia="黑体"/>
          <w:sz w:val="32"/>
        </w:rPr>
        <w:t>第二部分 部门决算情况说明</w:t>
      </w:r>
    </w:p>
    <w:p w14:paraId="75220932">
      <w:pPr>
        <w:spacing w:line="640" w:lineRule="exact"/>
        <w:ind w:firstLine="640"/>
        <w:jc w:val="both"/>
        <w:outlineLvl w:val="2"/>
      </w:pPr>
      <w:r>
        <w:rPr>
          <w:rFonts w:ascii="黑体" w:hAnsi="黑体" w:eastAsia="黑体"/>
          <w:sz w:val="32"/>
        </w:rPr>
        <w:t>一、收入支出决算总体情况说明</w:t>
      </w:r>
    </w:p>
    <w:p w14:paraId="33881E9D">
      <w:pPr>
        <w:spacing w:line="580" w:lineRule="exact"/>
        <w:ind w:firstLine="640"/>
        <w:jc w:val="both"/>
      </w:pPr>
      <w:r>
        <w:rPr>
          <w:rFonts w:ascii="仿宋_GB2312" w:hAnsi="仿宋_GB2312" w:eastAsia="仿宋_GB2312"/>
          <w:b/>
          <w:sz w:val="32"/>
        </w:rPr>
        <w:t>2024年度收入总计3,290.32万元，</w:t>
      </w:r>
      <w:r>
        <w:rPr>
          <w:rFonts w:ascii="仿宋_GB2312" w:hAnsi="仿宋_GB2312" w:eastAsia="仿宋_GB2312"/>
          <w:b w:val="0"/>
          <w:sz w:val="32"/>
        </w:rPr>
        <w:t>其中：本年收入合计3,289.82万元，使用非财政拨款结余（含专用结余）0.00万元，年初结转和结余0.50万元。</w:t>
      </w:r>
    </w:p>
    <w:p w14:paraId="1BB848B6">
      <w:pPr>
        <w:spacing w:line="580" w:lineRule="exact"/>
        <w:ind w:firstLine="640"/>
        <w:jc w:val="both"/>
      </w:pPr>
      <w:r>
        <w:rPr>
          <w:rFonts w:ascii="仿宋_GB2312" w:hAnsi="仿宋_GB2312" w:eastAsia="仿宋_GB2312"/>
          <w:b/>
          <w:sz w:val="32"/>
        </w:rPr>
        <w:t>2024年度支出总计3,290.32万元，</w:t>
      </w:r>
      <w:r>
        <w:rPr>
          <w:rFonts w:ascii="仿宋_GB2312" w:hAnsi="仿宋_GB2312" w:eastAsia="仿宋_GB2312"/>
          <w:b w:val="0"/>
          <w:sz w:val="32"/>
        </w:rPr>
        <w:t>其中：本年支出合计3,289.82万元，结余分配0.00万元，年末结转和结余0.50万元。</w:t>
      </w:r>
    </w:p>
    <w:p w14:paraId="507023BA">
      <w:pPr>
        <w:spacing w:line="580" w:lineRule="exact"/>
        <w:ind w:firstLine="640"/>
        <w:jc w:val="both"/>
      </w:pPr>
      <w:r>
        <w:rPr>
          <w:rFonts w:ascii="仿宋_GB2312" w:hAnsi="仿宋_GB2312" w:eastAsia="仿宋_GB2312"/>
          <w:b w:val="0"/>
          <w:sz w:val="32"/>
        </w:rPr>
        <w:t>收入支出总体与上年相比，增加213.80万元，增长6.95%，主要原因是：本年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，社保、公积金基数调增，相关</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r>
        <w:rPr>
          <w:rFonts w:hint="eastAsia" w:ascii="仿宋_GB2312" w:hAnsi="仿宋_GB2312" w:eastAsia="仿宋_GB2312"/>
          <w:b w:val="0"/>
          <w:sz w:val="32"/>
          <w:lang w:val="en-US" w:eastAsia="zh-CN"/>
        </w:rPr>
        <w:t>增加自治区城乡义务教育家庭经济困生生活补助、中央城乡义务教育资金公用经费等</w:t>
      </w:r>
      <w:r>
        <w:rPr>
          <w:rFonts w:ascii="仿宋_GB2312" w:hAnsi="仿宋_GB2312" w:eastAsia="仿宋_GB2312"/>
          <w:b w:val="0"/>
          <w:sz w:val="32"/>
        </w:rPr>
        <w:t>。</w:t>
      </w:r>
    </w:p>
    <w:p w14:paraId="222DBB47">
      <w:pPr>
        <w:spacing w:line="640" w:lineRule="exact"/>
        <w:ind w:firstLine="640"/>
        <w:jc w:val="both"/>
        <w:outlineLvl w:val="2"/>
      </w:pPr>
      <w:r>
        <w:rPr>
          <w:rFonts w:ascii="黑体" w:hAnsi="黑体" w:eastAsia="黑体"/>
          <w:sz w:val="32"/>
        </w:rPr>
        <w:t>二、收入决算情况说明</w:t>
      </w:r>
    </w:p>
    <w:p w14:paraId="48B97242">
      <w:pPr>
        <w:spacing w:line="580" w:lineRule="exact"/>
        <w:ind w:firstLine="640"/>
        <w:jc w:val="both"/>
      </w:pPr>
      <w:r>
        <w:rPr>
          <w:rFonts w:ascii="仿宋_GB2312" w:hAnsi="仿宋_GB2312" w:eastAsia="仿宋_GB2312"/>
          <w:b/>
          <w:sz w:val="32"/>
        </w:rPr>
        <w:t>本年收入3,289.82万元，</w:t>
      </w:r>
      <w:r>
        <w:rPr>
          <w:rFonts w:ascii="仿宋_GB2312" w:hAnsi="仿宋_GB2312" w:eastAsia="仿宋_GB2312"/>
          <w:b w:val="0"/>
          <w:sz w:val="32"/>
        </w:rPr>
        <w:t>其中：财政拨款收入3,289.79万元，占100.00%；上级补助收入0.00万元，占0.00%；事业收入0.00万元，占0.00%；经营收入0.00万元，占0.00%；附属单位上缴收入0.00万元，占0.00%；其他收入0.03万元，占0.0009%。</w:t>
      </w:r>
    </w:p>
    <w:p w14:paraId="23BB09E7">
      <w:pPr>
        <w:spacing w:line="640" w:lineRule="exact"/>
        <w:ind w:firstLine="640"/>
        <w:jc w:val="both"/>
        <w:outlineLvl w:val="2"/>
      </w:pPr>
      <w:r>
        <w:rPr>
          <w:rFonts w:ascii="黑体" w:hAnsi="黑体" w:eastAsia="黑体"/>
          <w:sz w:val="32"/>
        </w:rPr>
        <w:t>三、支出决算情况说明</w:t>
      </w:r>
    </w:p>
    <w:p w14:paraId="59F6D944">
      <w:pPr>
        <w:spacing w:line="580" w:lineRule="exact"/>
        <w:ind w:firstLine="640"/>
        <w:jc w:val="both"/>
      </w:pPr>
      <w:r>
        <w:rPr>
          <w:rFonts w:ascii="仿宋_GB2312" w:hAnsi="仿宋_GB2312" w:eastAsia="仿宋_GB2312"/>
          <w:b/>
          <w:sz w:val="32"/>
        </w:rPr>
        <w:t>本年支出3,289.82万元，</w:t>
      </w:r>
      <w:r>
        <w:rPr>
          <w:rFonts w:ascii="仿宋_GB2312" w:hAnsi="仿宋_GB2312" w:eastAsia="仿宋_GB2312"/>
          <w:b w:val="0"/>
          <w:sz w:val="32"/>
        </w:rPr>
        <w:t>其中：基本支出2,761.54万元，占83.94%；项目支出528.28万元，占16.06%；上缴上级支出0.00万元，占0.00%；经营支出0.00万元，占0.00%；对附属单位补助支出0.00万元，占0.00%。</w:t>
      </w:r>
    </w:p>
    <w:p w14:paraId="38926398">
      <w:pPr>
        <w:spacing w:line="640" w:lineRule="exact"/>
        <w:ind w:firstLine="640"/>
        <w:jc w:val="both"/>
        <w:outlineLvl w:val="2"/>
      </w:pPr>
      <w:r>
        <w:rPr>
          <w:rFonts w:ascii="黑体" w:hAnsi="黑体" w:eastAsia="黑体"/>
          <w:sz w:val="32"/>
        </w:rPr>
        <w:t>四、财政拨款收入支出决算总体情况说明</w:t>
      </w:r>
    </w:p>
    <w:p w14:paraId="7ED54D51">
      <w:pPr>
        <w:spacing w:line="580" w:lineRule="exact"/>
        <w:ind w:firstLine="640"/>
        <w:jc w:val="both"/>
      </w:pPr>
      <w:r>
        <w:rPr>
          <w:rFonts w:ascii="仿宋_GB2312" w:hAnsi="仿宋_GB2312" w:eastAsia="仿宋_GB2312"/>
          <w:b/>
          <w:sz w:val="32"/>
        </w:rPr>
        <w:t>2024年度财政拨款收入总计3,289.79万元，</w:t>
      </w:r>
      <w:r>
        <w:rPr>
          <w:rFonts w:ascii="仿宋_GB2312" w:hAnsi="仿宋_GB2312" w:eastAsia="仿宋_GB2312"/>
          <w:b w:val="0"/>
          <w:sz w:val="32"/>
        </w:rPr>
        <w:t>其中：年初财政拨款结转和结余0.00万元，本年财政拨款收入3,289.79万元。</w:t>
      </w:r>
      <w:r>
        <w:rPr>
          <w:rFonts w:ascii="仿宋_GB2312" w:hAnsi="仿宋_GB2312" w:eastAsia="仿宋_GB2312"/>
          <w:b/>
          <w:sz w:val="32"/>
        </w:rPr>
        <w:t>财政拨款支出总计3,289.79万元，</w:t>
      </w:r>
      <w:r>
        <w:rPr>
          <w:rFonts w:ascii="仿宋_GB2312" w:hAnsi="仿宋_GB2312" w:eastAsia="仿宋_GB2312"/>
          <w:b w:val="0"/>
          <w:sz w:val="32"/>
        </w:rPr>
        <w:t>其中：年末财政拨款结转和结余0.00万元，本年财政拨款支出3,289.79万元。</w:t>
      </w:r>
    </w:p>
    <w:p w14:paraId="1F1524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增加213.92万元，增长6.95%，主要原因是：本年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，社保、公积金基数调增，相关</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r>
        <w:rPr>
          <w:rFonts w:hint="eastAsia" w:ascii="仿宋_GB2312" w:hAnsi="仿宋_GB2312" w:eastAsia="仿宋_GB2312"/>
          <w:b w:val="0"/>
          <w:sz w:val="32"/>
          <w:lang w:val="en-US" w:eastAsia="zh-CN"/>
        </w:rPr>
        <w:t>增加自治区城乡义务教育家庭经济困生生活补助、中央城乡义务教育资金公用经费等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年初预算数2,794.67万元，决算数3,289.79万元，预决算差异率17.72%，主要原因是：年中追加人员工资、社保、公积金基数调增部分资金</w:t>
      </w:r>
      <w:r>
        <w:rPr>
          <w:rFonts w:hint="eastAsia" w:ascii="仿宋_GB2312" w:hAnsi="仿宋_GB2312" w:eastAsia="仿宋_GB2312"/>
          <w:b w:val="0"/>
          <w:sz w:val="32"/>
          <w:lang w:val="en-US" w:eastAsia="zh-CN"/>
        </w:rPr>
        <w:t>及自治区城乡义务教育家庭经济困生生活补助、中央城乡义务教育资金公用经费等</w:t>
      </w:r>
      <w:r>
        <w:rPr>
          <w:rFonts w:ascii="仿宋_GB2312" w:hAnsi="仿宋_GB2312" w:eastAsia="仿宋_GB2312"/>
          <w:b w:val="0"/>
          <w:sz w:val="32"/>
        </w:rPr>
        <w:t>，导致预决算存在差异。</w:t>
      </w:r>
    </w:p>
    <w:p w14:paraId="00F2B4FC">
      <w:pPr>
        <w:spacing w:line="640" w:lineRule="exact"/>
        <w:ind w:firstLine="640"/>
        <w:jc w:val="both"/>
        <w:outlineLvl w:val="2"/>
      </w:pPr>
      <w:r>
        <w:rPr>
          <w:rFonts w:ascii="黑体" w:hAnsi="黑体" w:eastAsia="黑体"/>
          <w:sz w:val="32"/>
        </w:rPr>
        <w:t>五、一般公共预算财政拨款支出决算情况说明</w:t>
      </w:r>
    </w:p>
    <w:p w14:paraId="43352B2B">
      <w:pPr>
        <w:spacing w:line="640" w:lineRule="exact"/>
        <w:ind w:firstLine="640"/>
        <w:jc w:val="both"/>
        <w:outlineLvl w:val="3"/>
      </w:pPr>
      <w:r>
        <w:rPr>
          <w:rFonts w:ascii="楷体_GB2312" w:hAnsi="楷体_GB2312" w:eastAsia="楷体_GB2312"/>
          <w:b/>
          <w:sz w:val="32"/>
        </w:rPr>
        <w:t>（一）一般公共预算财政拨款支出决算总体情况</w:t>
      </w:r>
    </w:p>
    <w:p w14:paraId="4FD13B66">
      <w:pPr>
        <w:spacing w:line="580" w:lineRule="exact"/>
        <w:ind w:firstLine="640"/>
        <w:jc w:val="both"/>
      </w:pPr>
      <w:r>
        <w:rPr>
          <w:rFonts w:ascii="仿宋_GB2312" w:hAnsi="仿宋_GB2312" w:eastAsia="仿宋_GB2312"/>
          <w:b/>
          <w:sz w:val="32"/>
        </w:rPr>
        <w:t>2024年度一般公共预算财政拨款支出3,288.59万元，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增加215.66万元，增长7.02%，主要原因是：本年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，社保、公积金基数调增，相关</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r>
        <w:rPr>
          <w:rFonts w:hint="eastAsia" w:ascii="仿宋_GB2312" w:hAnsi="仿宋_GB2312" w:eastAsia="仿宋_GB2312"/>
          <w:b w:val="0"/>
          <w:sz w:val="32"/>
          <w:lang w:val="en-US" w:eastAsia="zh-CN"/>
        </w:rPr>
        <w:t>增加自治区城乡义务教育家庭经济困生生活补助、中央城乡义务教育资金公用经费等</w:t>
      </w:r>
      <w:r>
        <w:rPr>
          <w:rFonts w:ascii="仿宋_GB2312" w:hAnsi="仿宋_GB2312" w:eastAsia="仿宋_GB2312"/>
          <w:b w:val="0"/>
          <w:sz w:val="32"/>
        </w:rPr>
        <w:t>。</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年初预算数2,794.67万元，决算数3,288.59万元，预决算差异率17.67%，主要原因是：年中追加人员工资、社保、公积金基数调增部分资金</w:t>
      </w:r>
      <w:r>
        <w:rPr>
          <w:rFonts w:hint="eastAsia" w:ascii="仿宋_GB2312" w:hAnsi="仿宋_GB2312" w:eastAsia="仿宋_GB2312"/>
          <w:b w:val="0"/>
          <w:sz w:val="32"/>
          <w:lang w:val="en-US" w:eastAsia="zh-CN"/>
        </w:rPr>
        <w:t>及自治区城乡义务教育家庭经济困生生活补助、中央城乡义务教育资金公用经费等</w:t>
      </w:r>
      <w:r>
        <w:rPr>
          <w:rFonts w:ascii="仿宋_GB2312" w:hAnsi="仿宋_GB2312" w:eastAsia="仿宋_GB2312"/>
          <w:b w:val="0"/>
          <w:sz w:val="32"/>
        </w:rPr>
        <w:t>，导致预决算存在差异。</w:t>
      </w:r>
    </w:p>
    <w:p w14:paraId="341E3B5C">
      <w:pPr>
        <w:spacing w:line="640" w:lineRule="exact"/>
        <w:ind w:firstLine="640"/>
        <w:jc w:val="both"/>
        <w:outlineLvl w:val="3"/>
      </w:pPr>
      <w:r>
        <w:rPr>
          <w:rFonts w:ascii="楷体_GB2312" w:hAnsi="楷体_GB2312" w:eastAsia="楷体_GB2312"/>
          <w:b/>
          <w:sz w:val="32"/>
        </w:rPr>
        <w:t>（二）一般公共预算财政拨款支出决算结构情况</w:t>
      </w:r>
    </w:p>
    <w:p w14:paraId="6DA08D62">
      <w:pPr>
        <w:spacing w:line="580" w:lineRule="exact"/>
        <w:ind w:firstLine="640"/>
        <w:jc w:val="both"/>
      </w:pPr>
      <w:r>
        <w:rPr>
          <w:rFonts w:ascii="仿宋_GB2312" w:hAnsi="仿宋_GB2312" w:eastAsia="仿宋_GB2312"/>
          <w:b w:val="0"/>
          <w:sz w:val="32"/>
        </w:rPr>
        <w:t>1.教育支出(类)3,288.59万元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37F04B18">
      <w:pPr>
        <w:spacing w:line="640" w:lineRule="exact"/>
        <w:ind w:firstLine="640"/>
        <w:jc w:val="both"/>
        <w:outlineLvl w:val="3"/>
      </w:pPr>
      <w:r>
        <w:rPr>
          <w:rFonts w:ascii="楷体_GB2312" w:hAnsi="楷体_GB2312" w:eastAsia="楷体_GB2312"/>
          <w:b/>
          <w:sz w:val="32"/>
        </w:rPr>
        <w:t>（三）一般公共预算财政拨款支出决算具体情况</w:t>
      </w:r>
    </w:p>
    <w:p w14:paraId="2255CD70">
      <w:pPr>
        <w:spacing w:line="580" w:lineRule="exact"/>
        <w:ind w:firstLine="640"/>
        <w:jc w:val="both"/>
      </w:pPr>
      <w:r>
        <w:rPr>
          <w:rFonts w:ascii="仿宋_GB2312" w:hAnsi="仿宋_GB2312" w:eastAsia="仿宋_GB2312"/>
          <w:b w:val="0"/>
          <w:sz w:val="32"/>
        </w:rPr>
        <w:t>1.教育支出(类)普通教育(款)小学教育(项)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支出决算数为378.39万元，比上年决算增加92.33万元，增长32.28%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本年增加自治区城乡义务教育家庭经济困生生活补助、中央城乡义务教育资金公用经费等</w:t>
      </w:r>
      <w:r>
        <w:rPr>
          <w:rFonts w:ascii="仿宋_GB2312" w:hAnsi="仿宋_GB2312" w:eastAsia="仿宋_GB2312"/>
          <w:b w:val="0"/>
          <w:sz w:val="32"/>
        </w:rPr>
        <w:t>。</w:t>
      </w:r>
    </w:p>
    <w:p w14:paraId="28370A23">
      <w:pPr>
        <w:spacing w:line="580" w:lineRule="exact"/>
        <w:ind w:firstLine="640"/>
        <w:jc w:val="both"/>
      </w:pPr>
      <w:r>
        <w:rPr>
          <w:rFonts w:ascii="仿宋_GB2312" w:hAnsi="仿宋_GB2312" w:eastAsia="仿宋_GB2312"/>
          <w:b w:val="0"/>
          <w:sz w:val="32"/>
        </w:rPr>
        <w:t>2.教育支出(类)普通教育(款)初中教育(项)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支出决算数为2,910.20万元，比上年决算增加131.48万元，增长4.73%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主要原因是：本年功能科目调整，养老保险缴费上年度单独列支，本年调整至初中教育支出中，</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；在职人员工资调增，公积金基数调增，</w:t>
      </w:r>
      <w:r>
        <w:rPr>
          <w:rFonts w:hint="eastAsia" w:ascii="仿宋_GB2312" w:hAnsi="仿宋_GB2312" w:eastAsia="仿宋_GB2312"/>
          <w:b w:val="0"/>
          <w:sz w:val="32"/>
          <w:lang w:val="en-US" w:eastAsia="zh-CN"/>
        </w:rPr>
        <w:t>相关</w:t>
      </w:r>
      <w:r>
        <w:rPr>
          <w:rFonts w:ascii="仿宋_GB2312" w:hAnsi="仿宋_GB2312" w:eastAsia="仿宋_GB2312"/>
          <w:b w:val="0"/>
          <w:sz w:val="32"/>
        </w:rPr>
        <w:t>人员经费增加。</w:t>
      </w:r>
    </w:p>
    <w:p w14:paraId="0538E1C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支出决算数为0.00万元，比上年决算减少8.15万元，下降100.00%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w:t>
      </w:r>
      <w:r>
        <w:rPr>
          <w:rFonts w:hint="eastAsia" w:ascii="仿宋_GB2312" w:hAnsi="仿宋_GB2312" w:eastAsia="仿宋_GB2312"/>
          <w:b w:val="0"/>
          <w:sz w:val="36"/>
          <w:szCs w:val="36"/>
          <w:lang w:val="en-US" w:eastAsia="zh-CN"/>
        </w:rPr>
        <w:t>初中教育</w:t>
      </w:r>
      <w:r>
        <w:rPr>
          <w:rFonts w:ascii="仿宋_GB2312" w:hAnsi="仿宋_GB2312" w:eastAsia="仿宋_GB2312"/>
          <w:b w:val="0"/>
          <w:sz w:val="32"/>
        </w:rPr>
        <w:t>列支，导致经费较上年减少。</w:t>
      </w:r>
    </w:p>
    <w:p w14:paraId="72D8827E">
      <w:pPr>
        <w:spacing w:line="640" w:lineRule="exact"/>
        <w:ind w:firstLine="640"/>
        <w:jc w:val="both"/>
        <w:outlineLvl w:val="2"/>
      </w:pPr>
      <w:r>
        <w:rPr>
          <w:rFonts w:ascii="黑体" w:hAnsi="黑体" w:eastAsia="黑体"/>
          <w:sz w:val="32"/>
        </w:rPr>
        <w:t>六、一般公共预算财政拨款基本支出决算情况说明</w:t>
      </w:r>
    </w:p>
    <w:p w14:paraId="7891EE83">
      <w:pPr>
        <w:spacing w:line="580" w:lineRule="exact"/>
        <w:ind w:firstLine="640"/>
        <w:jc w:val="both"/>
      </w:pPr>
      <w:r>
        <w:rPr>
          <w:rFonts w:ascii="仿宋_GB2312" w:hAnsi="仿宋_GB2312" w:eastAsia="仿宋_GB2312"/>
          <w:b w:val="0"/>
          <w:sz w:val="32"/>
        </w:rPr>
        <w:t>2024年度一般公共预算财政拨款基本支出2,761.54万元，其中：</w:t>
      </w:r>
      <w:r>
        <w:rPr>
          <w:rFonts w:ascii="仿宋_GB2312" w:hAnsi="仿宋_GB2312" w:eastAsia="仿宋_GB2312"/>
          <w:b/>
          <w:sz w:val="32"/>
        </w:rPr>
        <w:t>人员经费2,761.54万元，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218CB0C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C72A101">
      <w:pPr>
        <w:spacing w:line="640" w:lineRule="exact"/>
        <w:ind w:firstLine="640"/>
        <w:jc w:val="both"/>
        <w:outlineLvl w:val="2"/>
      </w:pPr>
      <w:r>
        <w:rPr>
          <w:rFonts w:ascii="黑体" w:hAnsi="黑体" w:eastAsia="黑体"/>
          <w:sz w:val="32"/>
        </w:rPr>
        <w:t>七、政府性基金预算财政拨款收入支出决算情况说明</w:t>
      </w:r>
    </w:p>
    <w:p w14:paraId="6E7B6BD7">
      <w:pPr>
        <w:spacing w:line="580" w:lineRule="exact"/>
        <w:ind w:firstLine="640"/>
        <w:jc w:val="both"/>
      </w:pPr>
      <w:r>
        <w:rPr>
          <w:rFonts w:ascii="仿宋_GB2312" w:hAnsi="仿宋_GB2312" w:eastAsia="仿宋_GB2312"/>
          <w:b/>
          <w:sz w:val="32"/>
        </w:rPr>
        <w:t>2024年度政府性基金预算财政拨款收入总计1.20万元，</w:t>
      </w:r>
      <w:r>
        <w:rPr>
          <w:rFonts w:ascii="仿宋_GB2312" w:hAnsi="仿宋_GB2312" w:eastAsia="仿宋_GB2312"/>
          <w:b w:val="0"/>
          <w:sz w:val="32"/>
        </w:rPr>
        <w:t>其中：年初结转和结余0.00万元，本年收入1.20万元。</w:t>
      </w:r>
      <w:r>
        <w:rPr>
          <w:rFonts w:ascii="仿宋_GB2312" w:hAnsi="仿宋_GB2312" w:eastAsia="仿宋_GB2312"/>
          <w:b/>
          <w:sz w:val="32"/>
        </w:rPr>
        <w:t>政府性基金预算财政拨款支出总计1.20万元，</w:t>
      </w:r>
      <w:r>
        <w:rPr>
          <w:rFonts w:ascii="仿宋_GB2312" w:hAnsi="仿宋_GB2312" w:eastAsia="仿宋_GB2312"/>
          <w:b w:val="0"/>
          <w:sz w:val="32"/>
        </w:rPr>
        <w:t>其中：年末结转和结余0.00万元，本年支出1.20万元。</w:t>
      </w:r>
    </w:p>
    <w:p w14:paraId="6F9405F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减少1.74万元，下降59.18%，主要原因是：本年少年宫活动经费较上年减少。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年初预算数0.00万元，决算数1.20万元，预决算差异率100.00%，主要原因是：</w:t>
      </w:r>
      <w:bookmarkStart w:id="0" w:name="_GoBack"/>
      <w:bookmarkEnd w:id="0"/>
      <w:r>
        <w:rPr>
          <w:rFonts w:ascii="仿宋_GB2312" w:hAnsi="仿宋_GB2312" w:eastAsia="仿宋_GB2312"/>
          <w:b w:val="0"/>
          <w:sz w:val="32"/>
        </w:rPr>
        <w:t>年中追加少年宫活动经费。</w:t>
      </w:r>
    </w:p>
    <w:p w14:paraId="15FE01F6">
      <w:pPr>
        <w:spacing w:line="580" w:lineRule="exact"/>
        <w:ind w:firstLine="640"/>
        <w:jc w:val="both"/>
      </w:pPr>
      <w:r>
        <w:rPr>
          <w:rFonts w:ascii="仿宋_GB2312" w:hAnsi="仿宋_GB2312" w:eastAsia="仿宋_GB2312"/>
          <w:b w:val="0"/>
          <w:sz w:val="32"/>
        </w:rPr>
        <w:t>政府性基金预算财政拨款支出1.20万元。</w:t>
      </w:r>
    </w:p>
    <w:p w14:paraId="07DF4B8F">
      <w:pPr>
        <w:spacing w:line="580" w:lineRule="exact"/>
        <w:ind w:firstLine="640"/>
        <w:jc w:val="both"/>
      </w:pPr>
      <w:r>
        <w:rPr>
          <w:rFonts w:ascii="仿宋_GB2312" w:hAnsi="仿宋_GB2312" w:eastAsia="仿宋_GB2312"/>
          <w:b w:val="0"/>
          <w:sz w:val="32"/>
        </w:rPr>
        <w:t>1.其他支出(类)彩票公益金安排的支出(款)用于教育事业的彩票公益金支出(项)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支出决算数为1.20万元，比上年决算减少1.74万元，下降59.18%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主要原因是：本年少年宫活动经费较上年减少。</w:t>
      </w:r>
    </w:p>
    <w:p w14:paraId="4DF26108">
      <w:pPr>
        <w:spacing w:line="640" w:lineRule="exact"/>
        <w:ind w:firstLine="640"/>
        <w:jc w:val="both"/>
        <w:outlineLvl w:val="2"/>
      </w:pPr>
      <w:r>
        <w:rPr>
          <w:rFonts w:ascii="黑体" w:hAnsi="黑体" w:eastAsia="黑体"/>
          <w:sz w:val="32"/>
        </w:rPr>
        <w:t>八、国有资本经营预算财政拨款收入支出决算情况说明</w:t>
      </w:r>
    </w:p>
    <w:p w14:paraId="36DFCEA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DD5F79">
      <w:pPr>
        <w:spacing w:line="640" w:lineRule="exact"/>
        <w:ind w:firstLine="640"/>
        <w:jc w:val="both"/>
        <w:outlineLvl w:val="2"/>
      </w:pPr>
      <w:r>
        <w:rPr>
          <w:rFonts w:ascii="黑体" w:hAnsi="黑体" w:eastAsia="黑体"/>
          <w:sz w:val="32"/>
        </w:rPr>
        <w:t>九、财政拨款“三公”经费支出决算情况说明</w:t>
      </w:r>
    </w:p>
    <w:p w14:paraId="50694CD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B7D7BEF">
      <w:pPr>
        <w:spacing w:line="580" w:lineRule="exact"/>
        <w:ind w:firstLine="640"/>
        <w:jc w:val="both"/>
      </w:pPr>
      <w:r>
        <w:rPr>
          <w:rFonts w:ascii="仿宋_GB2312" w:hAnsi="仿宋_GB2312" w:eastAsia="仿宋_GB2312"/>
          <w:b/>
          <w:sz w:val="32"/>
        </w:rPr>
        <w:t>具体情况如下：</w:t>
      </w:r>
    </w:p>
    <w:p w14:paraId="4EAF06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ED27C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5C30D4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EBAF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F0A7CE7">
      <w:pPr>
        <w:spacing w:line="640" w:lineRule="exact"/>
        <w:ind w:firstLine="640"/>
        <w:jc w:val="both"/>
        <w:outlineLvl w:val="2"/>
      </w:pPr>
      <w:r>
        <w:rPr>
          <w:rFonts w:ascii="黑体" w:hAnsi="黑体" w:eastAsia="黑体"/>
          <w:sz w:val="32"/>
        </w:rPr>
        <w:t>十、其他重要事项的情况说明</w:t>
      </w:r>
    </w:p>
    <w:p w14:paraId="7FCCE5BE">
      <w:pPr>
        <w:spacing w:line="640" w:lineRule="exact"/>
        <w:ind w:firstLine="640"/>
        <w:jc w:val="both"/>
        <w:outlineLvl w:val="3"/>
      </w:pPr>
      <w:r>
        <w:rPr>
          <w:rFonts w:ascii="楷体_GB2312" w:hAnsi="楷体_GB2312" w:eastAsia="楷体_GB2312"/>
          <w:b/>
          <w:sz w:val="32"/>
        </w:rPr>
        <w:t>（一）机关运行经费及公用经费支出情况</w:t>
      </w:r>
    </w:p>
    <w:p w14:paraId="1D45E459">
      <w:pPr>
        <w:spacing w:line="580" w:lineRule="exact"/>
        <w:ind w:firstLine="640"/>
        <w:jc w:val="both"/>
      </w:pPr>
      <w:r>
        <w:rPr>
          <w:rFonts w:ascii="仿宋_GB2312" w:hAnsi="仿宋_GB2312" w:eastAsia="仿宋_GB2312"/>
          <w:b w:val="0"/>
          <w:sz w:val="32"/>
        </w:rPr>
        <w:t>2024年度阿克陶县天山中学（事业单位）公用经费支出0.00万元，比上年增加0.00万元，增长0.00%，主要原因是：2023年与2024年均未安排公用经费支出。</w:t>
      </w:r>
    </w:p>
    <w:p w14:paraId="6F9A4BF1">
      <w:pPr>
        <w:spacing w:line="640" w:lineRule="exact"/>
        <w:ind w:firstLine="640"/>
        <w:jc w:val="both"/>
        <w:outlineLvl w:val="3"/>
      </w:pPr>
      <w:r>
        <w:rPr>
          <w:rFonts w:ascii="楷体_GB2312" w:hAnsi="楷体_GB2312" w:eastAsia="楷体_GB2312"/>
          <w:b/>
          <w:sz w:val="32"/>
        </w:rPr>
        <w:t>（二）政府采购情况</w:t>
      </w:r>
    </w:p>
    <w:p w14:paraId="23B7A5FF">
      <w:pPr>
        <w:spacing w:line="580" w:lineRule="exact"/>
        <w:ind w:firstLine="640"/>
        <w:jc w:val="both"/>
      </w:pPr>
      <w:r>
        <w:rPr>
          <w:rFonts w:ascii="仿宋_GB2312" w:hAnsi="仿宋_GB2312" w:eastAsia="仿宋_GB2312"/>
          <w:b w:val="0"/>
          <w:sz w:val="32"/>
        </w:rPr>
        <w:t>2024年度政府采购支出总额12.37万元，其中：政府采购货物支出11.10万元、政府采购工程支出0.00万元、政府采购服务支出1.27万元。</w:t>
      </w:r>
    </w:p>
    <w:p w14:paraId="6F107527">
      <w:pPr>
        <w:spacing w:line="580" w:lineRule="exact"/>
        <w:ind w:firstLine="640"/>
        <w:jc w:val="both"/>
      </w:pPr>
      <w:r>
        <w:rPr>
          <w:rFonts w:ascii="仿宋_GB2312" w:hAnsi="仿宋_GB2312" w:eastAsia="仿宋_GB2312"/>
          <w:b w:val="0"/>
          <w:sz w:val="32"/>
        </w:rPr>
        <w:t>授予中小企业合同金额5.25万元，占政府采购支出总额的42.44%，其中：授予小微企业合同金额4.11万元，占政府采购支出总额的33.23%。</w:t>
      </w:r>
    </w:p>
    <w:p w14:paraId="0610FE7F">
      <w:pPr>
        <w:spacing w:line="640" w:lineRule="exact"/>
        <w:ind w:firstLine="640"/>
        <w:jc w:val="both"/>
        <w:outlineLvl w:val="3"/>
      </w:pPr>
      <w:r>
        <w:rPr>
          <w:rFonts w:ascii="楷体_GB2312" w:hAnsi="楷体_GB2312" w:eastAsia="楷体_GB2312"/>
          <w:b/>
          <w:sz w:val="32"/>
        </w:rPr>
        <w:t>（三）国有资产占用情况说明</w:t>
      </w:r>
    </w:p>
    <w:p w14:paraId="7D86B49A">
      <w:pPr>
        <w:spacing w:line="580" w:lineRule="exact"/>
        <w:ind w:firstLine="640"/>
        <w:jc w:val="both"/>
      </w:pPr>
      <w:r>
        <w:rPr>
          <w:rFonts w:ascii="仿宋_GB2312" w:hAnsi="仿宋_GB2312" w:eastAsia="仿宋_GB2312"/>
          <w:b w:val="0"/>
          <w:sz w:val="32"/>
        </w:rPr>
        <w:t>截至2024年12月31日，房屋11,680.26平方米，价值1,319.32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215312F">
      <w:pPr>
        <w:spacing w:line="640" w:lineRule="exact"/>
        <w:ind w:firstLine="640"/>
        <w:jc w:val="both"/>
        <w:outlineLvl w:val="2"/>
      </w:pPr>
      <w:r>
        <w:rPr>
          <w:rFonts w:ascii="黑体" w:hAnsi="黑体" w:eastAsia="黑体"/>
          <w:sz w:val="32"/>
        </w:rPr>
        <w:t>十一、预算绩效的情况说明</w:t>
      </w:r>
    </w:p>
    <w:p w14:paraId="39B4EB4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3,290.32万元，实际执行总额3,289.82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66E2FF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5BF191">
        <w:tblPrEx>
          <w:tblCellMar>
            <w:top w:w="0" w:type="dxa"/>
            <w:left w:w="108" w:type="dxa"/>
            <w:bottom w:w="0" w:type="dxa"/>
            <w:right w:w="108" w:type="dxa"/>
          </w:tblCellMar>
        </w:tblPrEx>
        <w:tc>
          <w:tcPr>
            <w:tcW w:w="8840" w:type="dxa"/>
            <w:gridSpan w:val="8"/>
            <w:vAlign w:val="center"/>
          </w:tcPr>
          <w:p w14:paraId="1CA12B7C">
            <w:pPr>
              <w:jc w:val="center"/>
            </w:pPr>
            <w:r>
              <w:rPr>
                <w:rFonts w:ascii="宋体" w:hAnsi="宋体" w:eastAsia="宋体"/>
                <w:sz w:val="24"/>
              </w:rPr>
              <w:t>单位整体支出绩效自评表</w:t>
            </w:r>
          </w:p>
        </w:tc>
      </w:tr>
      <w:tr w14:paraId="468DFCCE">
        <w:tblPrEx>
          <w:tblCellMar>
            <w:top w:w="0" w:type="dxa"/>
            <w:left w:w="108" w:type="dxa"/>
            <w:bottom w:w="0" w:type="dxa"/>
            <w:right w:w="108" w:type="dxa"/>
          </w:tblCellMar>
        </w:tblPrEx>
        <w:tc>
          <w:tcPr>
            <w:tcW w:w="8840" w:type="dxa"/>
            <w:gridSpan w:val="8"/>
            <w:vAlign w:val="center"/>
          </w:tcPr>
          <w:p w14:paraId="4E7D44BB">
            <w:pPr>
              <w:jc w:val="center"/>
            </w:pPr>
            <w:r>
              <w:rPr>
                <w:rFonts w:ascii="宋体" w:hAnsi="宋体" w:eastAsia="宋体"/>
                <w:sz w:val="24"/>
              </w:rPr>
              <w:t>（2024年度）</w:t>
            </w:r>
          </w:p>
        </w:tc>
      </w:tr>
      <w:tr w14:paraId="292755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87F6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6431D">
            <w:pPr>
              <w:jc w:val="center"/>
            </w:pPr>
            <w:r>
              <w:rPr>
                <w:rFonts w:ascii="宋体" w:hAnsi="宋体" w:eastAsia="宋体"/>
                <w:sz w:val="16"/>
              </w:rPr>
              <w:t>阿克陶县天山中学</w:t>
            </w:r>
          </w:p>
        </w:tc>
      </w:tr>
      <w:tr w14:paraId="17CEFA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6508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7E83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7E2D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AA26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1840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1BEE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C0C7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D25ED">
            <w:pPr>
              <w:jc w:val="center"/>
            </w:pPr>
            <w:r>
              <w:rPr>
                <w:rFonts w:ascii="宋体" w:hAnsi="宋体" w:eastAsia="宋体"/>
                <w:sz w:val="16"/>
              </w:rPr>
              <w:t>得分</w:t>
            </w:r>
          </w:p>
        </w:tc>
      </w:tr>
      <w:tr w14:paraId="471896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544C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D001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9B2FB">
            <w:pPr>
              <w:jc w:val="center"/>
            </w:pPr>
            <w:r>
              <w:rPr>
                <w:rFonts w:ascii="宋体" w:hAnsi="宋体" w:eastAsia="宋体"/>
                <w:sz w:val="16"/>
              </w:rPr>
              <w:t>2,756.29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6A136">
            <w:pPr>
              <w:jc w:val="center"/>
            </w:pPr>
            <w:r>
              <w:rPr>
                <w:rFonts w:ascii="宋体" w:hAnsi="宋体" w:eastAsia="宋体"/>
                <w:sz w:val="16"/>
              </w:rPr>
              <w:t>3,290.32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F614C">
            <w:pPr>
              <w:jc w:val="center"/>
            </w:pPr>
            <w:r>
              <w:rPr>
                <w:rFonts w:ascii="宋体" w:hAnsi="宋体" w:eastAsia="宋体"/>
                <w:sz w:val="16"/>
              </w:rPr>
              <w:t>3,289.82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3B8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F33F8">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B39FC">
            <w:pPr>
              <w:jc w:val="center"/>
            </w:pPr>
            <w:r>
              <w:rPr>
                <w:rFonts w:ascii="宋体" w:hAnsi="宋体" w:eastAsia="宋体"/>
                <w:sz w:val="16"/>
              </w:rPr>
              <w:t>9.99</w:t>
            </w:r>
          </w:p>
        </w:tc>
      </w:tr>
      <w:tr w14:paraId="4CC6D9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80A7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8E47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0F4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294F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720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F68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889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8996A">
            <w:pPr>
              <w:jc w:val="center"/>
            </w:pPr>
            <w:r>
              <w:rPr>
                <w:rFonts w:ascii="宋体" w:hAnsi="宋体" w:eastAsia="宋体"/>
                <w:sz w:val="16"/>
              </w:rPr>
              <w:t>—</w:t>
            </w:r>
          </w:p>
        </w:tc>
      </w:tr>
      <w:tr w14:paraId="49232F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28A0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02BD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A3643">
            <w:pPr>
              <w:jc w:val="center"/>
            </w:pPr>
            <w:r>
              <w:rPr>
                <w:rFonts w:ascii="宋体" w:hAnsi="宋体" w:eastAsia="宋体"/>
                <w:sz w:val="16"/>
              </w:rPr>
              <w:t>2,756.29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CA09B">
            <w:pPr>
              <w:jc w:val="center"/>
            </w:pPr>
            <w:r>
              <w:rPr>
                <w:rFonts w:ascii="宋体" w:hAnsi="宋体" w:eastAsia="宋体"/>
                <w:sz w:val="16"/>
              </w:rPr>
              <w:t>3,290.32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15DF3">
            <w:pPr>
              <w:jc w:val="center"/>
            </w:pPr>
            <w:r>
              <w:rPr>
                <w:rFonts w:ascii="宋体" w:hAnsi="宋体" w:eastAsia="宋体"/>
                <w:sz w:val="16"/>
              </w:rPr>
              <w:t>3,289.82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864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794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BCB8A">
            <w:pPr>
              <w:jc w:val="center"/>
            </w:pPr>
            <w:r>
              <w:rPr>
                <w:rFonts w:ascii="宋体" w:hAnsi="宋体" w:eastAsia="宋体"/>
                <w:sz w:val="16"/>
              </w:rPr>
              <w:t>—</w:t>
            </w:r>
          </w:p>
        </w:tc>
      </w:tr>
      <w:tr w14:paraId="297040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B9D5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F90C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338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5F98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37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882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FAB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7A881">
            <w:pPr>
              <w:jc w:val="center"/>
            </w:pPr>
            <w:r>
              <w:rPr>
                <w:rFonts w:ascii="宋体" w:hAnsi="宋体" w:eastAsia="宋体"/>
                <w:sz w:val="16"/>
              </w:rPr>
              <w:t>—</w:t>
            </w:r>
          </w:p>
        </w:tc>
      </w:tr>
      <w:tr w14:paraId="73BDE2B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9169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6D530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55B452">
            <w:pPr>
              <w:jc w:val="center"/>
            </w:pPr>
            <w:r>
              <w:rPr>
                <w:rFonts w:ascii="宋体" w:hAnsi="宋体" w:eastAsia="宋体"/>
                <w:sz w:val="16"/>
              </w:rPr>
              <w:t>实际完成情况</w:t>
            </w:r>
          </w:p>
        </w:tc>
      </w:tr>
      <w:tr w14:paraId="1F5202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B70D6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4C9420">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3102CA">
            <w:pPr>
              <w:jc w:val="both"/>
            </w:pPr>
            <w:r>
              <w:rPr>
                <w:rFonts w:ascii="宋体" w:hAnsi="宋体" w:eastAsia="宋体"/>
                <w:sz w:val="16"/>
              </w:rPr>
              <w:t>人员工资福利支出预算保障人数129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0D47F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12C1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4545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ED0B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FA95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3282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882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7F3A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AE616">
            <w:pPr>
              <w:jc w:val="center"/>
            </w:pPr>
            <w:r>
              <w:rPr>
                <w:rFonts w:ascii="宋体" w:hAnsi="宋体" w:eastAsia="宋体"/>
                <w:sz w:val="16"/>
              </w:rPr>
              <w:t>得分</w:t>
            </w:r>
          </w:p>
        </w:tc>
      </w:tr>
      <w:tr w14:paraId="2BF7B8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B9524">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486C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DF747">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90BC5">
            <w:pPr>
              <w:jc w:val="center"/>
            </w:pPr>
            <w:r>
              <w:rPr>
                <w:rFonts w:ascii="宋体" w:hAnsi="宋体" w:eastAsia="宋体"/>
                <w:sz w:val="16"/>
              </w:rPr>
              <w:t>&gt;=128人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24DDE">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9D1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B8CB1">
            <w:pPr>
              <w:jc w:val="center"/>
            </w:pPr>
            <w:r>
              <w:rPr>
                <w:rFonts w:ascii="宋体" w:hAnsi="宋体" w:eastAsia="宋体"/>
                <w:sz w:val="16"/>
              </w:rPr>
              <w:t>129人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0DE22">
            <w:pPr>
              <w:jc w:val="center"/>
            </w:pPr>
            <w:r>
              <w:rPr>
                <w:rFonts w:ascii="宋体" w:hAnsi="宋体" w:eastAsia="宋体"/>
                <w:sz w:val="16"/>
              </w:rPr>
              <w:t>10</w:t>
            </w:r>
          </w:p>
        </w:tc>
      </w:tr>
      <w:tr w14:paraId="2B7D1A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0EC07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ED05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D06C9">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2F15C">
            <w:pPr>
              <w:jc w:val="center"/>
            </w:pPr>
            <w:r>
              <w:rPr>
                <w:rFonts w:ascii="宋体" w:hAnsi="宋体" w:eastAsia="宋体"/>
                <w:sz w:val="16"/>
              </w:rPr>
              <w:t>&lt;=2730.13万元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266A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B45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DF3DA">
            <w:pPr>
              <w:jc w:val="center"/>
            </w:pPr>
            <w:r>
              <w:rPr>
                <w:rFonts w:ascii="宋体" w:hAnsi="宋体" w:eastAsia="宋体"/>
                <w:sz w:val="16"/>
              </w:rPr>
              <w:t>2761.54万元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027AF">
            <w:pPr>
              <w:jc w:val="center"/>
            </w:pPr>
            <w:r>
              <w:rPr>
                <w:rFonts w:ascii="宋体" w:hAnsi="宋体" w:eastAsia="宋体"/>
                <w:sz w:val="16"/>
              </w:rPr>
              <w:t>10</w:t>
            </w:r>
          </w:p>
        </w:tc>
      </w:tr>
      <w:tr w14:paraId="7AD2A4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8C0F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A822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576B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7B49F">
            <w:pPr>
              <w:jc w:val="center"/>
            </w:pPr>
            <w:r>
              <w:rPr>
                <w:rFonts w:ascii="宋体" w:hAnsi="宋体" w:eastAsia="宋体"/>
                <w:sz w:val="16"/>
              </w:rPr>
              <w:t>&lt;=26.16万元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A84D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4A8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0B307">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7357C">
            <w:pPr>
              <w:jc w:val="center"/>
            </w:pPr>
            <w:r>
              <w:rPr>
                <w:rFonts w:ascii="宋体" w:hAnsi="宋体" w:eastAsia="宋体"/>
                <w:sz w:val="16"/>
              </w:rPr>
              <w:t>0</w:t>
            </w:r>
          </w:p>
        </w:tc>
      </w:tr>
      <w:tr w14:paraId="1FEF636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A49A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900C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0903C">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8B97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2B58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F023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E890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D5786">
            <w:pPr>
              <w:jc w:val="center"/>
            </w:pPr>
            <w:r>
              <w:rPr>
                <w:rFonts w:ascii="宋体" w:hAnsi="宋体" w:eastAsia="宋体"/>
                <w:sz w:val="16"/>
              </w:rPr>
              <w:t>15</w:t>
            </w:r>
          </w:p>
        </w:tc>
      </w:tr>
      <w:tr w14:paraId="7E20BC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1CD6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9F06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349A3">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BCB4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1BCE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925F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7A0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4D3C9">
            <w:pPr>
              <w:jc w:val="center"/>
            </w:pPr>
            <w:r>
              <w:rPr>
                <w:rFonts w:ascii="宋体" w:hAnsi="宋体" w:eastAsia="宋体"/>
                <w:sz w:val="16"/>
              </w:rPr>
              <w:t>15</w:t>
            </w:r>
          </w:p>
        </w:tc>
      </w:tr>
      <w:tr w14:paraId="67613B2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4BF51">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4AC7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92E8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C44F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ED53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8AD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B45A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BAC3B">
            <w:pPr>
              <w:jc w:val="center"/>
            </w:pPr>
            <w:r>
              <w:rPr>
                <w:rFonts w:ascii="宋体" w:hAnsi="宋体" w:eastAsia="宋体"/>
                <w:sz w:val="16"/>
              </w:rPr>
              <w:t>10</w:t>
            </w:r>
          </w:p>
        </w:tc>
      </w:tr>
      <w:tr w14:paraId="640ACBD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BD8E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EF68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16DD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00ED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77AD2">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3B6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1E09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1C09A">
            <w:pPr>
              <w:jc w:val="center"/>
            </w:pPr>
            <w:r>
              <w:rPr>
                <w:rFonts w:ascii="宋体" w:hAnsi="宋体" w:eastAsia="宋体"/>
                <w:sz w:val="16"/>
              </w:rPr>
              <w:t>10</w:t>
            </w:r>
          </w:p>
        </w:tc>
      </w:tr>
      <w:tr w14:paraId="01770B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99C5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6D23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27A1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E77E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CE079">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3AB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2BE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17BE6">
            <w:pPr>
              <w:jc w:val="center"/>
            </w:pPr>
            <w:r>
              <w:rPr>
                <w:rFonts w:ascii="宋体" w:hAnsi="宋体" w:eastAsia="宋体"/>
                <w:sz w:val="16"/>
              </w:rPr>
              <w:t>10</w:t>
            </w:r>
          </w:p>
        </w:tc>
      </w:tr>
    </w:tbl>
    <w:p w14:paraId="5FC0A8A6">
      <w:r>
        <w:br w:type="page"/>
      </w:r>
    </w:p>
    <w:p w14:paraId="22A94E45">
      <w:pPr>
        <w:spacing w:line="640" w:lineRule="exact"/>
        <w:ind w:firstLine="640"/>
        <w:jc w:val="both"/>
        <w:outlineLvl w:val="2"/>
      </w:pPr>
      <w:r>
        <w:rPr>
          <w:rFonts w:ascii="黑体" w:hAnsi="黑体" w:eastAsia="黑体"/>
          <w:sz w:val="32"/>
        </w:rPr>
        <w:t>十二、其他需说明的事项</w:t>
      </w:r>
    </w:p>
    <w:p w14:paraId="14DDE553">
      <w:pPr>
        <w:spacing w:line="580" w:lineRule="exact"/>
        <w:ind w:firstLine="640"/>
        <w:jc w:val="both"/>
      </w:pPr>
      <w:r>
        <w:rPr>
          <w:rFonts w:ascii="仿宋_GB2312" w:hAnsi="仿宋_GB2312" w:eastAsia="仿宋_GB2312"/>
          <w:b w:val="0"/>
          <w:sz w:val="32"/>
        </w:rPr>
        <w:t>本单位无其他需说明的事项。</w:t>
      </w:r>
    </w:p>
    <w:p w14:paraId="37990A20">
      <w:r>
        <w:br w:type="page"/>
      </w:r>
    </w:p>
    <w:p w14:paraId="2FD3B710">
      <w:pPr>
        <w:spacing w:line="240" w:lineRule="auto"/>
        <w:jc w:val="center"/>
        <w:outlineLvl w:val="1"/>
      </w:pPr>
      <w:r>
        <w:rPr>
          <w:rFonts w:ascii="黑体" w:hAnsi="黑体" w:eastAsia="黑体"/>
          <w:sz w:val="32"/>
        </w:rPr>
        <w:t>第三部分 专业名词解释</w:t>
      </w:r>
    </w:p>
    <w:p w14:paraId="1F1975A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4DB42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02781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05B4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16ED8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8B615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CD0FF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2F31D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99373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28635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3482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70F78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FD8EC7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35D22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12C5AF">
      <w:r>
        <w:br w:type="page"/>
      </w:r>
    </w:p>
    <w:p w14:paraId="26C93C7A">
      <w:pPr>
        <w:spacing w:line="240" w:lineRule="auto"/>
        <w:jc w:val="center"/>
        <w:outlineLvl w:val="1"/>
      </w:pPr>
      <w:r>
        <w:rPr>
          <w:rFonts w:ascii="黑体" w:hAnsi="黑体" w:eastAsia="黑体"/>
          <w:sz w:val="32"/>
        </w:rPr>
        <w:t>第四部分 部门决算报表（见附表）</w:t>
      </w:r>
    </w:p>
    <w:p w14:paraId="7D089CC8">
      <w:pPr>
        <w:spacing w:line="240" w:lineRule="auto"/>
        <w:ind w:firstLine="640"/>
        <w:jc w:val="both"/>
      </w:pPr>
      <w:r>
        <w:rPr>
          <w:rFonts w:ascii="仿宋_GB2312" w:hAnsi="仿宋_GB2312" w:eastAsia="仿宋_GB2312"/>
          <w:b w:val="0"/>
          <w:sz w:val="32"/>
        </w:rPr>
        <w:t>一、《收入支出决算总表》</w:t>
      </w:r>
    </w:p>
    <w:p w14:paraId="4B8CBB99">
      <w:pPr>
        <w:spacing w:line="240" w:lineRule="auto"/>
        <w:ind w:firstLine="640"/>
        <w:jc w:val="both"/>
      </w:pPr>
      <w:r>
        <w:rPr>
          <w:rFonts w:ascii="仿宋_GB2312" w:hAnsi="仿宋_GB2312" w:eastAsia="仿宋_GB2312"/>
          <w:b w:val="0"/>
          <w:sz w:val="32"/>
        </w:rPr>
        <w:t>二、《收入决算表》</w:t>
      </w:r>
    </w:p>
    <w:p w14:paraId="3D16CDEC">
      <w:pPr>
        <w:spacing w:line="240" w:lineRule="auto"/>
        <w:ind w:firstLine="640"/>
        <w:jc w:val="both"/>
      </w:pPr>
      <w:r>
        <w:rPr>
          <w:rFonts w:ascii="仿宋_GB2312" w:hAnsi="仿宋_GB2312" w:eastAsia="仿宋_GB2312"/>
          <w:b w:val="0"/>
          <w:sz w:val="32"/>
        </w:rPr>
        <w:t>三、《支出决算表》</w:t>
      </w:r>
    </w:p>
    <w:p w14:paraId="69773721">
      <w:pPr>
        <w:spacing w:line="240" w:lineRule="auto"/>
        <w:ind w:firstLine="640"/>
        <w:jc w:val="both"/>
      </w:pPr>
      <w:r>
        <w:rPr>
          <w:rFonts w:ascii="仿宋_GB2312" w:hAnsi="仿宋_GB2312" w:eastAsia="仿宋_GB2312"/>
          <w:b w:val="0"/>
          <w:sz w:val="32"/>
        </w:rPr>
        <w:t>四、《财政拨款收入支出决算总表》</w:t>
      </w:r>
    </w:p>
    <w:p w14:paraId="574AFFBC">
      <w:pPr>
        <w:spacing w:line="240" w:lineRule="auto"/>
        <w:ind w:firstLine="640"/>
        <w:jc w:val="both"/>
      </w:pPr>
      <w:r>
        <w:rPr>
          <w:rFonts w:ascii="仿宋_GB2312" w:hAnsi="仿宋_GB2312" w:eastAsia="仿宋_GB2312"/>
          <w:b w:val="0"/>
          <w:sz w:val="32"/>
        </w:rPr>
        <w:t>五、《一般公共预算财政拨款支出决算表》</w:t>
      </w:r>
    </w:p>
    <w:p w14:paraId="74EA7BDB">
      <w:pPr>
        <w:spacing w:line="240" w:lineRule="auto"/>
        <w:ind w:firstLine="640"/>
        <w:jc w:val="both"/>
      </w:pPr>
      <w:r>
        <w:rPr>
          <w:rFonts w:ascii="仿宋_GB2312" w:hAnsi="仿宋_GB2312" w:eastAsia="仿宋_GB2312"/>
          <w:b w:val="0"/>
          <w:sz w:val="32"/>
        </w:rPr>
        <w:t>六、《一般公共预算财政拨款基本支出决算表》</w:t>
      </w:r>
    </w:p>
    <w:p w14:paraId="2DDCFC5E">
      <w:pPr>
        <w:spacing w:line="240" w:lineRule="auto"/>
        <w:ind w:firstLine="640"/>
        <w:jc w:val="both"/>
      </w:pPr>
      <w:r>
        <w:rPr>
          <w:rFonts w:ascii="仿宋_GB2312" w:hAnsi="仿宋_GB2312" w:eastAsia="仿宋_GB2312"/>
          <w:b w:val="0"/>
          <w:sz w:val="32"/>
        </w:rPr>
        <w:t>七、《政府性基金预算财政拨款收入支出决算表》</w:t>
      </w:r>
    </w:p>
    <w:p w14:paraId="212ADF74">
      <w:pPr>
        <w:spacing w:line="240" w:lineRule="auto"/>
        <w:ind w:firstLine="640"/>
        <w:jc w:val="both"/>
      </w:pPr>
      <w:r>
        <w:rPr>
          <w:rFonts w:ascii="仿宋_GB2312" w:hAnsi="仿宋_GB2312" w:eastAsia="仿宋_GB2312"/>
          <w:b w:val="0"/>
          <w:sz w:val="32"/>
        </w:rPr>
        <w:t>八、《国有资本经营预算财政拨款收入支出决算表》</w:t>
      </w:r>
    </w:p>
    <w:p w14:paraId="40B38623">
      <w:pPr>
        <w:spacing w:line="240" w:lineRule="auto"/>
        <w:ind w:firstLine="640"/>
        <w:jc w:val="both"/>
      </w:pPr>
      <w:r>
        <w:rPr>
          <w:rFonts w:ascii="仿宋_GB2312" w:hAnsi="仿宋_GB2312" w:eastAsia="仿宋_GB2312"/>
          <w:b w:val="0"/>
          <w:sz w:val="32"/>
        </w:rPr>
        <w:t>九、《财政拨款“三公”经费支出决算表》</w:t>
      </w:r>
    </w:p>
    <w:p w14:paraId="2964E5E5">
      <w:pPr>
        <w:spacing w:line="240" w:lineRule="auto"/>
        <w:ind w:firstLine="640"/>
        <w:jc w:val="both"/>
      </w:pPr>
    </w:p>
    <w:p w14:paraId="0FB69F93">
      <w:pPr>
        <w:spacing w:line="240" w:lineRule="auto"/>
        <w:ind w:firstLine="640"/>
        <w:jc w:val="both"/>
      </w:pPr>
    </w:p>
    <w:p w14:paraId="01935321">
      <w:pPr>
        <w:spacing w:line="240" w:lineRule="auto"/>
        <w:ind w:firstLine="640"/>
        <w:jc w:val="both"/>
      </w:pPr>
    </w:p>
    <w:p w14:paraId="0A25A849">
      <w:pPr>
        <w:spacing w:line="240" w:lineRule="auto"/>
        <w:ind w:firstLine="640"/>
        <w:jc w:val="both"/>
      </w:pPr>
    </w:p>
    <w:p w14:paraId="479ED5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3B09B2-D81D-4099-964C-2E58996CAA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A9CCF8A-D94F-43CC-877D-1A24222CF973}"/>
  </w:font>
  <w:font w:name="仿宋_GB2312">
    <w:altName w:val="仿宋"/>
    <w:panose1 w:val="02010609030101010101"/>
    <w:charset w:val="86"/>
    <w:family w:val="modern"/>
    <w:pitch w:val="default"/>
    <w:sig w:usb0="00000000" w:usb1="00000000" w:usb2="00000000" w:usb3="00000000" w:csb0="00040000" w:csb1="00000000"/>
    <w:embedRegular r:id="rId3" w:fontKey="{5BB483CC-2C09-4C6E-B051-F9ED290AEDF8}"/>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C2EDABC7-7D8D-443F-A5A4-31E6062D74B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E801D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6D4E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4143</Words>
  <Characters>4807</Characters>
  <Lines>0</Lines>
  <Paragraphs>0</Paragraphs>
  <TotalTime>7</TotalTime>
  <ScaleCrop>false</ScaleCrop>
  <LinksUpToDate>false</LinksUpToDate>
  <CharactersWithSpaces>4815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