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阿克陶县人民医院2024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AD488FC">
      <w:r>
        <w:br w:type="page"/>
      </w:r>
    </w:p>
    <w:p w14:paraId="577F8528">
      <w:pPr>
        <w:spacing w:line="640" w:lineRule="exact"/>
        <w:jc w:val="center"/>
        <w:outlineLvl w:val="1"/>
      </w:pPr>
      <w:r>
        <w:rPr>
          <w:rFonts w:ascii="黑体" w:hAnsi="黑体" w:eastAsia="黑体"/>
          <w:sz w:val="32"/>
        </w:rPr>
        <w:t>第一部分 单位概况</w:t>
      </w:r>
    </w:p>
    <w:p w14:paraId="7ED75048">
      <w:pPr>
        <w:spacing w:line="640" w:lineRule="exact"/>
        <w:ind w:firstLine="640"/>
        <w:jc w:val="both"/>
        <w:outlineLvl w:val="2"/>
      </w:pPr>
      <w:r>
        <w:rPr>
          <w:rFonts w:ascii="黑体" w:hAnsi="黑体" w:eastAsia="黑体"/>
          <w:sz w:val="32"/>
        </w:rPr>
        <w:t>一、主要职能</w:t>
      </w:r>
    </w:p>
    <w:p w14:paraId="76DFC1EC">
      <w:pPr>
        <w:spacing w:line="580" w:lineRule="exact"/>
        <w:ind w:firstLine="640"/>
        <w:jc w:val="both"/>
      </w:pPr>
      <w:r>
        <w:rPr>
          <w:rFonts w:ascii="仿宋_GB2312" w:hAnsi="仿宋_GB2312" w:eastAsia="仿宋_GB2312"/>
          <w:sz w:val="32"/>
        </w:rPr>
        <w:t>阿克陶县人民医院始建于1954年，是阿克陶县唯一一所县级二级甲等综合性医院，是新疆医科大学、巴州卫校、喀什地区卫校、克州卫校的教学培训基地；是</w:t>
      </w:r>
      <w:r>
        <w:rPr>
          <w:rFonts w:hint="eastAsia" w:ascii="仿宋_GB2312" w:hAnsi="仿宋_GB2312" w:eastAsia="仿宋_GB2312"/>
          <w:sz w:val="32"/>
          <w:lang w:eastAsia="zh-CN"/>
        </w:rPr>
        <w:t>新疆维吾尔自治区</w:t>
      </w:r>
      <w:r>
        <w:rPr>
          <w:rFonts w:ascii="仿宋_GB2312" w:hAnsi="仿宋_GB2312" w:eastAsia="仿宋_GB2312"/>
          <w:sz w:val="32"/>
        </w:rPr>
        <w:t>人民医院、</w:t>
      </w:r>
      <w:r>
        <w:rPr>
          <w:rFonts w:hint="eastAsia" w:ascii="仿宋_GB2312" w:hAnsi="仿宋_GB2312" w:eastAsia="仿宋_GB2312"/>
          <w:sz w:val="32"/>
          <w:lang w:eastAsia="zh-CN"/>
        </w:rPr>
        <w:t>新疆维吾尔自治区</w:t>
      </w:r>
      <w:r>
        <w:rPr>
          <w:rFonts w:ascii="仿宋_GB2312" w:hAnsi="仿宋_GB2312" w:eastAsia="仿宋_GB2312"/>
          <w:sz w:val="32"/>
        </w:rPr>
        <w:t>肿瘤医院、解放军第十二医院、喀什地区第一人民医院、喀什地区第二人民医院、克州人民医院的协作医院，是新疆医科大学第五附属医院、北京军区261医院的对口援建医院；是阿克陶县乡村医师继续教育教学培训基地。担负着全县22万余人民群众的医疗保健任务，同时保障我县各族人民群众的身体健康，为全县城乡居民提供基本的医疗服务。承担全县城乡居民常见病、多发病、地方病和一般疑难疾病治疗；危急重症病人救治，重大疑难疾病的</w:t>
      </w:r>
      <w:r>
        <w:rPr>
          <w:rFonts w:hint="eastAsia" w:ascii="仿宋_GB2312" w:hAnsi="仿宋_GB2312" w:eastAsia="仿宋_GB2312"/>
          <w:sz w:val="32"/>
          <w:lang w:eastAsia="zh-CN"/>
        </w:rPr>
        <w:t>救治</w:t>
      </w:r>
      <w:r>
        <w:rPr>
          <w:rFonts w:ascii="仿宋_GB2312" w:hAnsi="仿宋_GB2312" w:eastAsia="仿宋_GB2312"/>
          <w:sz w:val="32"/>
        </w:rPr>
        <w:t>和转诊；承担对基层医疗卫生服务机构人员培训和技术指导；承担部分公共卫生服务以及自然灾害和突发性事件医疗救治等工作。</w:t>
      </w:r>
    </w:p>
    <w:p w14:paraId="0C5F6567">
      <w:pPr>
        <w:spacing w:line="640" w:lineRule="exact"/>
        <w:ind w:firstLine="640"/>
        <w:jc w:val="both"/>
        <w:outlineLvl w:val="2"/>
      </w:pPr>
      <w:r>
        <w:rPr>
          <w:rFonts w:ascii="黑体" w:hAnsi="黑体" w:eastAsia="黑体"/>
          <w:sz w:val="32"/>
        </w:rPr>
        <w:t>二、机构设置及人员情况</w:t>
      </w:r>
    </w:p>
    <w:p w14:paraId="7DE10EBD">
      <w:pPr>
        <w:spacing w:line="580" w:lineRule="exact"/>
        <w:ind w:firstLine="640"/>
        <w:jc w:val="both"/>
      </w:pPr>
      <w:r>
        <w:rPr>
          <w:rFonts w:ascii="仿宋_GB2312" w:hAnsi="仿宋_GB2312" w:eastAsia="仿宋_GB2312"/>
          <w:sz w:val="32"/>
        </w:rPr>
        <w:t>阿克陶县人民医院2024年度，实有人数389人，其中：在职人员274人，减少3人；离休人员0人，增加0人；退休人员115人,增加6人。</w:t>
      </w:r>
    </w:p>
    <w:p w14:paraId="6E8ABECB">
      <w:pPr>
        <w:spacing w:line="580" w:lineRule="exact"/>
        <w:ind w:firstLine="640"/>
        <w:jc w:val="both"/>
      </w:pPr>
      <w:r>
        <w:rPr>
          <w:rFonts w:ascii="仿宋_GB2312" w:hAnsi="仿宋_GB2312" w:eastAsia="仿宋_GB2312"/>
          <w:sz w:val="32"/>
        </w:rPr>
        <w:t>阿克陶县人民医院无下属预算单位，下设26个科室，分别是：急诊科、普外科、骨科、泌尿外科、感染科、妇产科、儿科、心血管内科、呼吸内科、内分泌科、中医康复科、重症医学科、口腔科、皮肤科、神经内科、五官科、放射科、检验科、病理科、胃镜室、药剂科、院感办、医务科、护理部、财务科、党建行政办公室。</w:t>
      </w:r>
    </w:p>
    <w:p w14:paraId="1F303E3F">
      <w:r>
        <w:br w:type="page"/>
      </w:r>
    </w:p>
    <w:p w14:paraId="004EEF1C">
      <w:pPr>
        <w:spacing w:line="240" w:lineRule="auto"/>
        <w:jc w:val="center"/>
        <w:outlineLvl w:val="1"/>
      </w:pPr>
      <w:r>
        <w:rPr>
          <w:rFonts w:ascii="黑体" w:hAnsi="黑体" w:eastAsia="黑体"/>
          <w:sz w:val="32"/>
        </w:rPr>
        <w:t>第二部分 部门决算情况说明</w:t>
      </w:r>
    </w:p>
    <w:p w14:paraId="5E74A608">
      <w:pPr>
        <w:spacing w:line="640" w:lineRule="exact"/>
        <w:ind w:firstLine="640"/>
        <w:jc w:val="both"/>
        <w:outlineLvl w:val="2"/>
      </w:pPr>
      <w:r>
        <w:rPr>
          <w:rFonts w:ascii="黑体" w:hAnsi="黑体" w:eastAsia="黑体"/>
          <w:sz w:val="32"/>
        </w:rPr>
        <w:t>一、收入支出决算总体情况说明</w:t>
      </w:r>
    </w:p>
    <w:p w14:paraId="7E896E6D">
      <w:pPr>
        <w:spacing w:line="580" w:lineRule="exact"/>
        <w:ind w:firstLine="640"/>
        <w:jc w:val="both"/>
      </w:pPr>
      <w:r>
        <w:rPr>
          <w:rFonts w:ascii="仿宋_GB2312" w:hAnsi="仿宋_GB2312" w:eastAsia="仿宋_GB2312"/>
          <w:b/>
          <w:sz w:val="32"/>
        </w:rPr>
        <w:t>2024年度收入总计20,215.08万元，</w:t>
      </w:r>
      <w:r>
        <w:rPr>
          <w:rFonts w:ascii="仿宋_GB2312" w:hAnsi="仿宋_GB2312" w:eastAsia="仿宋_GB2312"/>
          <w:b w:val="0"/>
          <w:sz w:val="32"/>
        </w:rPr>
        <w:t>其中：本年收入合计17,576.28万元，使用非财政拨款结余（含专用结余）0.00万元，年初结转和结余2,638.80万元。</w:t>
      </w:r>
    </w:p>
    <w:p w14:paraId="79DC86DE">
      <w:pPr>
        <w:spacing w:line="580" w:lineRule="exact"/>
        <w:ind w:firstLine="640"/>
        <w:jc w:val="both"/>
      </w:pPr>
      <w:r>
        <w:rPr>
          <w:rFonts w:ascii="仿宋_GB2312" w:hAnsi="仿宋_GB2312" w:eastAsia="仿宋_GB2312"/>
          <w:b/>
          <w:sz w:val="32"/>
        </w:rPr>
        <w:t>2024年度支出总计20,215.08万元，</w:t>
      </w:r>
      <w:r>
        <w:rPr>
          <w:rFonts w:ascii="仿宋_GB2312" w:hAnsi="仿宋_GB2312" w:eastAsia="仿宋_GB2312"/>
          <w:b w:val="0"/>
          <w:sz w:val="32"/>
        </w:rPr>
        <w:t>其中：本年支出合计20,215.08万元，结余分配0.00万元，年末结转和结余0.00万元。</w:t>
      </w:r>
    </w:p>
    <w:p w14:paraId="099155CA">
      <w:pPr>
        <w:spacing w:line="580" w:lineRule="exact"/>
        <w:ind w:firstLine="640"/>
        <w:jc w:val="both"/>
      </w:pPr>
      <w:r>
        <w:rPr>
          <w:rFonts w:ascii="仿宋_GB2312" w:hAnsi="仿宋_GB2312" w:eastAsia="仿宋_GB2312"/>
          <w:b w:val="0"/>
          <w:sz w:val="32"/>
        </w:rPr>
        <w:t>收入支出总体与上年相比，增加147.40万元，增长0.73%，主要原因是：本年在职人员工资调增，社保、公积金基数调增，人员经费增加。</w:t>
      </w:r>
    </w:p>
    <w:p w14:paraId="56F787C7">
      <w:pPr>
        <w:spacing w:line="640" w:lineRule="exact"/>
        <w:ind w:firstLine="640"/>
        <w:jc w:val="both"/>
        <w:outlineLvl w:val="2"/>
      </w:pPr>
      <w:r>
        <w:rPr>
          <w:rFonts w:ascii="黑体" w:hAnsi="黑体" w:eastAsia="黑体"/>
          <w:sz w:val="32"/>
        </w:rPr>
        <w:t>二、收入决算情况说明</w:t>
      </w:r>
    </w:p>
    <w:p w14:paraId="12CDBA54">
      <w:pPr>
        <w:spacing w:line="580" w:lineRule="exact"/>
        <w:ind w:firstLine="640"/>
        <w:jc w:val="both"/>
      </w:pPr>
      <w:r>
        <w:rPr>
          <w:rFonts w:ascii="仿宋_GB2312" w:hAnsi="仿宋_GB2312" w:eastAsia="仿宋_GB2312"/>
          <w:b/>
          <w:sz w:val="32"/>
        </w:rPr>
        <w:t>本年收入17,576.28万元，</w:t>
      </w:r>
      <w:r>
        <w:rPr>
          <w:rFonts w:ascii="仿宋_GB2312" w:hAnsi="仿宋_GB2312" w:eastAsia="仿宋_GB2312"/>
          <w:b w:val="0"/>
          <w:sz w:val="32"/>
        </w:rPr>
        <w:t>其中：财政拨款收入9,123.37万元，占51.91%；上级补助收入0.00万元，占0.00%；事业收入7,713.83万元，占43.89%；经营收入0.00万元，占0.00%；附属单位上缴收入0.00万元，占0.00%；其他收入739.08万元，占4.20%。</w:t>
      </w:r>
    </w:p>
    <w:p w14:paraId="7C76EAE8">
      <w:pPr>
        <w:spacing w:line="640" w:lineRule="exact"/>
        <w:ind w:firstLine="640"/>
        <w:jc w:val="both"/>
        <w:outlineLvl w:val="2"/>
      </w:pPr>
      <w:r>
        <w:rPr>
          <w:rFonts w:ascii="黑体" w:hAnsi="黑体" w:eastAsia="黑体"/>
          <w:sz w:val="32"/>
        </w:rPr>
        <w:t>三、支出决算情况说明</w:t>
      </w:r>
    </w:p>
    <w:p w14:paraId="5DCCAF74">
      <w:pPr>
        <w:spacing w:line="580" w:lineRule="exact"/>
        <w:ind w:firstLine="640"/>
        <w:jc w:val="both"/>
      </w:pPr>
      <w:r>
        <w:rPr>
          <w:rFonts w:ascii="仿宋_GB2312" w:hAnsi="仿宋_GB2312" w:eastAsia="仿宋_GB2312"/>
          <w:b/>
          <w:sz w:val="32"/>
        </w:rPr>
        <w:t>本年支出20,215.08万元，</w:t>
      </w:r>
      <w:r>
        <w:rPr>
          <w:rFonts w:ascii="仿宋_GB2312" w:hAnsi="仿宋_GB2312" w:eastAsia="仿宋_GB2312"/>
          <w:b w:val="0"/>
          <w:sz w:val="32"/>
        </w:rPr>
        <w:t>其中：基本支出17,002.48万元，占84.11%；项目支出3,212.60万元，占15.89%；上缴上级支出0.00万元，占0.00%；经营支出0.00万元，占0.00%；对附属单位补助支出0.00万元，占0.00%。</w:t>
      </w:r>
    </w:p>
    <w:p w14:paraId="489E625F">
      <w:pPr>
        <w:spacing w:line="640" w:lineRule="exact"/>
        <w:ind w:firstLine="640"/>
        <w:jc w:val="both"/>
        <w:outlineLvl w:val="2"/>
      </w:pPr>
      <w:r>
        <w:rPr>
          <w:rFonts w:ascii="黑体" w:hAnsi="黑体" w:eastAsia="黑体"/>
          <w:sz w:val="32"/>
        </w:rPr>
        <w:t>四、财政拨款收入支出决算总体情况说明</w:t>
      </w:r>
    </w:p>
    <w:p w14:paraId="3CD35924">
      <w:pPr>
        <w:spacing w:line="580" w:lineRule="exact"/>
        <w:ind w:firstLine="640"/>
        <w:jc w:val="both"/>
      </w:pPr>
      <w:r>
        <w:rPr>
          <w:rFonts w:ascii="仿宋_GB2312" w:hAnsi="仿宋_GB2312" w:eastAsia="仿宋_GB2312"/>
          <w:b/>
          <w:sz w:val="32"/>
        </w:rPr>
        <w:t>2024年度财政拨款收入总计9,123.37万元，</w:t>
      </w:r>
      <w:r>
        <w:rPr>
          <w:rFonts w:ascii="仿宋_GB2312" w:hAnsi="仿宋_GB2312" w:eastAsia="仿宋_GB2312"/>
          <w:b w:val="0"/>
          <w:sz w:val="32"/>
        </w:rPr>
        <w:t>其中：年初财政拨款结转和结余0.00万元，本年财政拨款收入9,123.37万元。</w:t>
      </w:r>
      <w:r>
        <w:rPr>
          <w:rFonts w:ascii="仿宋_GB2312" w:hAnsi="仿宋_GB2312" w:eastAsia="仿宋_GB2312"/>
          <w:b/>
          <w:sz w:val="32"/>
        </w:rPr>
        <w:t>财政拨款支出总计9,123.37万元，</w:t>
      </w:r>
      <w:r>
        <w:rPr>
          <w:rFonts w:ascii="仿宋_GB2312" w:hAnsi="仿宋_GB2312" w:eastAsia="仿宋_GB2312"/>
          <w:b w:val="0"/>
          <w:sz w:val="32"/>
        </w:rPr>
        <w:t>其中：年末财政拨款结转和结余0.00万元，本年财政拨款支出9,123.37万元。</w:t>
      </w:r>
    </w:p>
    <w:p w14:paraId="73574C8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增加1,699.23万元，增长22.89%，主要原因是：本年在职人员工资调增，社保、公积金基数调增，人员经费增加；增加克州阿克陶县人民医院传染病区建设项目，阿克陶县人民医院医技楼建设项目资金。</w:t>
      </w:r>
      <w:r>
        <w:rPr>
          <w:rFonts w:ascii="仿宋_GB2312" w:hAnsi="仿宋_GB2312" w:eastAsia="仿宋_GB2312"/>
          <w:b/>
          <w:sz w:val="32"/>
        </w:rPr>
        <w:t>与年初预算相比，</w:t>
      </w:r>
      <w:r>
        <w:rPr>
          <w:rFonts w:ascii="仿宋_GB2312" w:hAnsi="仿宋_GB2312" w:eastAsia="仿宋_GB2312"/>
          <w:b w:val="0"/>
          <w:sz w:val="32"/>
        </w:rPr>
        <w:t>年初预算数6,641.71万元，决算数9,123.37万元，预决算差异率37.36%，主要原因是：年中追加2024年中央医疗服务与保障能力提升（医疗卫生机构能力建设）补助项目、</w:t>
      </w:r>
      <w:r>
        <w:rPr>
          <w:rFonts w:hint="eastAsia" w:ascii="仿宋_GB2312" w:hAnsi="仿宋_GB2312" w:eastAsia="仿宋_GB2312"/>
          <w:b w:val="0"/>
          <w:sz w:val="32"/>
          <w:lang w:eastAsia="zh-CN"/>
        </w:rPr>
        <w:t>YQ</w:t>
      </w:r>
      <w:r>
        <w:rPr>
          <w:rFonts w:ascii="仿宋_GB2312" w:hAnsi="仿宋_GB2312" w:eastAsia="仿宋_GB2312"/>
          <w:b w:val="0"/>
          <w:sz w:val="32"/>
        </w:rPr>
        <w:t>防控补助项目、阿克陶县人民医院医技楼建设项目等项目。</w:t>
      </w:r>
    </w:p>
    <w:p w14:paraId="2FE49DDB">
      <w:pPr>
        <w:spacing w:line="640" w:lineRule="exact"/>
        <w:ind w:firstLine="640"/>
        <w:jc w:val="both"/>
        <w:outlineLvl w:val="2"/>
      </w:pPr>
      <w:r>
        <w:rPr>
          <w:rFonts w:ascii="黑体" w:hAnsi="黑体" w:eastAsia="黑体"/>
          <w:sz w:val="32"/>
        </w:rPr>
        <w:t>五、一般公共预算财政拨款支出决算情况说明</w:t>
      </w:r>
    </w:p>
    <w:p w14:paraId="2F818611">
      <w:pPr>
        <w:spacing w:line="640" w:lineRule="exact"/>
        <w:ind w:firstLine="640"/>
        <w:jc w:val="both"/>
        <w:outlineLvl w:val="3"/>
      </w:pPr>
      <w:r>
        <w:rPr>
          <w:rFonts w:ascii="楷体_GB2312" w:hAnsi="楷体_GB2312" w:eastAsia="楷体_GB2312"/>
          <w:b/>
          <w:sz w:val="32"/>
        </w:rPr>
        <w:t>（一）一般公共预算财政拨款支出决算总体情况</w:t>
      </w:r>
    </w:p>
    <w:p w14:paraId="5864A966">
      <w:pPr>
        <w:spacing w:line="580" w:lineRule="exact"/>
        <w:ind w:firstLine="640"/>
        <w:jc w:val="both"/>
      </w:pPr>
      <w:r>
        <w:rPr>
          <w:rFonts w:ascii="仿宋_GB2312" w:hAnsi="仿宋_GB2312" w:eastAsia="仿宋_GB2312"/>
          <w:b/>
          <w:sz w:val="32"/>
        </w:rPr>
        <w:t>2024年度一般公共预算财政拨款支出9,123.37万元，</w:t>
      </w:r>
      <w:r>
        <w:rPr>
          <w:rFonts w:ascii="仿宋_GB2312" w:hAnsi="仿宋_GB2312" w:eastAsia="仿宋_GB2312"/>
          <w:b w:val="0"/>
          <w:sz w:val="32"/>
        </w:rPr>
        <w:t>占本年支出合计的45.13%。</w:t>
      </w:r>
      <w:r>
        <w:rPr>
          <w:rFonts w:ascii="仿宋_GB2312" w:hAnsi="仿宋_GB2312" w:eastAsia="仿宋_GB2312"/>
          <w:b/>
          <w:sz w:val="32"/>
        </w:rPr>
        <w:t>与上年相比，</w:t>
      </w:r>
      <w:r>
        <w:rPr>
          <w:rFonts w:ascii="仿宋_GB2312" w:hAnsi="仿宋_GB2312" w:eastAsia="仿宋_GB2312"/>
          <w:b w:val="0"/>
          <w:sz w:val="32"/>
        </w:rPr>
        <w:t>增加1,699.23万元，增长22.89%，主要原因是：我院人员职称晋升、调资及全院在职人员工资增长，社保、公积金基数调增，相关支出增加；增加克州阿克陶县人民医院传染病区建设项目，阿克陶县人民医院医技楼建设项目资金。</w:t>
      </w:r>
      <w:r>
        <w:rPr>
          <w:rFonts w:ascii="仿宋_GB2312" w:hAnsi="仿宋_GB2312" w:eastAsia="仿宋_GB2312"/>
          <w:b/>
          <w:sz w:val="32"/>
        </w:rPr>
        <w:t>与年初预算相比,</w:t>
      </w:r>
      <w:r>
        <w:rPr>
          <w:rFonts w:ascii="仿宋_GB2312" w:hAnsi="仿宋_GB2312" w:eastAsia="仿宋_GB2312"/>
          <w:b w:val="0"/>
          <w:sz w:val="32"/>
        </w:rPr>
        <w:t>年初预算数6,641.71万元，决算数9,123.37万元，预决算差异率37.36%，主要原因是：年中追加人员工资、社保、公积金调增部分；年中追加2024年中央医疗服务与保障能力提升（医疗卫生机构能力建设）补助项目、</w:t>
      </w:r>
      <w:r>
        <w:rPr>
          <w:rFonts w:hint="eastAsia" w:ascii="仿宋_GB2312" w:hAnsi="仿宋_GB2312" w:eastAsia="仿宋_GB2312"/>
          <w:b w:val="0"/>
          <w:sz w:val="32"/>
          <w:lang w:eastAsia="zh-CN"/>
        </w:rPr>
        <w:t>YQ</w:t>
      </w:r>
      <w:r>
        <w:rPr>
          <w:rFonts w:ascii="仿宋_GB2312" w:hAnsi="仿宋_GB2312" w:eastAsia="仿宋_GB2312"/>
          <w:b w:val="0"/>
          <w:sz w:val="32"/>
        </w:rPr>
        <w:t>防控补助项目、阿克陶县人民医院医技楼建设项目等项目。</w:t>
      </w:r>
    </w:p>
    <w:p w14:paraId="20D2DE64">
      <w:pPr>
        <w:spacing w:line="640" w:lineRule="exact"/>
        <w:ind w:firstLine="640"/>
        <w:jc w:val="both"/>
        <w:outlineLvl w:val="3"/>
      </w:pPr>
      <w:r>
        <w:rPr>
          <w:rFonts w:ascii="楷体_GB2312" w:hAnsi="楷体_GB2312" w:eastAsia="楷体_GB2312"/>
          <w:b/>
          <w:sz w:val="32"/>
        </w:rPr>
        <w:t>（二）一般公共预算财政拨款支出决算结构情况</w:t>
      </w:r>
    </w:p>
    <w:p w14:paraId="4A73BBDD">
      <w:pPr>
        <w:spacing w:line="580" w:lineRule="exact"/>
        <w:ind w:firstLine="640"/>
        <w:jc w:val="both"/>
      </w:pPr>
      <w:r>
        <w:rPr>
          <w:rFonts w:ascii="仿宋_GB2312" w:hAnsi="仿宋_GB2312" w:eastAsia="仿宋_GB2312"/>
          <w:b w:val="0"/>
          <w:sz w:val="32"/>
        </w:rPr>
        <w:t>1.一般公共服务支出(类)21.62万元,占0.24%。</w:t>
      </w:r>
    </w:p>
    <w:p w14:paraId="7AC0F0F6">
      <w:pPr>
        <w:spacing w:line="580" w:lineRule="exact"/>
        <w:ind w:firstLine="640"/>
        <w:jc w:val="both"/>
      </w:pPr>
      <w:r>
        <w:rPr>
          <w:rFonts w:ascii="仿宋_GB2312" w:hAnsi="仿宋_GB2312" w:eastAsia="仿宋_GB2312"/>
          <w:b w:val="0"/>
          <w:sz w:val="32"/>
        </w:rPr>
        <w:t>2.社会保障和就业支出(类)845.82万元,占9.27%。</w:t>
      </w:r>
    </w:p>
    <w:p w14:paraId="2975D8E0">
      <w:pPr>
        <w:spacing w:line="580" w:lineRule="exact"/>
        <w:ind w:firstLine="640"/>
        <w:jc w:val="both"/>
      </w:pPr>
      <w:r>
        <w:rPr>
          <w:rFonts w:ascii="仿宋_GB2312" w:hAnsi="仿宋_GB2312" w:eastAsia="仿宋_GB2312"/>
          <w:b w:val="0"/>
          <w:sz w:val="32"/>
        </w:rPr>
        <w:t>3.卫生健康支出(类)7,794.89万元,占85.44%。</w:t>
      </w:r>
    </w:p>
    <w:p w14:paraId="6E0B847B">
      <w:pPr>
        <w:spacing w:line="580" w:lineRule="exact"/>
        <w:ind w:firstLine="640"/>
        <w:jc w:val="both"/>
      </w:pPr>
      <w:r>
        <w:rPr>
          <w:rFonts w:ascii="仿宋_GB2312" w:hAnsi="仿宋_GB2312" w:eastAsia="仿宋_GB2312"/>
          <w:b w:val="0"/>
          <w:sz w:val="32"/>
        </w:rPr>
        <w:t>4.住房保障支出(类)461.03万元,占5.05%。</w:t>
      </w:r>
    </w:p>
    <w:p w14:paraId="71050F63">
      <w:pPr>
        <w:spacing w:line="640" w:lineRule="exact"/>
        <w:ind w:firstLine="640"/>
        <w:jc w:val="both"/>
        <w:outlineLvl w:val="3"/>
      </w:pPr>
      <w:r>
        <w:rPr>
          <w:rFonts w:ascii="楷体_GB2312" w:hAnsi="楷体_GB2312" w:eastAsia="楷体_GB2312"/>
          <w:b/>
          <w:sz w:val="32"/>
        </w:rPr>
        <w:t>（三）一般公共预算财政拨款支出决算具体情况</w:t>
      </w:r>
    </w:p>
    <w:p w14:paraId="41C46A0E">
      <w:pPr>
        <w:spacing w:line="580" w:lineRule="exact"/>
        <w:ind w:firstLine="640"/>
        <w:jc w:val="both"/>
      </w:pPr>
      <w:r>
        <w:rPr>
          <w:rFonts w:ascii="仿宋_GB2312" w:hAnsi="仿宋_GB2312" w:eastAsia="仿宋_GB2312"/>
          <w:b w:val="0"/>
          <w:sz w:val="32"/>
        </w:rPr>
        <w:t>1.一般公共服务支出(类)组织事务(款)其他组织事务支出(项):支出决算数为21.62万元，比上年决算增加21.62万元，增长100.00%,主要原因是：本年此科目增加2024年度自治区援疆干部人才南疆工作补贴资金。</w:t>
      </w:r>
    </w:p>
    <w:p w14:paraId="0AE151ED">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2.社会保障和就业支出(类)行政事业单位养老支出(款)事业单位离退休(项):支出决算数为90.84万元，比上年决算增加4.48万元，增长5.19%,主要原因是：提高退休人员退休待遇，退休经费增加。</w:t>
      </w:r>
    </w:p>
    <w:p w14:paraId="2B6A76A6">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614.09万元，比上年决算增加82.63万元，增长15.55%,主要原因是：本年在职人员工资基数调增，养老缴费基数上涨，相应支出增加。</w:t>
      </w:r>
    </w:p>
    <w:p w14:paraId="45111A48">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4.社会保障和就业支出(类)行政事业单位养老支出(款)机关事业单位职业年金缴费支出(项):支出决算数为102.77万元，比上年决算增加88.95万元，增长643.63%,主要原因是：本年新增退休人员，职业年金缴费支出增加。</w:t>
      </w:r>
    </w:p>
    <w:p w14:paraId="3E3A4330">
      <w:pPr>
        <w:spacing w:line="580" w:lineRule="exact"/>
        <w:ind w:firstLine="640"/>
        <w:jc w:val="both"/>
      </w:pPr>
      <w:r>
        <w:rPr>
          <w:rFonts w:ascii="仿宋_GB2312" w:hAnsi="仿宋_GB2312" w:eastAsia="仿宋_GB2312"/>
          <w:b w:val="0"/>
          <w:sz w:val="32"/>
        </w:rPr>
        <w:t>5.社会保障和就业支出(类)抚恤(款)死亡抚恤(项):支出决算数为38.12万元，比上年决算增加12.59万元，增长49.31%,主要原因是：退休死亡人数较上年增多，抚恤金较上年增多。</w:t>
      </w:r>
    </w:p>
    <w:p w14:paraId="4A68D76A">
      <w:pPr>
        <w:spacing w:line="580" w:lineRule="exact"/>
        <w:ind w:firstLine="640"/>
        <w:jc w:val="both"/>
      </w:pPr>
      <w:r>
        <w:rPr>
          <w:rFonts w:ascii="仿宋_GB2312" w:hAnsi="仿宋_GB2312" w:eastAsia="仿宋_GB2312"/>
          <w:b w:val="0"/>
          <w:sz w:val="32"/>
        </w:rPr>
        <w:t>6.卫生健康支出(类)卫生健康管理事务(款)其他卫生健康管理事务支出(项):支出决算数为100.00万元，比上年决算增加100.00万元，增长100.00%,主要原因是：增加2023年中央医疗服务与保障能力提升（医疗卫生机构能力建设）补助项目（第二批）。</w:t>
      </w:r>
    </w:p>
    <w:p w14:paraId="0C04C66E">
      <w:pPr>
        <w:spacing w:line="580" w:lineRule="exact"/>
        <w:ind w:firstLine="640"/>
        <w:jc w:val="both"/>
      </w:pPr>
      <w:r>
        <w:rPr>
          <w:rFonts w:ascii="仿宋_GB2312" w:hAnsi="仿宋_GB2312" w:eastAsia="仿宋_GB2312"/>
          <w:b w:val="0"/>
          <w:sz w:val="32"/>
        </w:rPr>
        <w:t>7.卫生健康支出(类)公立医院(款)综合医院(项):支出决算数为6,180.92万元，比上年决算增加1,066.83万元，增长20.86%,主要原因是：全院人员调资，人员经费增加；增加克州阿克陶县人民医院传染病区建设项目，阿克陶县人民医院医技楼建设项目资金。</w:t>
      </w:r>
    </w:p>
    <w:p w14:paraId="764CD43C">
      <w:pPr>
        <w:spacing w:line="580" w:lineRule="exact"/>
        <w:ind w:firstLine="640"/>
        <w:jc w:val="both"/>
      </w:pPr>
      <w:r>
        <w:rPr>
          <w:rFonts w:ascii="仿宋_GB2312" w:hAnsi="仿宋_GB2312" w:eastAsia="仿宋_GB2312"/>
          <w:b w:val="0"/>
          <w:sz w:val="32"/>
        </w:rPr>
        <w:t>8.卫生健康支出(类)公立医院(款)传染病医院(项):支出决算数为0.00万元，比上年决算减少788.40万元，下降100.00%,主要原因是：本年减少卫生领域中央基建投资。</w:t>
      </w:r>
    </w:p>
    <w:p w14:paraId="153E568B">
      <w:pPr>
        <w:spacing w:line="580" w:lineRule="exact"/>
        <w:ind w:firstLine="640"/>
        <w:jc w:val="both"/>
      </w:pPr>
      <w:r>
        <w:rPr>
          <w:rFonts w:ascii="仿宋_GB2312" w:hAnsi="仿宋_GB2312" w:eastAsia="仿宋_GB2312"/>
          <w:b w:val="0"/>
          <w:sz w:val="32"/>
        </w:rPr>
        <w:t>9.卫生健康支出(类)公立医院(款)其他公立医院支出(项):支出决算数为136.88万元，比上年决算增加136.88万元，增长100.00%,主要原因是：增加2024年中央医疗服务与保障能力提升（公立医院综合改革）补助项目、2024年中央医疗服务与保障能力提升（公立医院综合改革）补助项目（第二批）。</w:t>
      </w:r>
    </w:p>
    <w:p w14:paraId="2F8739EB">
      <w:pPr>
        <w:spacing w:line="580" w:lineRule="exact"/>
        <w:ind w:firstLine="640"/>
        <w:jc w:val="both"/>
      </w:pPr>
      <w:r>
        <w:rPr>
          <w:rFonts w:ascii="仿宋_GB2312" w:hAnsi="仿宋_GB2312" w:eastAsia="仿宋_GB2312"/>
          <w:b w:val="0"/>
          <w:sz w:val="32"/>
        </w:rPr>
        <w:t>10.卫生健康支出(类)基层医疗卫生机构(款)其他基层医疗卫生机构支出(项):支出决算数为249.83万元，比上年决算增加249.83万元，增长100.00%,主要原因是：增加2024年中央医疗服务与保障能力提升（医疗卫生机构能力建设）补助项目。</w:t>
      </w:r>
    </w:p>
    <w:p w14:paraId="7C3B2AD7">
      <w:pPr>
        <w:spacing w:line="580" w:lineRule="exact"/>
        <w:ind w:firstLine="640"/>
        <w:jc w:val="both"/>
      </w:pPr>
      <w:r>
        <w:rPr>
          <w:rFonts w:ascii="仿宋_GB2312" w:hAnsi="仿宋_GB2312" w:eastAsia="仿宋_GB2312"/>
          <w:b w:val="0"/>
          <w:sz w:val="32"/>
        </w:rPr>
        <w:t>11.卫生健康支出(类)公共卫生(款)基本公共卫生服务(项):支出决算数为0.00万元，比上年决算减少20.00万元，下降100.00%,主要原因是：本年减少基本公共卫生服务补助项目。</w:t>
      </w:r>
    </w:p>
    <w:p w14:paraId="08FC9E73">
      <w:pPr>
        <w:spacing w:line="580" w:lineRule="exact"/>
        <w:ind w:firstLine="640"/>
        <w:jc w:val="both"/>
      </w:pPr>
      <w:r>
        <w:rPr>
          <w:rFonts w:ascii="仿宋_GB2312" w:hAnsi="仿宋_GB2312" w:eastAsia="仿宋_GB2312"/>
          <w:b w:val="0"/>
          <w:sz w:val="32"/>
        </w:rPr>
        <w:t>12.卫生健康支出(类)公共卫生(款)重大公共卫生服务(项):支出决算数为36.30万元，比上年决算增加36.30万元，增长100.00%,主要原因是：增加2024年中央重大公共卫生服务补助项目与2024年中央重大传染病防控补助项目。</w:t>
      </w:r>
    </w:p>
    <w:p w14:paraId="79FC7F01">
      <w:pPr>
        <w:spacing w:line="580" w:lineRule="exact"/>
        <w:ind w:firstLine="640"/>
        <w:jc w:val="both"/>
      </w:pPr>
      <w:r>
        <w:rPr>
          <w:rFonts w:ascii="仿宋_GB2312" w:hAnsi="仿宋_GB2312" w:eastAsia="仿宋_GB2312"/>
          <w:b w:val="0"/>
          <w:sz w:val="32"/>
        </w:rPr>
        <w:t>13.卫生健康支出(类)公共卫生(款)突发公共卫生事件应急处置(项):支出决算数为884.26万元，比上年决算增加744.22万元，增长531.43%,主要原因是：增加财政拨付2024年</w:t>
      </w:r>
      <w:r>
        <w:rPr>
          <w:rFonts w:hint="eastAsia" w:ascii="仿宋_GB2312" w:hAnsi="仿宋_GB2312" w:eastAsia="仿宋_GB2312"/>
          <w:b w:val="0"/>
          <w:sz w:val="32"/>
          <w:lang w:eastAsia="zh-CN"/>
        </w:rPr>
        <w:t>YQ</w:t>
      </w:r>
      <w:r>
        <w:rPr>
          <w:rFonts w:ascii="仿宋_GB2312" w:hAnsi="仿宋_GB2312" w:eastAsia="仿宋_GB2312"/>
          <w:b w:val="0"/>
          <w:sz w:val="32"/>
        </w:rPr>
        <w:t>防控补助项目，导致该款项增加。</w:t>
      </w:r>
    </w:p>
    <w:p w14:paraId="658BF780">
      <w:pPr>
        <w:spacing w:line="580" w:lineRule="exact"/>
        <w:ind w:firstLine="640"/>
        <w:jc w:val="both"/>
      </w:pPr>
      <w:r>
        <w:rPr>
          <w:rFonts w:ascii="仿宋_GB2312" w:hAnsi="仿宋_GB2312" w:eastAsia="仿宋_GB2312"/>
          <w:b w:val="0"/>
          <w:sz w:val="32"/>
        </w:rPr>
        <w:t>14.卫生健康支出(类)公共卫生(款)其他公共卫生支出(项):支出决算数为0.00万元，比上年决算减少6.97万元，下降100.00%,主要原因是：本年减少自治区地方公共卫生服务补助资金。</w:t>
      </w:r>
    </w:p>
    <w:p w14:paraId="331AB1DC">
      <w:pPr>
        <w:spacing w:line="580" w:lineRule="exact"/>
        <w:ind w:firstLine="640"/>
        <w:jc w:val="both"/>
      </w:pPr>
      <w:r>
        <w:rPr>
          <w:rFonts w:ascii="仿宋_GB2312" w:hAnsi="仿宋_GB2312" w:eastAsia="仿宋_GB2312"/>
          <w:b w:val="0"/>
          <w:sz w:val="32"/>
        </w:rPr>
        <w:t>15.卫生健康支出(类)行政事业单位医疗(款)事业单位医疗(项):支出决算数为206.70万元，比上年决算增加26.77万元，增长14.88%,主要原因是：本年在职人员工资基数调增，医疗缴费基数上涨，相应支出增加。</w:t>
      </w:r>
    </w:p>
    <w:p w14:paraId="3AF57738">
      <w:pPr>
        <w:spacing w:line="580" w:lineRule="exact"/>
        <w:ind w:firstLine="640"/>
        <w:jc w:val="both"/>
      </w:pPr>
      <w:r>
        <w:rPr>
          <w:rFonts w:ascii="仿宋_GB2312" w:hAnsi="仿宋_GB2312" w:eastAsia="仿宋_GB2312"/>
          <w:b w:val="0"/>
          <w:sz w:val="32"/>
        </w:rPr>
        <w:t>16.住房保障支出(类)住房改革支出(款)住房公积金(项):支出决算数为461.03万元，比上年决算增加43.48万元，增长10.41%,主要原因是：人员工资基数调增，公积金缴费基数上涨，相应支出增加。</w:t>
      </w:r>
    </w:p>
    <w:p w14:paraId="12BD4A1A">
      <w:pPr>
        <w:spacing w:line="580" w:lineRule="exact"/>
        <w:ind w:firstLine="640"/>
        <w:jc w:val="both"/>
      </w:pPr>
      <w:r>
        <w:rPr>
          <w:rFonts w:ascii="仿宋_GB2312" w:hAnsi="仿宋_GB2312" w:eastAsia="仿宋_GB2312"/>
          <w:b w:val="0"/>
          <w:sz w:val="32"/>
        </w:rPr>
        <w:t>17.其他支出(类)其他支出(款)其他支出(项):支出决算数为0.00万元，比上年决算减少100.00万元，下降100.00%,主要原因是：本年减少人才发展基金项目。</w:t>
      </w:r>
    </w:p>
    <w:p w14:paraId="0C61DD91">
      <w:pPr>
        <w:spacing w:line="640" w:lineRule="exact"/>
        <w:ind w:firstLine="640"/>
        <w:jc w:val="both"/>
        <w:outlineLvl w:val="2"/>
      </w:pPr>
      <w:r>
        <w:rPr>
          <w:rFonts w:ascii="黑体" w:hAnsi="黑体" w:eastAsia="黑体"/>
          <w:sz w:val="32"/>
        </w:rPr>
        <w:t>六、一般公共预算财政拨款基本支出决算情况说明</w:t>
      </w:r>
    </w:p>
    <w:p w14:paraId="3B414D44">
      <w:pPr>
        <w:spacing w:line="580" w:lineRule="exact"/>
        <w:ind w:firstLine="640"/>
        <w:jc w:val="both"/>
      </w:pPr>
      <w:r>
        <w:rPr>
          <w:rFonts w:ascii="仿宋_GB2312" w:hAnsi="仿宋_GB2312" w:eastAsia="仿宋_GB2312"/>
          <w:b w:val="0"/>
          <w:sz w:val="32"/>
        </w:rPr>
        <w:t>2024年度一般公共预算财政拨款基本支出5,910.77万元，其中：</w:t>
      </w:r>
      <w:r>
        <w:rPr>
          <w:rFonts w:ascii="仿宋_GB2312" w:hAnsi="仿宋_GB2312" w:eastAsia="仿宋_GB2312"/>
          <w:b/>
          <w:sz w:val="32"/>
        </w:rPr>
        <w:t>人员经费5,910.77万元，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14:paraId="0E82D356">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F0665D2">
      <w:pPr>
        <w:spacing w:line="640" w:lineRule="exact"/>
        <w:ind w:firstLine="640"/>
        <w:jc w:val="both"/>
        <w:outlineLvl w:val="2"/>
      </w:pPr>
      <w:r>
        <w:rPr>
          <w:rFonts w:ascii="黑体" w:hAnsi="黑体" w:eastAsia="黑体"/>
          <w:sz w:val="32"/>
        </w:rPr>
        <w:t>七、政府性基金预算财政拨款收入支出决算情况说明</w:t>
      </w:r>
    </w:p>
    <w:p w14:paraId="2107EE4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7B962EE">
      <w:pPr>
        <w:spacing w:line="640" w:lineRule="exact"/>
        <w:ind w:firstLine="640"/>
        <w:jc w:val="both"/>
        <w:outlineLvl w:val="2"/>
      </w:pPr>
      <w:r>
        <w:rPr>
          <w:rFonts w:ascii="黑体" w:hAnsi="黑体" w:eastAsia="黑体"/>
          <w:sz w:val="32"/>
        </w:rPr>
        <w:t>八、国有资本经营预算财政拨款收入支出决算情况说明</w:t>
      </w:r>
    </w:p>
    <w:p w14:paraId="2E28429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2863FE5">
      <w:pPr>
        <w:spacing w:line="640" w:lineRule="exact"/>
        <w:ind w:firstLine="640"/>
        <w:jc w:val="both"/>
        <w:outlineLvl w:val="2"/>
      </w:pPr>
      <w:r>
        <w:rPr>
          <w:rFonts w:ascii="黑体" w:hAnsi="黑体" w:eastAsia="黑体"/>
          <w:sz w:val="32"/>
        </w:rPr>
        <w:t>九、财政拨款“三公”经费支出决算情况说明</w:t>
      </w:r>
    </w:p>
    <w:p w14:paraId="03164B2B">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3F2D9DC">
      <w:pPr>
        <w:spacing w:line="580" w:lineRule="exact"/>
        <w:ind w:firstLine="640"/>
        <w:jc w:val="both"/>
      </w:pPr>
      <w:r>
        <w:rPr>
          <w:rFonts w:ascii="仿宋_GB2312" w:hAnsi="仿宋_GB2312" w:eastAsia="仿宋_GB2312"/>
          <w:b/>
          <w:sz w:val="32"/>
        </w:rPr>
        <w:t>具体情况如下：</w:t>
      </w:r>
    </w:p>
    <w:p w14:paraId="2D36649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39A121C">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9辆，与公务用车保有量差异原因是：差异车辆为一般业务用车，预算未安排公务用车运行维护费。</w:t>
      </w:r>
    </w:p>
    <w:p w14:paraId="1AD5038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165070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1122D6D">
      <w:pPr>
        <w:spacing w:line="640" w:lineRule="exact"/>
        <w:ind w:firstLine="640"/>
        <w:jc w:val="both"/>
        <w:outlineLvl w:val="2"/>
      </w:pPr>
      <w:r>
        <w:rPr>
          <w:rFonts w:ascii="黑体" w:hAnsi="黑体" w:eastAsia="黑体"/>
          <w:sz w:val="32"/>
        </w:rPr>
        <w:t>十、其他重要事项的情况说明</w:t>
      </w:r>
    </w:p>
    <w:p w14:paraId="0652C997">
      <w:pPr>
        <w:spacing w:line="640" w:lineRule="exact"/>
        <w:ind w:firstLine="640"/>
        <w:jc w:val="both"/>
        <w:outlineLvl w:val="3"/>
      </w:pPr>
      <w:r>
        <w:rPr>
          <w:rFonts w:ascii="楷体_GB2312" w:hAnsi="楷体_GB2312" w:eastAsia="楷体_GB2312"/>
          <w:b/>
          <w:sz w:val="32"/>
        </w:rPr>
        <w:t>（一）机关运行经费及公用经费支出情况</w:t>
      </w:r>
    </w:p>
    <w:p w14:paraId="4E6BF947">
      <w:pPr>
        <w:spacing w:line="580" w:lineRule="exact"/>
        <w:ind w:firstLine="640"/>
        <w:jc w:val="both"/>
      </w:pPr>
      <w:r>
        <w:rPr>
          <w:rFonts w:ascii="仿宋_GB2312" w:hAnsi="仿宋_GB2312" w:eastAsia="仿宋_GB2312"/>
          <w:b w:val="0"/>
          <w:sz w:val="32"/>
        </w:rPr>
        <w:t>2024年度阿克陶县人民医院（事业单位）公用经费支出0.00万元，比上年增加0.00万元，增长0.00%，主要原因是：2023年与2024年均未安排公用经费支出。</w:t>
      </w:r>
    </w:p>
    <w:p w14:paraId="24FBDD9A">
      <w:pPr>
        <w:spacing w:line="640" w:lineRule="exact"/>
        <w:ind w:firstLine="640"/>
        <w:jc w:val="both"/>
        <w:outlineLvl w:val="3"/>
      </w:pPr>
      <w:r>
        <w:rPr>
          <w:rFonts w:ascii="楷体_GB2312" w:hAnsi="楷体_GB2312" w:eastAsia="楷体_GB2312"/>
          <w:b/>
          <w:sz w:val="32"/>
        </w:rPr>
        <w:t>（二）政府采购情况</w:t>
      </w:r>
    </w:p>
    <w:p w14:paraId="7C02B4C4">
      <w:pPr>
        <w:spacing w:line="580" w:lineRule="exact"/>
        <w:ind w:firstLine="640"/>
        <w:jc w:val="both"/>
      </w:pPr>
      <w:r>
        <w:rPr>
          <w:rFonts w:ascii="仿宋_GB2312" w:hAnsi="仿宋_GB2312" w:eastAsia="仿宋_GB2312"/>
          <w:b w:val="0"/>
          <w:sz w:val="32"/>
        </w:rPr>
        <w:t>2024年度政府采购支出总额817.57万元，其中：政府采购货物支出457.64万元、政府采购工程支出46.63万元、政府采购服务支出313.31万元。</w:t>
      </w:r>
    </w:p>
    <w:p w14:paraId="3B2E7ED5">
      <w:pPr>
        <w:spacing w:line="580" w:lineRule="exact"/>
        <w:ind w:firstLine="640"/>
        <w:jc w:val="both"/>
      </w:pPr>
      <w:r>
        <w:rPr>
          <w:rFonts w:ascii="仿宋_GB2312" w:hAnsi="仿宋_GB2312" w:eastAsia="仿宋_GB2312"/>
          <w:b w:val="0"/>
          <w:sz w:val="32"/>
        </w:rPr>
        <w:t>授予中小企业合同金额734.23万元，占政府采购支出总额的89.81%，其中：授予小微企业合同金额336.27万元，占政府采购支出总额的41.13%。</w:t>
      </w:r>
    </w:p>
    <w:p w14:paraId="7CFF0FDA">
      <w:pPr>
        <w:spacing w:line="640" w:lineRule="exact"/>
        <w:ind w:firstLine="640"/>
        <w:jc w:val="both"/>
        <w:outlineLvl w:val="3"/>
      </w:pPr>
      <w:r>
        <w:rPr>
          <w:rFonts w:ascii="楷体_GB2312" w:hAnsi="楷体_GB2312" w:eastAsia="楷体_GB2312"/>
          <w:b/>
          <w:sz w:val="32"/>
        </w:rPr>
        <w:t>（三）国有资产占用情况说明</w:t>
      </w:r>
    </w:p>
    <w:p w14:paraId="14E5C91A">
      <w:pPr>
        <w:spacing w:line="580" w:lineRule="exact"/>
        <w:ind w:firstLine="640"/>
        <w:jc w:val="both"/>
      </w:pPr>
      <w:r>
        <w:rPr>
          <w:rFonts w:ascii="仿宋_GB2312" w:hAnsi="仿宋_GB2312" w:eastAsia="仿宋_GB2312"/>
          <w:b w:val="0"/>
          <w:sz w:val="32"/>
        </w:rPr>
        <w:t>截至2024年12月31日，房屋32,261.94平方米，价值8,420.47万元。车辆9辆，价值336.71万元，其中：副部（省）级及以上领导用车0辆、主要负责人用车0辆、机要通信用车0辆、应急保障用车0辆、执法执勤用车0辆、特种专业技术用车9辆、离退休干部服务用车0辆、其他用车0辆，其他用车主要是：本单位无其他用车。单价100万元（含）以上设备（不含车辆）5台（套）。</w:t>
      </w:r>
    </w:p>
    <w:p w14:paraId="20FFBF3C">
      <w:pPr>
        <w:spacing w:line="640" w:lineRule="exact"/>
        <w:ind w:firstLine="640"/>
        <w:jc w:val="both"/>
        <w:outlineLvl w:val="2"/>
      </w:pPr>
      <w:r>
        <w:rPr>
          <w:rFonts w:ascii="黑体" w:hAnsi="黑体" w:eastAsia="黑体"/>
          <w:sz w:val="32"/>
        </w:rPr>
        <w:t>十一、预算绩效的情况说明</w:t>
      </w:r>
    </w:p>
    <w:p w14:paraId="48D0020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20,215.08万元，实际执行总额20,215.08万元；预算绩效评价项目1个，全年预算数2.00万元，全年执行数0.00万元。预算绩效管理取得的成效：1．不断完善各项预算管理制度，根据新形势和新要求，结合不断出台的各项制度，制定相应的预算管理制度。强化预算管理，事前必编预算，控制经费使用，使用必问绩效，将绩效管理贯穿于预算编制、执行及决算等环节。2．加强宣传，加强对各项制度的执行力度，杜绝有令不行、有禁不止的情况发生。发现的问题及原因：1、预算绩效观念不够深入。2、评价结果运用不充分，推动作用有局限。下一步改进措施：一是细化预算编制工作，认真做好预算的编制。进一步加强单位内部机构的预算管理意识，严格按照预算编制的相关制度和要求进行预算编制，提高预算的精准度。二是加强财务管理，严格财务审核。加强单位财务管理，健全单位财务管理制度体系，规范单位财务行为。在费用报账支付时，按照预算规定的费用项目和用途进行资金使用审核、列报支付、财务核算，杜绝不合规单据的使用。三是建立健全管理制度，加强资金使用的合规性，完善对资金使用的跟踪监督管理，进行事先审批和事后凭票报销，加强管理，节约开支，压缩“三公”经费开支。四是对相关人员加强培训，特别是针对《中华人民共和国预算法》《行政事业单位会计制度》等学习培训，规范部门预算收支核算，切实提高部门预算收支管理水平。具体附整体支出绩效自评表，项目支出绩效自评表和评价报告。</w:t>
      </w:r>
    </w:p>
    <w:p w14:paraId="7F92474B">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AA5EF1D">
        <w:tblPrEx>
          <w:tblCellMar>
            <w:top w:w="0" w:type="dxa"/>
            <w:left w:w="108" w:type="dxa"/>
            <w:bottom w:w="0" w:type="dxa"/>
            <w:right w:w="108" w:type="dxa"/>
          </w:tblCellMar>
        </w:tblPrEx>
        <w:tc>
          <w:tcPr>
            <w:tcW w:w="8840" w:type="dxa"/>
            <w:gridSpan w:val="8"/>
            <w:vAlign w:val="center"/>
          </w:tcPr>
          <w:p w14:paraId="599965B5">
            <w:pPr>
              <w:jc w:val="center"/>
            </w:pPr>
            <w:r>
              <w:rPr>
                <w:rFonts w:ascii="宋体" w:hAnsi="宋体" w:eastAsia="宋体"/>
                <w:sz w:val="24"/>
              </w:rPr>
              <w:t>单位整体支出绩效自评表</w:t>
            </w:r>
          </w:p>
        </w:tc>
      </w:tr>
      <w:tr w14:paraId="476A2990">
        <w:tblPrEx>
          <w:tblCellMar>
            <w:top w:w="0" w:type="dxa"/>
            <w:left w:w="108" w:type="dxa"/>
            <w:bottom w:w="0" w:type="dxa"/>
            <w:right w:w="108" w:type="dxa"/>
          </w:tblCellMar>
        </w:tblPrEx>
        <w:tc>
          <w:tcPr>
            <w:tcW w:w="8840" w:type="dxa"/>
            <w:gridSpan w:val="8"/>
            <w:vAlign w:val="center"/>
          </w:tcPr>
          <w:p w14:paraId="1F4ECA21">
            <w:pPr>
              <w:jc w:val="center"/>
            </w:pPr>
            <w:r>
              <w:rPr>
                <w:rFonts w:ascii="宋体" w:hAnsi="宋体" w:eastAsia="宋体"/>
                <w:sz w:val="24"/>
              </w:rPr>
              <w:t>（2024年度）</w:t>
            </w:r>
          </w:p>
        </w:tc>
      </w:tr>
      <w:tr w14:paraId="7339947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31F6D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5DEB78">
            <w:pPr>
              <w:jc w:val="center"/>
            </w:pPr>
            <w:r>
              <w:rPr>
                <w:rFonts w:ascii="宋体" w:hAnsi="宋体" w:eastAsia="宋体"/>
                <w:sz w:val="16"/>
              </w:rPr>
              <w:t>阿克陶县人民医院</w:t>
            </w:r>
          </w:p>
        </w:tc>
      </w:tr>
      <w:tr w14:paraId="5A78831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576445">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D03E8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CE6D54">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57EFC4">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65C2DF">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7B4F1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BB4DCB">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104986">
            <w:pPr>
              <w:jc w:val="center"/>
            </w:pPr>
            <w:r>
              <w:rPr>
                <w:rFonts w:ascii="宋体" w:hAnsi="宋体" w:eastAsia="宋体"/>
                <w:sz w:val="16"/>
              </w:rPr>
              <w:t>得分</w:t>
            </w:r>
          </w:p>
        </w:tc>
      </w:tr>
      <w:tr w14:paraId="51A2EF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55F88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1B7D3D">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8643C5">
            <w:pPr>
              <w:jc w:val="center"/>
            </w:pPr>
            <w:r>
              <w:rPr>
                <w:rFonts w:ascii="宋体" w:hAnsi="宋体" w:eastAsia="宋体"/>
                <w:sz w:val="16"/>
              </w:rPr>
              <w:t>6,411.18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F52884">
            <w:pPr>
              <w:jc w:val="center"/>
            </w:pPr>
            <w:r>
              <w:rPr>
                <w:rFonts w:ascii="宋体" w:hAnsi="宋体" w:eastAsia="宋体"/>
                <w:sz w:val="16"/>
              </w:rPr>
              <w:t>20,215.08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A4CA21">
            <w:pPr>
              <w:jc w:val="center"/>
            </w:pPr>
            <w:r>
              <w:rPr>
                <w:rFonts w:ascii="宋体" w:hAnsi="宋体" w:eastAsia="宋体"/>
                <w:sz w:val="16"/>
              </w:rPr>
              <w:t>20,215.08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0B752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D9529B">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BE062E">
            <w:pPr>
              <w:jc w:val="center"/>
            </w:pPr>
            <w:r>
              <w:rPr>
                <w:rFonts w:ascii="宋体" w:hAnsi="宋体" w:eastAsia="宋体"/>
                <w:sz w:val="16"/>
              </w:rPr>
              <w:t>10</w:t>
            </w:r>
          </w:p>
        </w:tc>
      </w:tr>
      <w:tr w14:paraId="495D4F4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E894C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FBE04A">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E8CB4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726D4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2FDA0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3559D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BAC22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620C53">
            <w:pPr>
              <w:jc w:val="center"/>
            </w:pPr>
            <w:r>
              <w:rPr>
                <w:rFonts w:ascii="宋体" w:hAnsi="宋体" w:eastAsia="宋体"/>
                <w:sz w:val="16"/>
              </w:rPr>
              <w:t>—</w:t>
            </w:r>
          </w:p>
        </w:tc>
      </w:tr>
      <w:tr w14:paraId="4981625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0412B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7D3AF5">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12C856">
            <w:pPr>
              <w:jc w:val="center"/>
            </w:pPr>
            <w:r>
              <w:rPr>
                <w:rFonts w:ascii="宋体" w:hAnsi="宋体" w:eastAsia="宋体"/>
                <w:sz w:val="16"/>
              </w:rPr>
              <w:t>6,411.18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AF8FCB">
            <w:pPr>
              <w:jc w:val="center"/>
            </w:pPr>
            <w:r>
              <w:rPr>
                <w:rFonts w:ascii="宋体" w:hAnsi="宋体" w:eastAsia="宋体"/>
                <w:sz w:val="16"/>
              </w:rPr>
              <w:t>9,123.37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39838D">
            <w:pPr>
              <w:jc w:val="center"/>
            </w:pPr>
            <w:r>
              <w:rPr>
                <w:rFonts w:ascii="宋体" w:hAnsi="宋体" w:eastAsia="宋体"/>
                <w:sz w:val="16"/>
              </w:rPr>
              <w:t>9,123.37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9BA65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22DE8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BA19C3">
            <w:pPr>
              <w:jc w:val="center"/>
            </w:pPr>
            <w:r>
              <w:rPr>
                <w:rFonts w:ascii="宋体" w:hAnsi="宋体" w:eastAsia="宋体"/>
                <w:sz w:val="16"/>
              </w:rPr>
              <w:t>—</w:t>
            </w:r>
          </w:p>
        </w:tc>
      </w:tr>
      <w:tr w14:paraId="2B3532C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99E2D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B4744F">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FF37B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CCDE4A">
            <w:pPr>
              <w:jc w:val="center"/>
            </w:pPr>
            <w:r>
              <w:rPr>
                <w:rFonts w:ascii="宋体" w:hAnsi="宋体" w:eastAsia="宋体"/>
                <w:sz w:val="16"/>
              </w:rPr>
              <w:t>11,091.71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B77888">
            <w:pPr>
              <w:jc w:val="center"/>
            </w:pPr>
            <w:r>
              <w:rPr>
                <w:rFonts w:ascii="宋体" w:hAnsi="宋体" w:eastAsia="宋体"/>
                <w:sz w:val="16"/>
              </w:rPr>
              <w:t>11,091.71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CC668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2D002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F9E44E">
            <w:pPr>
              <w:jc w:val="center"/>
            </w:pPr>
            <w:r>
              <w:rPr>
                <w:rFonts w:ascii="宋体" w:hAnsi="宋体" w:eastAsia="宋体"/>
                <w:sz w:val="16"/>
              </w:rPr>
              <w:t>—</w:t>
            </w:r>
          </w:p>
        </w:tc>
      </w:tr>
      <w:tr w14:paraId="4C2BD05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4E8F3B">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436CED">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B0DB1E">
            <w:pPr>
              <w:jc w:val="center"/>
            </w:pPr>
            <w:r>
              <w:rPr>
                <w:rFonts w:ascii="宋体" w:hAnsi="宋体" w:eastAsia="宋体"/>
                <w:sz w:val="16"/>
              </w:rPr>
              <w:t>实际完成情况</w:t>
            </w:r>
          </w:p>
        </w:tc>
      </w:tr>
      <w:tr w14:paraId="5273509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1856F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483128">
            <w:pPr>
              <w:jc w:val="both"/>
            </w:pPr>
            <w:r>
              <w:rPr>
                <w:rFonts w:ascii="宋体" w:hAnsi="宋体" w:eastAsia="宋体"/>
                <w:sz w:val="16"/>
              </w:rPr>
              <w:t>按时发放单位在职人数271人、退休人数109人、长聘人数6人、财政供养人数25人等人员工资，保障单位正常运转；保障我县各族人民群众的身体健康，为全县城乡居民提供基本的医疗服务。承担全县城乡居民常见病、多发病、地方病和一般疑难疾病治疗；危急重症病人救治，重大疑难疾病的</w:t>
            </w:r>
            <w:r>
              <w:rPr>
                <w:rFonts w:hint="eastAsia" w:ascii="宋体" w:hAnsi="宋体"/>
                <w:sz w:val="16"/>
                <w:lang w:eastAsia="zh-CN"/>
              </w:rPr>
              <w:t>救治</w:t>
            </w:r>
            <w:r>
              <w:rPr>
                <w:rFonts w:ascii="宋体" w:hAnsi="宋体" w:eastAsia="宋体"/>
                <w:sz w:val="16"/>
              </w:rPr>
              <w:t>和转诊；承担对基层医疗卫生服务机构人员培训和技术指导；承担部分公共卫生服务以及自然灾害和突发性事件医疗救治等工作。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BA5C433">
            <w:pPr>
              <w:jc w:val="both"/>
            </w:pPr>
            <w:r>
              <w:rPr>
                <w:rFonts w:ascii="宋体" w:hAnsi="宋体" w:eastAsia="宋体"/>
                <w:sz w:val="16"/>
              </w:rPr>
              <w:t>按时发放单位在职人数270人、退休人数115人、长聘人数4人、财政供养人数25人等人员工资，保障单位正常运转；保障我县各族人民群众的身体健康，为全县城乡居民提供基本的医疗服务。承担全县城乡居民常见病、多发病、地方病和一般疑难疾病治疗；危急重症病人救治，重大疑难疾病的</w:t>
            </w:r>
            <w:r>
              <w:rPr>
                <w:rFonts w:hint="eastAsia" w:ascii="宋体" w:hAnsi="宋体"/>
                <w:sz w:val="16"/>
                <w:lang w:eastAsia="zh-CN"/>
              </w:rPr>
              <w:t>救治</w:t>
            </w:r>
            <w:r>
              <w:rPr>
                <w:rFonts w:ascii="宋体" w:hAnsi="宋体" w:eastAsia="宋体"/>
                <w:sz w:val="16"/>
              </w:rPr>
              <w:t>和转诊；承担对基层医疗卫生服务机构人员培训和技术指导；承担部分公共卫生服务以及自然灾害和突发性事件医疗救治等工作。</w:t>
            </w:r>
          </w:p>
        </w:tc>
      </w:tr>
      <w:tr w14:paraId="5375796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B9905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06A1E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838406">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025DF3">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90EC8B">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2C071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32DD7F">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DBFBEC">
            <w:pPr>
              <w:jc w:val="center"/>
            </w:pPr>
            <w:r>
              <w:rPr>
                <w:rFonts w:ascii="宋体" w:hAnsi="宋体" w:eastAsia="宋体"/>
                <w:sz w:val="16"/>
              </w:rPr>
              <w:t>得分</w:t>
            </w:r>
          </w:p>
        </w:tc>
      </w:tr>
      <w:tr w14:paraId="6E4D2F5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A9C75D">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0A77E1">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DFDA3C">
            <w:pPr>
              <w:jc w:val="center"/>
            </w:pPr>
            <w:r>
              <w:rPr>
                <w:rFonts w:ascii="宋体" w:hAnsi="宋体" w:eastAsia="宋体"/>
                <w:sz w:val="16"/>
              </w:rPr>
              <w:t>在职及长聘人员工资福利支出预算保障人数（人)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30856C">
            <w:pPr>
              <w:jc w:val="center"/>
            </w:pPr>
            <w:r>
              <w:rPr>
                <w:rFonts w:ascii="宋体" w:hAnsi="宋体" w:eastAsia="宋体"/>
                <w:sz w:val="16"/>
              </w:rPr>
              <w:t>&gt;=277人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A783EA">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A69424">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E0013D">
            <w:pPr>
              <w:jc w:val="center"/>
            </w:pPr>
            <w:r>
              <w:rPr>
                <w:rFonts w:ascii="宋体" w:hAnsi="宋体" w:eastAsia="宋体"/>
                <w:sz w:val="16"/>
              </w:rPr>
              <w:t>=274人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194164">
            <w:pPr>
              <w:jc w:val="center"/>
            </w:pPr>
            <w:r>
              <w:rPr>
                <w:rFonts w:ascii="宋体" w:hAnsi="宋体" w:eastAsia="宋体"/>
                <w:sz w:val="16"/>
              </w:rPr>
              <w:t>5.94</w:t>
            </w:r>
          </w:p>
        </w:tc>
      </w:tr>
      <w:tr w14:paraId="471F76E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8BB00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B965D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EC4DEC">
            <w:pPr>
              <w:jc w:val="center"/>
            </w:pPr>
            <w:r>
              <w:rPr>
                <w:rFonts w:ascii="宋体" w:hAnsi="宋体" w:eastAsia="宋体"/>
                <w:sz w:val="16"/>
              </w:rPr>
              <w:t>退休人员工资福利支出预算保障人数（人)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611C21">
            <w:pPr>
              <w:jc w:val="center"/>
            </w:pPr>
            <w:r>
              <w:rPr>
                <w:rFonts w:ascii="宋体" w:hAnsi="宋体" w:eastAsia="宋体"/>
                <w:sz w:val="16"/>
              </w:rPr>
              <w:t>&gt;=109人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44F920">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6A78D0">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8AE3D4">
            <w:pPr>
              <w:jc w:val="center"/>
            </w:pPr>
            <w:r>
              <w:rPr>
                <w:rFonts w:ascii="宋体" w:hAnsi="宋体" w:eastAsia="宋体"/>
                <w:sz w:val="16"/>
              </w:rPr>
              <w:t>=115人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FDA3A8">
            <w:pPr>
              <w:jc w:val="center"/>
            </w:pPr>
            <w:r>
              <w:rPr>
                <w:rFonts w:ascii="宋体" w:hAnsi="宋体" w:eastAsia="宋体"/>
                <w:sz w:val="16"/>
              </w:rPr>
              <w:t>6</w:t>
            </w:r>
          </w:p>
        </w:tc>
      </w:tr>
      <w:tr w14:paraId="25AA69E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70C6E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B7B8F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CC3A5">
            <w:pPr>
              <w:jc w:val="center"/>
            </w:pPr>
            <w:r>
              <w:rPr>
                <w:rFonts w:ascii="宋体" w:hAnsi="宋体" w:eastAsia="宋体"/>
                <w:sz w:val="16"/>
              </w:rPr>
              <w:t>供养人员工资福利支出预算保障人数（人)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042479">
            <w:pPr>
              <w:jc w:val="center"/>
            </w:pPr>
            <w:r>
              <w:rPr>
                <w:rFonts w:ascii="宋体" w:hAnsi="宋体" w:eastAsia="宋体"/>
                <w:sz w:val="16"/>
              </w:rPr>
              <w:t>&gt;=25人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70B96B">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FE5EBA">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921876">
            <w:pPr>
              <w:jc w:val="center"/>
            </w:pPr>
            <w:r>
              <w:rPr>
                <w:rFonts w:ascii="宋体" w:hAnsi="宋体" w:eastAsia="宋体"/>
                <w:sz w:val="16"/>
              </w:rPr>
              <w:t>=25人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9259E8">
            <w:pPr>
              <w:jc w:val="center"/>
            </w:pPr>
            <w:r>
              <w:rPr>
                <w:rFonts w:ascii="宋体" w:hAnsi="宋体" w:eastAsia="宋体"/>
                <w:sz w:val="16"/>
              </w:rPr>
              <w:t>6</w:t>
            </w:r>
          </w:p>
        </w:tc>
      </w:tr>
      <w:tr w14:paraId="2C268D0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42728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4E765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70D825">
            <w:pPr>
              <w:jc w:val="center"/>
            </w:pPr>
            <w:r>
              <w:rPr>
                <w:rFonts w:hint="eastAsia" w:ascii="宋体" w:hAnsi="宋体"/>
                <w:sz w:val="16"/>
                <w:lang w:val="en-US" w:eastAsia="zh-CN"/>
              </w:rPr>
              <w:t>为民办实事</w:t>
            </w:r>
            <w:r>
              <w:rPr>
                <w:rFonts w:ascii="宋体" w:hAnsi="宋体" w:eastAsia="宋体"/>
                <w:sz w:val="16"/>
              </w:rPr>
              <w:t>项目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83292F">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98A5EC">
            <w:pPr>
              <w:jc w:val="center"/>
            </w:pPr>
            <w:r>
              <w:rPr>
                <w:rFonts w:hint="eastAsia" w:ascii="宋体" w:hAnsi="宋体"/>
                <w:sz w:val="16"/>
                <w:lang w:eastAsia="zh-CN"/>
              </w:rPr>
              <w:t>为民办实事</w:t>
            </w:r>
            <w:r>
              <w:rPr>
                <w:rFonts w:ascii="宋体" w:hAnsi="宋体" w:eastAsia="宋体"/>
                <w:sz w:val="16"/>
              </w:rPr>
              <w:t>第一书记工作经费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183E7A">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E11C6B">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1059CF">
            <w:pPr>
              <w:jc w:val="center"/>
            </w:pPr>
            <w:r>
              <w:rPr>
                <w:rFonts w:ascii="宋体" w:hAnsi="宋体" w:eastAsia="宋体"/>
                <w:sz w:val="16"/>
              </w:rPr>
              <w:t>6</w:t>
            </w:r>
          </w:p>
        </w:tc>
      </w:tr>
      <w:tr w14:paraId="07A95AF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21564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E6B34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023FE1">
            <w:pPr>
              <w:jc w:val="center"/>
            </w:pPr>
            <w:r>
              <w:rPr>
                <w:rFonts w:ascii="宋体" w:hAnsi="宋体" w:eastAsia="宋体"/>
                <w:sz w:val="16"/>
              </w:rPr>
              <w:t>人员经费保障性资金支出控制数（万元）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61F20A">
            <w:pPr>
              <w:jc w:val="center"/>
            </w:pPr>
            <w:r>
              <w:rPr>
                <w:rFonts w:ascii="宋体" w:hAnsi="宋体" w:eastAsia="宋体"/>
                <w:sz w:val="16"/>
              </w:rPr>
              <w:t>&lt;=6339.11万元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EC5AC0">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E79AA4">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70F126">
            <w:pPr>
              <w:jc w:val="center"/>
            </w:pPr>
            <w:r>
              <w:rPr>
                <w:rFonts w:ascii="宋体" w:hAnsi="宋体" w:eastAsia="宋体"/>
                <w:sz w:val="16"/>
              </w:rPr>
              <w:t>=10699.93万元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CAF169">
            <w:pPr>
              <w:jc w:val="center"/>
            </w:pPr>
            <w:r>
              <w:rPr>
                <w:rFonts w:ascii="宋体" w:hAnsi="宋体" w:eastAsia="宋体"/>
                <w:sz w:val="16"/>
              </w:rPr>
              <w:t>0</w:t>
            </w:r>
          </w:p>
        </w:tc>
      </w:tr>
      <w:tr w14:paraId="5BD052A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B6C5CF"/>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6C8766">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B816C5">
            <w:pPr>
              <w:jc w:val="center"/>
            </w:pPr>
            <w:r>
              <w:rPr>
                <w:rFonts w:ascii="宋体" w:hAnsi="宋体" w:eastAsia="宋体"/>
                <w:sz w:val="16"/>
              </w:rPr>
              <w:t>公用运转经费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94B129">
            <w:pPr>
              <w:jc w:val="center"/>
            </w:pPr>
            <w:r>
              <w:rPr>
                <w:rFonts w:ascii="宋体" w:hAnsi="宋体" w:eastAsia="宋体"/>
                <w:sz w:val="16"/>
              </w:rPr>
              <w:t>&lt;=70.07万元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3A39CE">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6B2363">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FF4A96">
            <w:pPr>
              <w:jc w:val="center"/>
            </w:pPr>
            <w:r>
              <w:rPr>
                <w:rFonts w:ascii="宋体" w:hAnsi="宋体" w:eastAsia="宋体"/>
                <w:sz w:val="16"/>
              </w:rPr>
              <w:t>=6302.55万元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263D41">
            <w:pPr>
              <w:jc w:val="center"/>
            </w:pPr>
            <w:r>
              <w:rPr>
                <w:rFonts w:ascii="宋体" w:hAnsi="宋体" w:eastAsia="宋体"/>
                <w:sz w:val="16"/>
              </w:rPr>
              <w:t>0</w:t>
            </w:r>
          </w:p>
        </w:tc>
      </w:tr>
      <w:tr w14:paraId="080BD62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3A1E4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256DF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42CA4E">
            <w:pPr>
              <w:jc w:val="center"/>
            </w:pPr>
            <w:r>
              <w:rPr>
                <w:rFonts w:ascii="宋体" w:hAnsi="宋体" w:eastAsia="宋体"/>
                <w:sz w:val="16"/>
              </w:rPr>
              <w:t>项目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8EA9B1">
            <w:pPr>
              <w:jc w:val="center"/>
            </w:pPr>
            <w:r>
              <w:rPr>
                <w:rFonts w:ascii="宋体" w:hAnsi="宋体" w:eastAsia="宋体"/>
                <w:sz w:val="16"/>
              </w:rPr>
              <w:t>&lt;=2万元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72821F">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C46FCF">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9E2B65">
            <w:pPr>
              <w:jc w:val="center"/>
            </w:pPr>
            <w:r>
              <w:rPr>
                <w:rFonts w:ascii="宋体" w:hAnsi="宋体" w:eastAsia="宋体"/>
                <w:sz w:val="16"/>
              </w:rPr>
              <w:t>=3212.6万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B9F60E">
            <w:pPr>
              <w:jc w:val="center"/>
            </w:pPr>
            <w:r>
              <w:rPr>
                <w:rFonts w:ascii="宋体" w:hAnsi="宋体" w:eastAsia="宋体"/>
                <w:sz w:val="16"/>
              </w:rPr>
              <w:t>0</w:t>
            </w:r>
          </w:p>
        </w:tc>
      </w:tr>
      <w:tr w14:paraId="46939B5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68777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B8483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CB0EF0">
            <w:pPr>
              <w:jc w:val="center"/>
            </w:pPr>
            <w:r>
              <w:rPr>
                <w:rFonts w:ascii="宋体" w:hAnsi="宋体" w:eastAsia="宋体"/>
                <w:sz w:val="16"/>
              </w:rPr>
              <w:t>在职人员控制率（%）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07E61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0C676D">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1CF18E">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AAD83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6461D8">
            <w:pPr>
              <w:jc w:val="center"/>
            </w:pPr>
            <w:r>
              <w:rPr>
                <w:rFonts w:ascii="宋体" w:hAnsi="宋体" w:eastAsia="宋体"/>
                <w:sz w:val="16"/>
              </w:rPr>
              <w:t>5</w:t>
            </w:r>
          </w:p>
        </w:tc>
      </w:tr>
      <w:tr w14:paraId="4F71435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3AB318">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88F0B5">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564768">
            <w:pPr>
              <w:jc w:val="center"/>
            </w:pPr>
            <w:r>
              <w:rPr>
                <w:rFonts w:ascii="宋体" w:hAnsi="宋体" w:eastAsia="宋体"/>
                <w:sz w:val="16"/>
              </w:rPr>
              <w:t>医疗服务质量合格率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D35E3">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F7BC26">
            <w:pPr>
              <w:jc w:val="center"/>
            </w:pPr>
            <w:r>
              <w:rPr>
                <w:rFonts w:ascii="宋体" w:hAnsi="宋体" w:eastAsia="宋体"/>
                <w:sz w:val="16"/>
              </w:rPr>
              <w:t>实际业务需要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08B655">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20AF30">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5478A4">
            <w:pPr>
              <w:jc w:val="center"/>
            </w:pPr>
            <w:r>
              <w:rPr>
                <w:rFonts w:ascii="宋体" w:hAnsi="宋体" w:eastAsia="宋体"/>
                <w:sz w:val="16"/>
              </w:rPr>
              <w:t>6</w:t>
            </w:r>
          </w:p>
        </w:tc>
      </w:tr>
      <w:tr w14:paraId="6FA7B75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AA871B">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BEBD9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1D96C3">
            <w:pPr>
              <w:jc w:val="center"/>
            </w:pPr>
            <w:r>
              <w:rPr>
                <w:rFonts w:ascii="宋体" w:hAnsi="宋体" w:eastAsia="宋体"/>
                <w:sz w:val="16"/>
              </w:rPr>
              <w:t>开展结核病业务培训（次）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7D0AC8">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277FC7">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B4FF7">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413E3D">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9DF1DC">
            <w:pPr>
              <w:jc w:val="center"/>
            </w:pPr>
            <w:r>
              <w:rPr>
                <w:rFonts w:ascii="宋体" w:hAnsi="宋体" w:eastAsia="宋体"/>
                <w:sz w:val="16"/>
              </w:rPr>
              <w:t>5</w:t>
            </w:r>
          </w:p>
        </w:tc>
      </w:tr>
      <w:tr w14:paraId="5F12CC7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251F3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7DF7D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C438E5">
            <w:pPr>
              <w:jc w:val="center"/>
            </w:pPr>
            <w:r>
              <w:rPr>
                <w:rFonts w:ascii="宋体" w:hAnsi="宋体" w:eastAsia="宋体"/>
                <w:sz w:val="16"/>
              </w:rPr>
              <w:t>各项检（监）测合格率（%）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8D0CE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17C71E">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884226">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43FB2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D8B0A5">
            <w:pPr>
              <w:jc w:val="center"/>
            </w:pPr>
            <w:r>
              <w:rPr>
                <w:rFonts w:ascii="宋体" w:hAnsi="宋体" w:eastAsia="宋体"/>
                <w:sz w:val="16"/>
              </w:rPr>
              <w:t>5</w:t>
            </w:r>
          </w:p>
        </w:tc>
      </w:tr>
      <w:tr w14:paraId="2CEDF01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FE9368">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BF1AA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48B5C0">
            <w:pPr>
              <w:jc w:val="center"/>
            </w:pPr>
            <w:r>
              <w:rPr>
                <w:rFonts w:ascii="宋体" w:hAnsi="宋体" w:eastAsia="宋体"/>
                <w:sz w:val="16"/>
              </w:rPr>
              <w:t>提高部门单位正常履职和各项政策措施有效实施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1C9520">
            <w:pPr>
              <w:jc w:val="center"/>
            </w:pPr>
            <w:r>
              <w:rPr>
                <w:rFonts w:ascii="宋体" w:hAnsi="宋体" w:eastAsia="宋体"/>
                <w:sz w:val="16"/>
              </w:rPr>
              <w:t>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5035E9">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A4C544">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2077DC">
            <w:pPr>
              <w:jc w:val="center"/>
            </w:pPr>
            <w:r>
              <w:rPr>
                <w:rFonts w:ascii="宋体" w:hAnsi="宋体" w:eastAsia="宋体"/>
                <w:sz w:val="16"/>
              </w:rPr>
              <w:t>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BD02D8">
            <w:pPr>
              <w:jc w:val="center"/>
            </w:pPr>
            <w:r>
              <w:rPr>
                <w:rFonts w:ascii="宋体" w:hAnsi="宋体" w:eastAsia="宋体"/>
                <w:sz w:val="16"/>
              </w:rPr>
              <w:t>5</w:t>
            </w:r>
          </w:p>
        </w:tc>
      </w:tr>
      <w:tr w14:paraId="3D0DB7B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13A1BE">
            <w:pPr>
              <w:jc w:val="center"/>
            </w:pPr>
            <w:r>
              <w:rPr>
                <w:rFonts w:ascii="宋体" w:hAnsi="宋体" w:eastAsia="宋体"/>
                <w:sz w:val="16"/>
              </w:rPr>
              <w:t>可持续发展能力</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59F442">
            <w:pPr>
              <w:jc w:val="center"/>
            </w:pPr>
            <w:r>
              <w:rPr>
                <w:rFonts w:ascii="宋体" w:hAnsi="宋体" w:eastAsia="宋体"/>
                <w:sz w:val="16"/>
              </w:rPr>
              <w:t>可持续影响指标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8D51F7">
            <w:pPr>
              <w:jc w:val="center"/>
            </w:pPr>
            <w:r>
              <w:rPr>
                <w:rFonts w:ascii="宋体" w:hAnsi="宋体" w:eastAsia="宋体"/>
                <w:sz w:val="16"/>
              </w:rPr>
              <w:t>提高阿克陶县各族人民群众的健康水平和生活质量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D2983E">
            <w:pPr>
              <w:jc w:val="center"/>
            </w:pPr>
            <w:r>
              <w:rPr>
                <w:rFonts w:ascii="宋体" w:hAnsi="宋体" w:eastAsia="宋体"/>
                <w:sz w:val="16"/>
              </w:rPr>
              <w:t>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AAD1E6">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3B0DF8">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2B1152">
            <w:pPr>
              <w:jc w:val="center"/>
            </w:pPr>
            <w:r>
              <w:rPr>
                <w:rFonts w:ascii="宋体" w:hAnsi="宋体" w:eastAsia="宋体"/>
                <w:sz w:val="16"/>
              </w:rPr>
              <w:t>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6826EC">
            <w:pPr>
              <w:jc w:val="center"/>
            </w:pPr>
            <w:r>
              <w:rPr>
                <w:rFonts w:ascii="宋体" w:hAnsi="宋体" w:eastAsia="宋体"/>
                <w:sz w:val="16"/>
              </w:rPr>
              <w:t>5</w:t>
            </w:r>
          </w:p>
        </w:tc>
      </w:tr>
      <w:tr w14:paraId="434AA35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F3C43F">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FF5237">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98D97B">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BE7EA7">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ABF874">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B449AA">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EA1109">
            <w:pPr>
              <w:jc w:val="center"/>
            </w:pPr>
            <w:r>
              <w:rPr>
                <w:rFonts w:ascii="宋体" w:hAnsi="宋体" w:eastAsia="宋体"/>
                <w:sz w:val="16"/>
              </w:rPr>
              <w:t>=96.56%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689D9F">
            <w:pPr>
              <w:jc w:val="center"/>
            </w:pPr>
            <w:r>
              <w:rPr>
                <w:rFonts w:ascii="宋体" w:hAnsi="宋体" w:eastAsia="宋体"/>
                <w:sz w:val="16"/>
              </w:rPr>
              <w:t>7</w:t>
            </w:r>
          </w:p>
        </w:tc>
      </w:tr>
      <w:tr w14:paraId="715C6A4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1D867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C4129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022EF9">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559CE9">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83DF2F">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AEF96F">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FF874F">
            <w:pPr>
              <w:jc w:val="center"/>
            </w:pPr>
            <w:r>
              <w:rPr>
                <w:rFonts w:ascii="宋体" w:hAnsi="宋体" w:eastAsia="宋体"/>
                <w:sz w:val="16"/>
              </w:rPr>
              <w:t>=95.77%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1DEE82">
            <w:pPr>
              <w:jc w:val="center"/>
            </w:pPr>
            <w:r>
              <w:rPr>
                <w:rFonts w:ascii="宋体" w:hAnsi="宋体" w:eastAsia="宋体"/>
                <w:sz w:val="16"/>
              </w:rPr>
              <w:t>7</w:t>
            </w:r>
          </w:p>
        </w:tc>
      </w:tr>
    </w:tbl>
    <w:p w14:paraId="7C225A3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5B1B43BA">
        <w:tblPrEx>
          <w:tblCellMar>
            <w:top w:w="0" w:type="dxa"/>
            <w:left w:w="108" w:type="dxa"/>
            <w:bottom w:w="0" w:type="dxa"/>
            <w:right w:w="108" w:type="dxa"/>
          </w:tblCellMar>
        </w:tblPrEx>
        <w:tc>
          <w:tcPr>
            <w:tcW w:w="8848" w:type="dxa"/>
            <w:gridSpan w:val="14"/>
            <w:vAlign w:val="center"/>
          </w:tcPr>
          <w:p w14:paraId="5053ECD3">
            <w:pPr>
              <w:jc w:val="center"/>
            </w:pPr>
            <w:r>
              <w:rPr>
                <w:rFonts w:ascii="宋体" w:hAnsi="宋体" w:eastAsia="宋体"/>
                <w:sz w:val="24"/>
              </w:rPr>
              <w:t>项目支出绩效自评表</w:t>
            </w:r>
          </w:p>
        </w:tc>
      </w:tr>
      <w:tr w14:paraId="7291C3B9">
        <w:tblPrEx>
          <w:tblCellMar>
            <w:top w:w="0" w:type="dxa"/>
            <w:left w:w="108" w:type="dxa"/>
            <w:bottom w:w="0" w:type="dxa"/>
            <w:right w:w="108" w:type="dxa"/>
          </w:tblCellMar>
        </w:tblPrEx>
        <w:tc>
          <w:tcPr>
            <w:tcW w:w="8848" w:type="dxa"/>
            <w:gridSpan w:val="14"/>
            <w:vAlign w:val="center"/>
          </w:tcPr>
          <w:p w14:paraId="253A9E07">
            <w:pPr>
              <w:jc w:val="center"/>
            </w:pPr>
            <w:r>
              <w:rPr>
                <w:rFonts w:ascii="宋体" w:hAnsi="宋体" w:eastAsia="宋体"/>
                <w:sz w:val="24"/>
              </w:rPr>
              <w:t>(2024年度)</w:t>
            </w:r>
          </w:p>
        </w:tc>
      </w:tr>
      <w:tr w14:paraId="2C0877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210D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D46DC5">
            <w:pPr>
              <w:jc w:val="center"/>
            </w:pPr>
            <w:r>
              <w:rPr>
                <w:rFonts w:ascii="宋体" w:hAnsi="宋体" w:eastAsia="宋体"/>
                <w:sz w:val="16"/>
              </w:rPr>
              <w:t>2024年</w:t>
            </w:r>
            <w:r>
              <w:rPr>
                <w:rFonts w:hint="eastAsia" w:ascii="宋体" w:hAnsi="宋体"/>
                <w:sz w:val="16"/>
                <w:lang w:val="en-US" w:eastAsia="zh-CN"/>
              </w:rPr>
              <w:t>为民办实事</w:t>
            </w:r>
            <w:r>
              <w:rPr>
                <w:rFonts w:ascii="宋体" w:hAnsi="宋体" w:eastAsia="宋体"/>
                <w:sz w:val="16"/>
              </w:rPr>
              <w:t>工作第一书记工作经费项目（县级）</w:t>
            </w:r>
          </w:p>
        </w:tc>
      </w:tr>
      <w:tr w14:paraId="5E4BF9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0967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D47463">
            <w:pPr>
              <w:jc w:val="center"/>
            </w:pPr>
            <w:r>
              <w:rPr>
                <w:rFonts w:ascii="宋体" w:hAnsi="宋体" w:eastAsia="宋体"/>
                <w:sz w:val="16"/>
              </w:rPr>
              <w:t>阿克陶县卫生健康委员会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6908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EA968A">
            <w:pPr>
              <w:jc w:val="center"/>
            </w:pPr>
            <w:r>
              <w:rPr>
                <w:rFonts w:ascii="宋体" w:hAnsi="宋体" w:eastAsia="宋体"/>
                <w:sz w:val="16"/>
              </w:rPr>
              <w:t>阿克陶县人民医院</w:t>
            </w:r>
          </w:p>
        </w:tc>
      </w:tr>
      <w:tr w14:paraId="34B506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B29A5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33D2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9955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E1CA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6EC4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F31C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2074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894C5">
            <w:pPr>
              <w:jc w:val="center"/>
            </w:pPr>
            <w:r>
              <w:rPr>
                <w:rFonts w:ascii="宋体" w:hAnsi="宋体" w:eastAsia="宋体"/>
                <w:sz w:val="16"/>
              </w:rPr>
              <w:t>得分</w:t>
            </w:r>
          </w:p>
        </w:tc>
      </w:tr>
      <w:tr w14:paraId="7A643A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75C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78BD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18C1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A93A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F10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DBE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E4BF9">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B6D99">
            <w:pPr>
              <w:jc w:val="center"/>
            </w:pPr>
            <w:r>
              <w:rPr>
                <w:rFonts w:ascii="宋体" w:hAnsi="宋体" w:eastAsia="宋体"/>
                <w:sz w:val="16"/>
              </w:rPr>
              <w:t>0.00分</w:t>
            </w:r>
          </w:p>
        </w:tc>
      </w:tr>
      <w:tr w14:paraId="286AA6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70D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A6B8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583AF">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BEF8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23F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EE7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CA3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31C0B">
            <w:pPr>
              <w:jc w:val="center"/>
            </w:pPr>
            <w:r>
              <w:rPr>
                <w:rFonts w:ascii="宋体" w:hAnsi="宋体" w:eastAsia="宋体"/>
                <w:sz w:val="16"/>
              </w:rPr>
              <w:t>—</w:t>
            </w:r>
          </w:p>
        </w:tc>
      </w:tr>
      <w:tr w14:paraId="457DA0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93D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0091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D01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3D7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634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482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7BD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86AD9">
            <w:pPr>
              <w:jc w:val="center"/>
            </w:pPr>
            <w:r>
              <w:rPr>
                <w:rFonts w:ascii="宋体" w:hAnsi="宋体" w:eastAsia="宋体"/>
                <w:sz w:val="16"/>
              </w:rPr>
              <w:t>—</w:t>
            </w:r>
          </w:p>
        </w:tc>
      </w:tr>
      <w:tr w14:paraId="16DCEF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8D820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F782D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83801D">
            <w:pPr>
              <w:jc w:val="center"/>
            </w:pPr>
            <w:r>
              <w:rPr>
                <w:rFonts w:ascii="宋体" w:hAnsi="宋体" w:eastAsia="宋体"/>
                <w:sz w:val="16"/>
              </w:rPr>
              <w:t>实际完成情况</w:t>
            </w:r>
          </w:p>
        </w:tc>
      </w:tr>
      <w:tr w14:paraId="756648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9B3F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C33EE4">
            <w:pPr>
              <w:jc w:val="both"/>
            </w:pPr>
            <w:r>
              <w:rPr>
                <w:rFonts w:ascii="宋体" w:hAnsi="宋体" w:eastAsia="宋体"/>
                <w:sz w:val="16"/>
              </w:rPr>
              <w:t>2024年第一书记工作经费项目（县级）主要用于第一书记工作经费，有效增强辖区内医疗服务基础设施建设水平，提高困难群众生活水平。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6554C9">
            <w:pPr>
              <w:jc w:val="both"/>
            </w:pPr>
            <w:r>
              <w:rPr>
                <w:rFonts w:ascii="宋体" w:hAnsi="宋体" w:eastAsia="宋体"/>
                <w:sz w:val="16"/>
              </w:rPr>
              <w:t>2024年第一书记工作经费项目（县级）主要用于第一书记工作经费，有效增强辖区内医疗服务基础设施建设水平，提高困难群众生活水平。</w:t>
            </w:r>
          </w:p>
        </w:tc>
      </w:tr>
      <w:tr w14:paraId="41CEE1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1CC82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AC4F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E8C1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D877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E147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F3C7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FEEE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7312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677C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793E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39C9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257E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3679A">
            <w:pPr>
              <w:jc w:val="center"/>
            </w:pPr>
            <w:r>
              <w:rPr>
                <w:rFonts w:ascii="宋体" w:hAnsi="宋体" w:eastAsia="宋体"/>
                <w:sz w:val="16"/>
              </w:rPr>
              <w:t>偏差原因分析及改进措施</w:t>
            </w:r>
          </w:p>
        </w:tc>
      </w:tr>
      <w:tr w14:paraId="4E0E6B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152C6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A0360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C859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5755C">
            <w:pPr>
              <w:jc w:val="center"/>
            </w:pPr>
            <w:r>
              <w:rPr>
                <w:rFonts w:ascii="宋体" w:hAnsi="宋体" w:eastAsia="宋体"/>
                <w:sz w:val="16"/>
              </w:rPr>
              <w:t>产品采购批次（批）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BFC19">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E34D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435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ABEF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057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1604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42AC9">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B832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94678">
            <w:pPr>
              <w:jc w:val="center"/>
            </w:pPr>
          </w:p>
        </w:tc>
      </w:tr>
      <w:tr w14:paraId="4A4493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001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EFF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C79F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F3E8B">
            <w:pPr>
              <w:jc w:val="center"/>
            </w:pPr>
            <w:r>
              <w:rPr>
                <w:rFonts w:ascii="宋体" w:hAnsi="宋体" w:eastAsia="宋体"/>
                <w:sz w:val="16"/>
              </w:rPr>
              <w:t>购置产品合格率（%）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E00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A09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8DA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BDB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171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31CA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35BBB">
            <w:pPr>
              <w:jc w:val="center"/>
            </w:pPr>
            <w:r>
              <w:rPr>
                <w:rFonts w:ascii="宋体" w:hAnsi="宋体" w:eastAsia="宋体"/>
                <w:sz w:val="16"/>
              </w:rPr>
              <w:t>=1100%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8F04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9E95D">
            <w:pPr>
              <w:jc w:val="center"/>
            </w:pPr>
          </w:p>
        </w:tc>
      </w:tr>
      <w:tr w14:paraId="648044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7FC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FFB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C8B3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AA703">
            <w:pPr>
              <w:jc w:val="center"/>
            </w:pPr>
            <w:r>
              <w:rPr>
                <w:rFonts w:ascii="宋体" w:hAnsi="宋体" w:eastAsia="宋体"/>
                <w:sz w:val="16"/>
              </w:rPr>
              <w:t>项目完成时效（月）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9E47C">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D3D6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4D5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09E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6F2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AB24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76A70">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493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CB838">
            <w:pPr>
              <w:jc w:val="center"/>
            </w:pPr>
          </w:p>
        </w:tc>
      </w:tr>
      <w:tr w14:paraId="29FD3E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290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7DCE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FE61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B3FB6">
            <w:pPr>
              <w:jc w:val="center"/>
            </w:pPr>
            <w:r>
              <w:rPr>
                <w:rFonts w:ascii="宋体" w:hAnsi="宋体" w:eastAsia="宋体"/>
                <w:sz w:val="16"/>
              </w:rPr>
              <w:t>第一书记工作经费（万元）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E0EE3">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0BD7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D55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7B4F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EB2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304E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5842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4303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C454E">
            <w:pPr>
              <w:jc w:val="center"/>
            </w:pPr>
            <w:r>
              <w:rPr>
                <w:rFonts w:ascii="宋体" w:hAnsi="宋体" w:eastAsia="宋体"/>
                <w:sz w:val="16"/>
              </w:rPr>
              <w:t>本项目年初规划时，财政预算已将2万县级资金列入计划。然而年中，受经济下行压力及大规模减税降费政策影响，县级财政收入大幅下滑，同时，为保障基本民生和重大基础设施建设等关键领域的资金需求，财政资金不得不优先保障更为紧迫的支出事项，导致</w:t>
            </w:r>
            <w:bookmarkStart w:id="0" w:name="_GoBack"/>
            <w:r>
              <w:rPr>
                <w:rFonts w:hint="eastAsia" w:ascii="宋体" w:hAnsi="宋体"/>
                <w:sz w:val="16"/>
                <w:lang w:eastAsia="zh-CN"/>
              </w:rPr>
              <w:t>本单位</w:t>
            </w:r>
            <w:bookmarkEnd w:id="0"/>
            <w:r>
              <w:rPr>
                <w:rFonts w:ascii="宋体" w:hAnsi="宋体" w:eastAsia="宋体"/>
                <w:sz w:val="16"/>
              </w:rPr>
              <w:t>该笔预算资金未能如期下达，项目无法推进，年底绩效偏差较大。</w:t>
            </w:r>
          </w:p>
        </w:tc>
      </w:tr>
      <w:tr w14:paraId="109EBE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35E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194D2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F7BCC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41085">
            <w:pPr>
              <w:jc w:val="center"/>
            </w:pPr>
            <w:r>
              <w:rPr>
                <w:rFonts w:ascii="宋体" w:hAnsi="宋体" w:eastAsia="宋体"/>
                <w:sz w:val="16"/>
              </w:rPr>
              <w:t>有效增强辖区内医疗服务基础设施建设水平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FD954">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42B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FF0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775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AE3A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66F4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05F61">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F30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55FCB">
            <w:pPr>
              <w:jc w:val="center"/>
            </w:pPr>
          </w:p>
        </w:tc>
      </w:tr>
      <w:tr w14:paraId="3A75BD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016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039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164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76A3D">
            <w:pPr>
              <w:jc w:val="center"/>
            </w:pPr>
            <w:r>
              <w:rPr>
                <w:rFonts w:ascii="宋体" w:hAnsi="宋体" w:eastAsia="宋体"/>
                <w:sz w:val="16"/>
              </w:rPr>
              <w:t>有效提高困难群众生活水平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B7BD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E3D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22A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778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36FB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77F0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655D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365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76255">
            <w:pPr>
              <w:jc w:val="center"/>
            </w:pPr>
          </w:p>
        </w:tc>
      </w:tr>
      <w:tr w14:paraId="07F283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D3D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3BE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F80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BA830">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0556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226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0C1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EF7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0AED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131D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AD75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2E0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D8E8F">
            <w:pPr>
              <w:jc w:val="center"/>
            </w:pPr>
          </w:p>
        </w:tc>
      </w:tr>
      <w:tr w14:paraId="66D63E9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7CDA5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CD9E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49933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C5FAE">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8796684"/>
        </w:tc>
      </w:tr>
    </w:tbl>
    <w:p w14:paraId="44AE7DBA">
      <w:r>
        <w:br w:type="page"/>
      </w:r>
    </w:p>
    <w:p w14:paraId="34B16BE7">
      <w:pPr>
        <w:spacing w:line="640" w:lineRule="exact"/>
        <w:ind w:firstLine="640"/>
        <w:jc w:val="both"/>
        <w:outlineLvl w:val="2"/>
      </w:pPr>
      <w:r>
        <w:rPr>
          <w:rFonts w:ascii="黑体" w:hAnsi="黑体" w:eastAsia="黑体"/>
          <w:sz w:val="32"/>
        </w:rPr>
        <w:t>十二、其他需说明的事项</w:t>
      </w:r>
    </w:p>
    <w:p w14:paraId="754C8D1C">
      <w:pPr>
        <w:spacing w:line="580" w:lineRule="exact"/>
        <w:ind w:firstLine="640"/>
        <w:jc w:val="both"/>
      </w:pPr>
      <w:r>
        <w:rPr>
          <w:rFonts w:ascii="仿宋_GB2312" w:hAnsi="仿宋_GB2312" w:eastAsia="仿宋_GB2312"/>
          <w:b w:val="0"/>
          <w:sz w:val="32"/>
        </w:rPr>
        <w:t>本单位无其他需说明的事项。</w:t>
      </w:r>
    </w:p>
    <w:p w14:paraId="3B8150A0">
      <w:r>
        <w:br w:type="page"/>
      </w:r>
    </w:p>
    <w:p w14:paraId="08204083">
      <w:pPr>
        <w:spacing w:line="240" w:lineRule="auto"/>
        <w:jc w:val="center"/>
        <w:outlineLvl w:val="1"/>
      </w:pPr>
      <w:r>
        <w:rPr>
          <w:rFonts w:ascii="黑体" w:hAnsi="黑体" w:eastAsia="黑体"/>
          <w:sz w:val="32"/>
        </w:rPr>
        <w:t>第三部分 专业名词解释</w:t>
      </w:r>
    </w:p>
    <w:p w14:paraId="570241E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27633F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4543EB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643205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7097E4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22E96E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3F4E78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B91979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55A40A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373622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DAB6EC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CD1514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BCF7AA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83BB7C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6E874F0">
      <w:r>
        <w:br w:type="page"/>
      </w:r>
    </w:p>
    <w:p w14:paraId="73DA9AAB">
      <w:pPr>
        <w:spacing w:line="240" w:lineRule="auto"/>
        <w:jc w:val="center"/>
        <w:outlineLvl w:val="1"/>
      </w:pPr>
      <w:r>
        <w:rPr>
          <w:rFonts w:ascii="黑体" w:hAnsi="黑体" w:eastAsia="黑体"/>
          <w:sz w:val="32"/>
        </w:rPr>
        <w:t>第四部分 部门决算报表（见附表）</w:t>
      </w:r>
    </w:p>
    <w:p w14:paraId="20AB720F">
      <w:pPr>
        <w:spacing w:line="240" w:lineRule="auto"/>
        <w:ind w:firstLine="640"/>
        <w:jc w:val="both"/>
      </w:pPr>
      <w:r>
        <w:rPr>
          <w:rFonts w:ascii="仿宋_GB2312" w:hAnsi="仿宋_GB2312" w:eastAsia="仿宋_GB2312"/>
          <w:b w:val="0"/>
          <w:sz w:val="32"/>
        </w:rPr>
        <w:t>一、《收入支出决算总表》</w:t>
      </w:r>
    </w:p>
    <w:p w14:paraId="3EB67F90">
      <w:pPr>
        <w:spacing w:line="240" w:lineRule="auto"/>
        <w:ind w:firstLine="640"/>
        <w:jc w:val="both"/>
      </w:pPr>
      <w:r>
        <w:rPr>
          <w:rFonts w:ascii="仿宋_GB2312" w:hAnsi="仿宋_GB2312" w:eastAsia="仿宋_GB2312"/>
          <w:b w:val="0"/>
          <w:sz w:val="32"/>
        </w:rPr>
        <w:t>二、《收入决算表》</w:t>
      </w:r>
    </w:p>
    <w:p w14:paraId="6763387A">
      <w:pPr>
        <w:spacing w:line="240" w:lineRule="auto"/>
        <w:ind w:firstLine="640"/>
        <w:jc w:val="both"/>
      </w:pPr>
      <w:r>
        <w:rPr>
          <w:rFonts w:ascii="仿宋_GB2312" w:hAnsi="仿宋_GB2312" w:eastAsia="仿宋_GB2312"/>
          <w:b w:val="0"/>
          <w:sz w:val="32"/>
        </w:rPr>
        <w:t>三、《支出决算表》</w:t>
      </w:r>
    </w:p>
    <w:p w14:paraId="407A7E4B">
      <w:pPr>
        <w:spacing w:line="240" w:lineRule="auto"/>
        <w:ind w:firstLine="640"/>
        <w:jc w:val="both"/>
      </w:pPr>
      <w:r>
        <w:rPr>
          <w:rFonts w:ascii="仿宋_GB2312" w:hAnsi="仿宋_GB2312" w:eastAsia="仿宋_GB2312"/>
          <w:b w:val="0"/>
          <w:sz w:val="32"/>
        </w:rPr>
        <w:t>四、《财政拨款收入支出决算总表》</w:t>
      </w:r>
    </w:p>
    <w:p w14:paraId="20371E0C">
      <w:pPr>
        <w:spacing w:line="240" w:lineRule="auto"/>
        <w:ind w:firstLine="640"/>
        <w:jc w:val="both"/>
      </w:pPr>
      <w:r>
        <w:rPr>
          <w:rFonts w:ascii="仿宋_GB2312" w:hAnsi="仿宋_GB2312" w:eastAsia="仿宋_GB2312"/>
          <w:b w:val="0"/>
          <w:sz w:val="32"/>
        </w:rPr>
        <w:t>五、《一般公共预算财政拨款支出决算表》</w:t>
      </w:r>
    </w:p>
    <w:p w14:paraId="0EE99064">
      <w:pPr>
        <w:spacing w:line="240" w:lineRule="auto"/>
        <w:ind w:firstLine="640"/>
        <w:jc w:val="both"/>
      </w:pPr>
      <w:r>
        <w:rPr>
          <w:rFonts w:ascii="仿宋_GB2312" w:hAnsi="仿宋_GB2312" w:eastAsia="仿宋_GB2312"/>
          <w:b w:val="0"/>
          <w:sz w:val="32"/>
        </w:rPr>
        <w:t>六、《一般公共预算财政拨款基本支出决算表》</w:t>
      </w:r>
    </w:p>
    <w:p w14:paraId="22A45EED">
      <w:pPr>
        <w:spacing w:line="240" w:lineRule="auto"/>
        <w:ind w:firstLine="640"/>
        <w:jc w:val="both"/>
      </w:pPr>
      <w:r>
        <w:rPr>
          <w:rFonts w:ascii="仿宋_GB2312" w:hAnsi="仿宋_GB2312" w:eastAsia="仿宋_GB2312"/>
          <w:b w:val="0"/>
          <w:sz w:val="32"/>
        </w:rPr>
        <w:t>七、《政府性基金预算财政拨款收入支出决算表》</w:t>
      </w:r>
    </w:p>
    <w:p w14:paraId="7A56E4A5">
      <w:pPr>
        <w:spacing w:line="240" w:lineRule="auto"/>
        <w:ind w:firstLine="640"/>
        <w:jc w:val="both"/>
      </w:pPr>
      <w:r>
        <w:rPr>
          <w:rFonts w:ascii="仿宋_GB2312" w:hAnsi="仿宋_GB2312" w:eastAsia="仿宋_GB2312"/>
          <w:b w:val="0"/>
          <w:sz w:val="32"/>
        </w:rPr>
        <w:t>八、《国有资本经营预算财政拨款收入支出决算表》</w:t>
      </w:r>
    </w:p>
    <w:p w14:paraId="79DF0748">
      <w:pPr>
        <w:spacing w:line="240" w:lineRule="auto"/>
        <w:ind w:firstLine="640"/>
        <w:jc w:val="both"/>
      </w:pPr>
      <w:r>
        <w:rPr>
          <w:rFonts w:ascii="仿宋_GB2312" w:hAnsi="仿宋_GB2312" w:eastAsia="仿宋_GB2312"/>
          <w:b w:val="0"/>
          <w:sz w:val="32"/>
        </w:rPr>
        <w:t>九、《财政拨款“三公”经费支出决算表》</w:t>
      </w:r>
    </w:p>
    <w:p w14:paraId="6AC79532">
      <w:pPr>
        <w:spacing w:line="240" w:lineRule="auto"/>
        <w:ind w:firstLine="640"/>
        <w:jc w:val="both"/>
      </w:pPr>
    </w:p>
    <w:p w14:paraId="19FE5B2D">
      <w:pPr>
        <w:spacing w:line="240" w:lineRule="auto"/>
        <w:ind w:firstLine="640"/>
        <w:jc w:val="both"/>
      </w:pPr>
    </w:p>
    <w:p w14:paraId="68318C98">
      <w:pPr>
        <w:spacing w:line="240" w:lineRule="auto"/>
        <w:ind w:firstLine="640"/>
        <w:jc w:val="both"/>
      </w:pPr>
    </w:p>
    <w:p w14:paraId="70A21E9D">
      <w:pPr>
        <w:spacing w:line="240" w:lineRule="auto"/>
        <w:ind w:firstLine="640"/>
        <w:jc w:val="both"/>
      </w:pPr>
    </w:p>
    <w:p w14:paraId="1F17446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B42D51"/>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913307F"/>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6867</Words>
  <Characters>8045</Characters>
  <Lines>0</Lines>
  <Paragraphs>0</Paragraphs>
  <TotalTime>10</TotalTime>
  <ScaleCrop>false</ScaleCrop>
  <LinksUpToDate>false</LinksUpToDate>
  <CharactersWithSpaces>8060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2025-09-15T09:19:47Z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