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阿克陶县政务服务和公共资源交易中心2024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06F972">
      <w:r>
        <w:br w:type="page"/>
      </w:r>
    </w:p>
    <w:p w14:paraId="09895D08">
      <w:pPr>
        <w:spacing w:line="640" w:lineRule="exact"/>
        <w:jc w:val="center"/>
        <w:outlineLvl w:val="1"/>
      </w:pPr>
      <w:r>
        <w:rPr>
          <w:rFonts w:ascii="黑体" w:hAnsi="黑体" w:eastAsia="黑体"/>
          <w:sz w:val="32"/>
        </w:rPr>
        <w:t>第一部分 单位概况</w:t>
      </w:r>
    </w:p>
    <w:p w14:paraId="65D3763B">
      <w:pPr>
        <w:spacing w:line="640" w:lineRule="exact"/>
        <w:ind w:firstLine="640"/>
        <w:jc w:val="both"/>
        <w:outlineLvl w:val="2"/>
      </w:pPr>
      <w:r>
        <w:rPr>
          <w:rFonts w:ascii="黑体" w:hAnsi="黑体" w:eastAsia="黑体"/>
          <w:sz w:val="32"/>
        </w:rPr>
        <w:t>一、主要职能</w:t>
      </w:r>
    </w:p>
    <w:p w14:paraId="60C575B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综合办公室。承担文电、会务、档案等中心日常运转工作；承担综合性文稿起草、应急、安全、保密、信息、宣传、综治和重要活动组织协调等工作；承担中心党支部、精神文明建设等工作；承担县政务服务和公共资源交易规范化、标准化工作。负责县政务服务大厅日常管理，受理有关部门进入、退出大厅的相关事宜；负责对进驻大厅的部门及其工作人员提供综合服务；负责政务服务和公共资源交易中心日常管理，教育培训等工作；负责中心资产和财务管理、财务制度规范化建设；承担中心车辆、固定资产等后勤保障服务工作。负责政务服务大厅及公共资源交易活动日常的监督检查，维护政务服务和公共资源交易场所秩序；受理、移送、协助查处政务服务和公共资源交易质疑、投诉等；配合执法机关进场监督和执法等；负责中心机构编制、组织人事、职称评定及退休人员管理等工作；承担信访等工作。</w:t>
      </w:r>
    </w:p>
    <w:p w14:paraId="65FDFBD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政务服务综合室。承担自治区一体化在线政务服务平台县本级业务系统的对接、建设、管理；负责政务服务数据汇总共享，组织开展政务服务事项梳理、流程优化再造、业务对接等具体工作，推动政务服务“一网通办”；对政务服务提出政策和标准建议，推进全县政务服务规范化、标准化。承担县“12345”服务平台应用管理和公共资源交易平台管理工作，推进全县数据整合共享，监督政务服务线上投诉建议处理情况；承担一体化在线政务服务平台和公共资源交易平台运行环境保障及建设运维工作；负责中心部门信息化建设工作；承担县政务服务大厅和公共资源交易电子化设备维护及建设工作。</w:t>
      </w:r>
    </w:p>
    <w:p w14:paraId="5DADD2F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公共资源交易综合室。负责县本级建设工程项目和国有土地使用权、矿业权出让等自然资源交易活动的场地设施服务工作，为工程承、发包交易各方提供场地、咨询等综合服务工作；负责统筹推进进场交易项目的网上交易；承担服务过程中产生的资料存档等工作。负责县本级政府采购、产权交易的场地服务保障工作，并指导做好各项交易活动信息发布工作；负责统筹推进进场交易项目的网上交易；负责政府采购和产权交易服务过程中产生的资料存档等工作。</w:t>
      </w:r>
    </w:p>
    <w:p w14:paraId="32AA8864">
      <w:pPr>
        <w:spacing w:line="640" w:lineRule="exact"/>
        <w:ind w:firstLine="640"/>
        <w:jc w:val="both"/>
        <w:outlineLvl w:val="2"/>
      </w:pPr>
      <w:r>
        <w:rPr>
          <w:rFonts w:ascii="黑体" w:hAnsi="黑体" w:eastAsia="黑体"/>
          <w:sz w:val="32"/>
        </w:rPr>
        <w:t>二、机构设置及人员情况</w:t>
      </w:r>
    </w:p>
    <w:p w14:paraId="294433E5">
      <w:pPr>
        <w:spacing w:line="580" w:lineRule="exact"/>
        <w:ind w:firstLine="640"/>
        <w:jc w:val="both"/>
      </w:pPr>
      <w:r>
        <w:rPr>
          <w:rFonts w:ascii="仿宋_GB2312" w:hAnsi="仿宋_GB2312" w:eastAsia="仿宋_GB2312"/>
          <w:sz w:val="32"/>
        </w:rPr>
        <w:t>阿克陶县政务服务和公共资源交易中心2024年度，实有人数10人，其中：在职人员10人，增加0人；离休人员0人，增加0人；退休人员0人,增加0人。</w:t>
      </w:r>
    </w:p>
    <w:p w14:paraId="7B6C6E6F">
      <w:pPr>
        <w:spacing w:line="580" w:lineRule="exact"/>
        <w:ind w:firstLine="640"/>
        <w:jc w:val="both"/>
      </w:pPr>
      <w:r>
        <w:rPr>
          <w:rFonts w:ascii="仿宋_GB2312" w:hAnsi="仿宋_GB2312" w:eastAsia="仿宋_GB2312"/>
          <w:sz w:val="32"/>
        </w:rPr>
        <w:t>阿克陶县政务服务和公共资源交易中心无下属预算单位，下设3个科室，分别是：综合办公室、政务服务综合室、公共资源交易综合室。</w:t>
      </w:r>
    </w:p>
    <w:p w14:paraId="6D6FBBD3">
      <w:r>
        <w:br w:type="page"/>
      </w:r>
    </w:p>
    <w:p w14:paraId="18F84172">
      <w:pPr>
        <w:spacing w:line="240" w:lineRule="auto"/>
        <w:jc w:val="center"/>
        <w:outlineLvl w:val="1"/>
      </w:pPr>
      <w:r>
        <w:rPr>
          <w:rFonts w:ascii="黑体" w:hAnsi="黑体" w:eastAsia="黑体"/>
          <w:sz w:val="32"/>
        </w:rPr>
        <w:t>第二部分 部门决算情况说明</w:t>
      </w:r>
    </w:p>
    <w:p w14:paraId="4CF8644D">
      <w:pPr>
        <w:spacing w:line="640" w:lineRule="exact"/>
        <w:ind w:firstLine="640"/>
        <w:jc w:val="both"/>
        <w:outlineLvl w:val="2"/>
      </w:pPr>
      <w:r>
        <w:rPr>
          <w:rFonts w:ascii="黑体" w:hAnsi="黑体" w:eastAsia="黑体"/>
          <w:sz w:val="32"/>
        </w:rPr>
        <w:t>一、收入支出决算总体情况说明</w:t>
      </w:r>
    </w:p>
    <w:p w14:paraId="55649BB0">
      <w:pPr>
        <w:spacing w:line="580" w:lineRule="exact"/>
        <w:ind w:firstLine="640"/>
        <w:jc w:val="both"/>
      </w:pPr>
      <w:r>
        <w:rPr>
          <w:rFonts w:ascii="仿宋_GB2312" w:hAnsi="仿宋_GB2312" w:eastAsia="仿宋_GB2312"/>
          <w:b/>
          <w:sz w:val="32"/>
        </w:rPr>
        <w:t>2024年度收入总计221.89万元，</w:t>
      </w:r>
      <w:r>
        <w:rPr>
          <w:rFonts w:ascii="仿宋_GB2312" w:hAnsi="仿宋_GB2312" w:eastAsia="仿宋_GB2312"/>
          <w:b w:val="0"/>
          <w:sz w:val="32"/>
        </w:rPr>
        <w:t>其中：本年收入合计221.89万元，使用非财政拨款结余（含专用结余）0.00万元，年初结转和结余0.00万元。</w:t>
      </w:r>
    </w:p>
    <w:p w14:paraId="4830EC40">
      <w:pPr>
        <w:spacing w:line="580" w:lineRule="exact"/>
        <w:ind w:firstLine="640"/>
        <w:jc w:val="both"/>
      </w:pPr>
      <w:r>
        <w:rPr>
          <w:rFonts w:ascii="仿宋_GB2312" w:hAnsi="仿宋_GB2312" w:eastAsia="仿宋_GB2312"/>
          <w:b/>
          <w:sz w:val="32"/>
        </w:rPr>
        <w:t>2024年度支出总计221.89万元，</w:t>
      </w:r>
      <w:r>
        <w:rPr>
          <w:rFonts w:ascii="仿宋_GB2312" w:hAnsi="仿宋_GB2312" w:eastAsia="仿宋_GB2312"/>
          <w:b w:val="0"/>
          <w:sz w:val="32"/>
        </w:rPr>
        <w:t>其中：本年支出合计221.89万元，结余分配0.00万元，年末结转和结余0.00万元。</w:t>
      </w:r>
    </w:p>
    <w:p w14:paraId="481A508B">
      <w:pPr>
        <w:spacing w:line="580" w:lineRule="exact"/>
        <w:ind w:firstLine="640"/>
        <w:jc w:val="both"/>
      </w:pPr>
      <w:r>
        <w:rPr>
          <w:rFonts w:ascii="仿宋_GB2312" w:hAnsi="仿宋_GB2312" w:eastAsia="仿宋_GB2312"/>
          <w:b w:val="0"/>
          <w:sz w:val="32"/>
        </w:rPr>
        <w:t>收入支出总体与上年相比，减少6.20万元，下降2.72%，主要原因是：本年在职人员调入调出，人员职级不同，工资基数不同，导致人员经费较上年减少。办公费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邮电费、</w:t>
      </w:r>
      <w:r>
        <w:rPr>
          <w:rFonts w:ascii="仿宋_GB2312" w:hAnsi="仿宋_GB2312" w:eastAsia="仿宋_GB2312"/>
          <w:b w:val="0"/>
          <w:sz w:val="32"/>
        </w:rPr>
        <w:t>劳务费支出较上年减少。</w:t>
      </w:r>
    </w:p>
    <w:p w14:paraId="6C4CAB82">
      <w:pPr>
        <w:spacing w:line="640" w:lineRule="exact"/>
        <w:ind w:firstLine="640"/>
        <w:jc w:val="both"/>
        <w:outlineLvl w:val="2"/>
      </w:pPr>
      <w:r>
        <w:rPr>
          <w:rFonts w:ascii="黑体" w:hAnsi="黑体" w:eastAsia="黑体"/>
          <w:sz w:val="32"/>
        </w:rPr>
        <w:t>二、收入决算情况说明</w:t>
      </w:r>
    </w:p>
    <w:p w14:paraId="0A98B093">
      <w:pPr>
        <w:spacing w:line="580" w:lineRule="exact"/>
        <w:ind w:firstLine="640"/>
        <w:jc w:val="both"/>
      </w:pPr>
      <w:r>
        <w:rPr>
          <w:rFonts w:ascii="仿宋_GB2312" w:hAnsi="仿宋_GB2312" w:eastAsia="仿宋_GB2312"/>
          <w:b/>
          <w:sz w:val="32"/>
        </w:rPr>
        <w:t>本年收入221.89万元，</w:t>
      </w:r>
      <w:r>
        <w:rPr>
          <w:rFonts w:ascii="仿宋_GB2312" w:hAnsi="仿宋_GB2312" w:eastAsia="仿宋_GB2312"/>
          <w:b w:val="0"/>
          <w:sz w:val="32"/>
        </w:rPr>
        <w:t>其中：财政拨款收入221.89万元，占100.00%；上级补助收入0.00万元，占0.00%；事业收入0.00万元，占0.00%；经营收入0.00万元，占0.00%；附属单位上缴收入0.00万元，占0.00%；其他收入0.00万元，占0.00%。</w:t>
      </w:r>
    </w:p>
    <w:p w14:paraId="7A7EC7C0">
      <w:pPr>
        <w:spacing w:line="640" w:lineRule="exact"/>
        <w:ind w:firstLine="640"/>
        <w:jc w:val="both"/>
        <w:outlineLvl w:val="2"/>
      </w:pPr>
      <w:r>
        <w:rPr>
          <w:rFonts w:ascii="黑体" w:hAnsi="黑体" w:eastAsia="黑体"/>
          <w:sz w:val="32"/>
        </w:rPr>
        <w:t>三、支出决算情况说明</w:t>
      </w:r>
    </w:p>
    <w:p w14:paraId="52DE5A1A">
      <w:pPr>
        <w:spacing w:line="580" w:lineRule="exact"/>
        <w:ind w:firstLine="640"/>
        <w:jc w:val="both"/>
      </w:pPr>
      <w:r>
        <w:rPr>
          <w:rFonts w:ascii="仿宋_GB2312" w:hAnsi="仿宋_GB2312" w:eastAsia="仿宋_GB2312"/>
          <w:b/>
          <w:sz w:val="32"/>
        </w:rPr>
        <w:t>本年支出221.89万元，</w:t>
      </w:r>
      <w:r>
        <w:rPr>
          <w:rFonts w:ascii="仿宋_GB2312" w:hAnsi="仿宋_GB2312" w:eastAsia="仿宋_GB2312"/>
          <w:b w:val="0"/>
          <w:sz w:val="32"/>
        </w:rPr>
        <w:t>其中：基本支出215.11万元，占96.94%；项目支出6.78万元，占3.06%；上缴上级支出0.00万元，占0.00%；经营支出0.00万元，占0.00%；对附属单位补助支出0.00万元，占0.00%。</w:t>
      </w:r>
    </w:p>
    <w:p w14:paraId="1D2CAFA6">
      <w:pPr>
        <w:spacing w:line="640" w:lineRule="exact"/>
        <w:ind w:firstLine="640"/>
        <w:jc w:val="both"/>
        <w:outlineLvl w:val="2"/>
      </w:pPr>
      <w:r>
        <w:rPr>
          <w:rFonts w:ascii="黑体" w:hAnsi="黑体" w:eastAsia="黑体"/>
          <w:sz w:val="32"/>
        </w:rPr>
        <w:t>四、财政拨款收入支出决算总体情况说明</w:t>
      </w:r>
    </w:p>
    <w:p w14:paraId="3EF586BF">
      <w:pPr>
        <w:spacing w:line="580" w:lineRule="exact"/>
        <w:ind w:firstLine="640"/>
        <w:jc w:val="both"/>
      </w:pPr>
      <w:r>
        <w:rPr>
          <w:rFonts w:ascii="仿宋_GB2312" w:hAnsi="仿宋_GB2312" w:eastAsia="仿宋_GB2312"/>
          <w:b/>
          <w:sz w:val="32"/>
        </w:rPr>
        <w:t>2024年度财政拨款收入总计221.89万元，</w:t>
      </w:r>
      <w:r>
        <w:rPr>
          <w:rFonts w:ascii="仿宋_GB2312" w:hAnsi="仿宋_GB2312" w:eastAsia="仿宋_GB2312"/>
          <w:b w:val="0"/>
          <w:sz w:val="32"/>
        </w:rPr>
        <w:t>其中：年初财政拨款结转和结余0.00万元，本年财政拨款收入221.89万元。</w:t>
      </w:r>
      <w:r>
        <w:rPr>
          <w:rFonts w:ascii="仿宋_GB2312" w:hAnsi="仿宋_GB2312" w:eastAsia="仿宋_GB2312"/>
          <w:b/>
          <w:sz w:val="32"/>
        </w:rPr>
        <w:t>财政拨款支出总计221.89万元，</w:t>
      </w:r>
      <w:r>
        <w:rPr>
          <w:rFonts w:ascii="仿宋_GB2312" w:hAnsi="仿宋_GB2312" w:eastAsia="仿宋_GB2312"/>
          <w:b w:val="0"/>
          <w:sz w:val="32"/>
        </w:rPr>
        <w:t>其中：年末财政拨款结转和结余0.00万元，本年财政拨款支出221.89万元。</w:t>
      </w:r>
    </w:p>
    <w:p w14:paraId="19988B5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减少6.20万元，下降2.72%，主要原因是：本年在职人员调入调出，人员职级不同，工资基数不同，导致人员经费较上年减少。办公费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邮电费、</w:t>
      </w:r>
      <w:r>
        <w:rPr>
          <w:rFonts w:ascii="仿宋_GB2312" w:hAnsi="仿宋_GB2312" w:eastAsia="仿宋_GB2312"/>
          <w:b w:val="0"/>
          <w:sz w:val="32"/>
        </w:rPr>
        <w:t>劳务费支出较上年减少。</w:t>
      </w:r>
      <w:r>
        <w:rPr>
          <w:rFonts w:ascii="仿宋_GB2312" w:hAnsi="仿宋_GB2312" w:eastAsia="仿宋_GB2312"/>
          <w:b/>
          <w:sz w:val="32"/>
        </w:rPr>
        <w:t>与年初预算相比，</w:t>
      </w:r>
      <w:r>
        <w:rPr>
          <w:rFonts w:ascii="仿宋_GB2312" w:hAnsi="仿宋_GB2312" w:eastAsia="仿宋_GB2312"/>
          <w:b w:val="0"/>
          <w:sz w:val="32"/>
        </w:rPr>
        <w:t>年初预算数223.13万元，决算数221.89万元，预决算差异率-0.56%，主要原因是：严格落实中央八项规定精神，厉行节约，减少不必要的开支。</w:t>
      </w:r>
    </w:p>
    <w:p w14:paraId="5CB1B61D">
      <w:pPr>
        <w:spacing w:line="640" w:lineRule="exact"/>
        <w:ind w:firstLine="640"/>
        <w:jc w:val="both"/>
        <w:outlineLvl w:val="2"/>
      </w:pPr>
      <w:r>
        <w:rPr>
          <w:rFonts w:ascii="黑体" w:hAnsi="黑体" w:eastAsia="黑体"/>
          <w:sz w:val="32"/>
        </w:rPr>
        <w:t>五、一般公共预算财政拨款支出决算情况说明</w:t>
      </w:r>
    </w:p>
    <w:p w14:paraId="449A9E0D">
      <w:pPr>
        <w:spacing w:line="640" w:lineRule="exact"/>
        <w:ind w:firstLine="640"/>
        <w:jc w:val="both"/>
        <w:outlineLvl w:val="3"/>
      </w:pPr>
      <w:r>
        <w:rPr>
          <w:rFonts w:ascii="楷体_GB2312" w:hAnsi="楷体_GB2312" w:eastAsia="楷体_GB2312"/>
          <w:b/>
          <w:sz w:val="32"/>
        </w:rPr>
        <w:t>（一）一般公共预算财政拨款支出决算总体情况</w:t>
      </w:r>
    </w:p>
    <w:p w14:paraId="3B3C27B2">
      <w:pPr>
        <w:spacing w:line="580" w:lineRule="exact"/>
        <w:ind w:firstLine="640"/>
        <w:jc w:val="both"/>
      </w:pPr>
      <w:r>
        <w:rPr>
          <w:rFonts w:ascii="仿宋_GB2312" w:hAnsi="仿宋_GB2312" w:eastAsia="仿宋_GB2312"/>
          <w:b/>
          <w:sz w:val="32"/>
        </w:rPr>
        <w:t>2024年度一般公共预算财政拨款支出221.89万元，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减少6.20万元，下降2.72%，主要原因是：本年在职人员调入调出，人员职级不同，工资基数不同，导致人员经费较上年减少。办公费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邮电费、</w:t>
      </w:r>
      <w:r>
        <w:rPr>
          <w:rFonts w:ascii="仿宋_GB2312" w:hAnsi="仿宋_GB2312" w:eastAsia="仿宋_GB2312"/>
          <w:b w:val="0"/>
          <w:sz w:val="32"/>
        </w:rPr>
        <w:t>劳务费支出较上年减少。</w:t>
      </w:r>
      <w:r>
        <w:rPr>
          <w:rFonts w:ascii="仿宋_GB2312" w:hAnsi="仿宋_GB2312" w:eastAsia="仿宋_GB2312"/>
          <w:b/>
          <w:sz w:val="32"/>
        </w:rPr>
        <w:t>与年初预算相比,</w:t>
      </w:r>
      <w:r>
        <w:rPr>
          <w:rFonts w:ascii="仿宋_GB2312" w:hAnsi="仿宋_GB2312" w:eastAsia="仿宋_GB2312"/>
          <w:b w:val="0"/>
          <w:sz w:val="32"/>
        </w:rPr>
        <w:t>年初预算数223.13万元，决算数221.89万元，预决算差异率-0.56%，主要原因是：严格落实中央八项规定精神，厉行节约，减少不必要的开支。</w:t>
      </w:r>
    </w:p>
    <w:p w14:paraId="774622E1">
      <w:pPr>
        <w:spacing w:line="640" w:lineRule="exact"/>
        <w:ind w:firstLine="640"/>
        <w:jc w:val="both"/>
        <w:outlineLvl w:val="3"/>
      </w:pPr>
      <w:r>
        <w:rPr>
          <w:rFonts w:ascii="楷体_GB2312" w:hAnsi="楷体_GB2312" w:eastAsia="楷体_GB2312"/>
          <w:b/>
          <w:sz w:val="32"/>
        </w:rPr>
        <w:t>（二）一般公共预算财政拨款支出决算结构情况</w:t>
      </w:r>
    </w:p>
    <w:p w14:paraId="657DC778">
      <w:pPr>
        <w:spacing w:line="580" w:lineRule="exact"/>
        <w:ind w:firstLine="640"/>
        <w:jc w:val="both"/>
      </w:pPr>
      <w:r>
        <w:rPr>
          <w:rFonts w:ascii="仿宋_GB2312" w:hAnsi="仿宋_GB2312" w:eastAsia="仿宋_GB2312"/>
          <w:b w:val="0"/>
          <w:sz w:val="32"/>
        </w:rPr>
        <w:t>1.一般公共服务支出(类)171.61万元,占77.34%。</w:t>
      </w:r>
    </w:p>
    <w:p w14:paraId="0CF85726">
      <w:pPr>
        <w:spacing w:line="580" w:lineRule="exact"/>
        <w:ind w:firstLine="640"/>
        <w:jc w:val="both"/>
      </w:pPr>
      <w:r>
        <w:rPr>
          <w:rFonts w:ascii="仿宋_GB2312" w:hAnsi="仿宋_GB2312" w:eastAsia="仿宋_GB2312"/>
          <w:b w:val="0"/>
          <w:sz w:val="32"/>
        </w:rPr>
        <w:t>2.社会保障和就业支出(类)22.61万元,占10.19%。</w:t>
      </w:r>
    </w:p>
    <w:p w14:paraId="655FA4B9">
      <w:pPr>
        <w:spacing w:line="580" w:lineRule="exact"/>
        <w:ind w:firstLine="640"/>
        <w:jc w:val="both"/>
      </w:pPr>
      <w:r>
        <w:rPr>
          <w:rFonts w:ascii="仿宋_GB2312" w:hAnsi="仿宋_GB2312" w:eastAsia="仿宋_GB2312"/>
          <w:b w:val="0"/>
          <w:sz w:val="32"/>
        </w:rPr>
        <w:t>3.卫生健康支出(类)7.98万元,占3.60%。</w:t>
      </w:r>
    </w:p>
    <w:p w14:paraId="2B244440">
      <w:pPr>
        <w:spacing w:line="580" w:lineRule="exact"/>
        <w:ind w:firstLine="640"/>
        <w:jc w:val="both"/>
      </w:pPr>
      <w:r>
        <w:rPr>
          <w:rFonts w:ascii="仿宋_GB2312" w:hAnsi="仿宋_GB2312" w:eastAsia="仿宋_GB2312"/>
          <w:b w:val="0"/>
          <w:sz w:val="32"/>
        </w:rPr>
        <w:t>4.住房保障支出(类)17.70万元,占7.98%。</w:t>
      </w:r>
    </w:p>
    <w:p w14:paraId="38C4C491">
      <w:pPr>
        <w:spacing w:line="580" w:lineRule="exact"/>
        <w:ind w:firstLine="640"/>
        <w:jc w:val="both"/>
      </w:pPr>
      <w:r>
        <w:rPr>
          <w:rFonts w:ascii="仿宋_GB2312" w:hAnsi="仿宋_GB2312" w:eastAsia="仿宋_GB2312"/>
          <w:b w:val="0"/>
          <w:sz w:val="32"/>
        </w:rPr>
        <w:t>5.其他支出(类)1.98万元,占0.89%。</w:t>
      </w:r>
    </w:p>
    <w:p w14:paraId="07D9920C">
      <w:pPr>
        <w:spacing w:line="640" w:lineRule="exact"/>
        <w:ind w:firstLine="640"/>
        <w:jc w:val="both"/>
        <w:outlineLvl w:val="3"/>
      </w:pPr>
      <w:r>
        <w:rPr>
          <w:rFonts w:ascii="楷体_GB2312" w:hAnsi="楷体_GB2312" w:eastAsia="楷体_GB2312"/>
          <w:b/>
          <w:sz w:val="32"/>
        </w:rPr>
        <w:t>（三）一般公共预算财政拨款支出决算具体情况</w:t>
      </w:r>
    </w:p>
    <w:p w14:paraId="3CAB358E">
      <w:pPr>
        <w:spacing w:line="580" w:lineRule="exact"/>
        <w:ind w:firstLine="640"/>
        <w:jc w:val="both"/>
      </w:pPr>
      <w:r>
        <w:rPr>
          <w:rFonts w:ascii="仿宋_GB2312" w:hAnsi="仿宋_GB2312" w:eastAsia="仿宋_GB2312"/>
          <w:b w:val="0"/>
          <w:sz w:val="32"/>
        </w:rPr>
        <w:t>1.一般公共服务支出(类)人大事务(款)事业运行(项):支出决算数为0.00万元，比上年决算减少0.26万元，下降100.00%,主要原因是：本年功能科目调整，办公费支出上年在事业运行列支，本年调整至行政运行列支，导致经费减少。</w:t>
      </w:r>
    </w:p>
    <w:p w14:paraId="4DF08446">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2.一般公共服务支出(类)政府办公厅（室）及相关机构事务(款)行政运行(项):支出决算数为2.40万元，比上年决算增加2.40万元，增长100.00%,主要原因是：本年</w:t>
      </w:r>
      <w:r>
        <w:rPr>
          <w:rFonts w:hint="eastAsia" w:ascii="仿宋_GB2312" w:hAnsi="仿宋_GB2312" w:eastAsia="仿宋_GB2312"/>
          <w:b w:val="0"/>
          <w:sz w:val="32"/>
          <w:lang w:val="en-US" w:eastAsia="zh-CN"/>
        </w:rPr>
        <w:t>本科目</w:t>
      </w:r>
      <w:r>
        <w:rPr>
          <w:rFonts w:ascii="仿宋_GB2312" w:hAnsi="仿宋_GB2312" w:eastAsia="仿宋_GB2312"/>
          <w:b w:val="0"/>
          <w:sz w:val="32"/>
        </w:rPr>
        <w:t>增加差旅费。</w:t>
      </w:r>
    </w:p>
    <w:p w14:paraId="4C11E907">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164.42万元，比上年决算减少17.30万元，下降9.52%,主要原因是：本年在职人员调入调出，人员职级不同，工资基数不同，导致人员经费较上年减少。本年减少办公费，邮电费，劳务费支出。</w:t>
      </w:r>
    </w:p>
    <w:p w14:paraId="62970BDD">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4.79万元，比上年决算增加4.79万元，增长100.00%,主要原因是：本年增加县级网络服务费、县级办公耗材维修费。</w:t>
      </w:r>
    </w:p>
    <w:p w14:paraId="17B8BE31">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22.61万元，比上年决算增加2.12万元，增长10.35%,主要原因是：本年在职人员工资基数调增，养老缴费基数上涨，相应支出增加。</w:t>
      </w:r>
    </w:p>
    <w:p w14:paraId="0770EE52">
      <w:pPr>
        <w:spacing w:line="580" w:lineRule="exact"/>
        <w:ind w:firstLine="640"/>
        <w:jc w:val="both"/>
      </w:pPr>
      <w:r>
        <w:rPr>
          <w:rFonts w:ascii="仿宋_GB2312" w:hAnsi="仿宋_GB2312" w:eastAsia="仿宋_GB2312"/>
          <w:b w:val="0"/>
          <w:sz w:val="32"/>
        </w:rPr>
        <w:t>6.卫生健康支出(类)行政事业单位医疗(款)事业单位医疗(项):支出决算数为7.98万元，比上年决算增加0.90万元，增长12.71%,主要原因是：本年在职人员工资基数调增，医疗缴费基数上涨，相应支出增加。</w:t>
      </w:r>
    </w:p>
    <w:p w14:paraId="04BDAEB9">
      <w:pPr>
        <w:spacing w:line="580" w:lineRule="exact"/>
        <w:ind w:firstLine="640"/>
        <w:jc w:val="both"/>
      </w:pPr>
      <w:r>
        <w:rPr>
          <w:rFonts w:ascii="仿宋_GB2312" w:hAnsi="仿宋_GB2312" w:eastAsia="仿宋_GB2312"/>
          <w:b w:val="0"/>
          <w:sz w:val="32"/>
        </w:rPr>
        <w:t>7.住房保障支出(类)住房改革支出(款)住房公积金(项):支出决算数为17.70万元，比上年决算增加1.17万元，增长7.08%,主要原因是：本年在职人员工资基数调增，公积金缴费基数上涨，相应支出增加。</w:t>
      </w:r>
    </w:p>
    <w:p w14:paraId="0761EBD2">
      <w:pPr>
        <w:spacing w:line="580" w:lineRule="exact"/>
        <w:ind w:firstLine="640"/>
        <w:jc w:val="both"/>
      </w:pPr>
      <w:r>
        <w:rPr>
          <w:rFonts w:ascii="仿宋_GB2312" w:hAnsi="仿宋_GB2312" w:eastAsia="仿宋_GB2312"/>
          <w:b w:val="0"/>
          <w:sz w:val="32"/>
        </w:rPr>
        <w:t>8.其他支出(类)其他支出(款)其他支出(项):支出决算数为1.98万元，比上年决算减少0.02万元，下降1.00%,主要原因是：本年减少为民办实事经费。</w:t>
      </w:r>
    </w:p>
    <w:p w14:paraId="33BBD3E7">
      <w:pPr>
        <w:spacing w:line="640" w:lineRule="exact"/>
        <w:ind w:firstLine="640"/>
        <w:jc w:val="both"/>
        <w:outlineLvl w:val="2"/>
      </w:pPr>
      <w:r>
        <w:rPr>
          <w:rFonts w:ascii="黑体" w:hAnsi="黑体" w:eastAsia="黑体"/>
          <w:sz w:val="32"/>
        </w:rPr>
        <w:t>六、一般公共预算财政拨款基本支出决算情况说明</w:t>
      </w:r>
    </w:p>
    <w:p w14:paraId="2450578F">
      <w:pPr>
        <w:spacing w:line="580" w:lineRule="exact"/>
        <w:ind w:firstLine="640"/>
        <w:jc w:val="both"/>
      </w:pPr>
      <w:r>
        <w:rPr>
          <w:rFonts w:ascii="仿宋_GB2312" w:hAnsi="仿宋_GB2312" w:eastAsia="仿宋_GB2312"/>
          <w:b w:val="0"/>
          <w:sz w:val="32"/>
        </w:rPr>
        <w:t>2024年度一般公共预算财政拨款基本支出215.11万元，其中：</w:t>
      </w:r>
      <w:r>
        <w:rPr>
          <w:rFonts w:ascii="仿宋_GB2312" w:hAnsi="仿宋_GB2312" w:eastAsia="仿宋_GB2312"/>
          <w:b/>
          <w:sz w:val="32"/>
        </w:rPr>
        <w:t>人员经费212.72万元，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257C7306">
      <w:pPr>
        <w:spacing w:line="580" w:lineRule="exact"/>
        <w:ind w:firstLine="640"/>
        <w:jc w:val="both"/>
      </w:pPr>
      <w:r>
        <w:rPr>
          <w:rFonts w:ascii="仿宋_GB2312" w:hAnsi="仿宋_GB2312" w:eastAsia="仿宋_GB2312"/>
          <w:b/>
          <w:sz w:val="32"/>
        </w:rPr>
        <w:t>公用经费2.40万元，</w:t>
      </w:r>
      <w:r>
        <w:rPr>
          <w:rFonts w:ascii="仿宋_GB2312" w:hAnsi="仿宋_GB2312" w:eastAsia="仿宋_GB2312"/>
          <w:b w:val="0"/>
          <w:sz w:val="32"/>
        </w:rPr>
        <w:t>包括：办公费、邮电费、差旅费。</w:t>
      </w:r>
    </w:p>
    <w:p w14:paraId="77AB14B8">
      <w:pPr>
        <w:spacing w:line="640" w:lineRule="exact"/>
        <w:ind w:firstLine="640"/>
        <w:jc w:val="both"/>
        <w:outlineLvl w:val="2"/>
      </w:pPr>
      <w:r>
        <w:rPr>
          <w:rFonts w:ascii="黑体" w:hAnsi="黑体" w:eastAsia="黑体"/>
          <w:sz w:val="32"/>
        </w:rPr>
        <w:t>七、政府性基金预算财政拨款收入支出决算情况说明</w:t>
      </w:r>
    </w:p>
    <w:p w14:paraId="2F0A348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F042685">
      <w:pPr>
        <w:spacing w:line="640" w:lineRule="exact"/>
        <w:ind w:firstLine="640"/>
        <w:jc w:val="both"/>
        <w:outlineLvl w:val="2"/>
      </w:pPr>
      <w:r>
        <w:rPr>
          <w:rFonts w:ascii="黑体" w:hAnsi="黑体" w:eastAsia="黑体"/>
          <w:sz w:val="32"/>
        </w:rPr>
        <w:t>八、国有资本经营预算财政拨款收入支出决算情况说明</w:t>
      </w:r>
    </w:p>
    <w:p w14:paraId="6621EA8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E34C784">
      <w:pPr>
        <w:spacing w:line="640" w:lineRule="exact"/>
        <w:ind w:firstLine="640"/>
        <w:jc w:val="both"/>
        <w:outlineLvl w:val="2"/>
      </w:pPr>
      <w:r>
        <w:rPr>
          <w:rFonts w:ascii="黑体" w:hAnsi="黑体" w:eastAsia="黑体"/>
          <w:sz w:val="32"/>
        </w:rPr>
        <w:t>九、财政拨款“三公”经费支出决算情况说明</w:t>
      </w:r>
    </w:p>
    <w:p w14:paraId="22AED2E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639DB8D">
      <w:pPr>
        <w:spacing w:line="580" w:lineRule="exact"/>
        <w:ind w:firstLine="640"/>
        <w:jc w:val="both"/>
      </w:pPr>
      <w:r>
        <w:rPr>
          <w:rFonts w:ascii="仿宋_GB2312" w:hAnsi="仿宋_GB2312" w:eastAsia="仿宋_GB2312"/>
          <w:b/>
          <w:sz w:val="32"/>
        </w:rPr>
        <w:t>具体情况如下：</w:t>
      </w:r>
    </w:p>
    <w:p w14:paraId="5774249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7E8A99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F2DD1E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D2A106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4D5A68C">
      <w:pPr>
        <w:spacing w:line="640" w:lineRule="exact"/>
        <w:ind w:firstLine="640"/>
        <w:jc w:val="both"/>
        <w:outlineLvl w:val="2"/>
      </w:pPr>
      <w:r>
        <w:rPr>
          <w:rFonts w:ascii="黑体" w:hAnsi="黑体" w:eastAsia="黑体"/>
          <w:sz w:val="32"/>
        </w:rPr>
        <w:t>十、其他重要事项的情况说明</w:t>
      </w:r>
    </w:p>
    <w:p w14:paraId="4D10C67E">
      <w:pPr>
        <w:spacing w:line="640" w:lineRule="exact"/>
        <w:ind w:firstLine="640"/>
        <w:jc w:val="both"/>
        <w:outlineLvl w:val="3"/>
      </w:pPr>
      <w:r>
        <w:rPr>
          <w:rFonts w:ascii="楷体_GB2312" w:hAnsi="楷体_GB2312" w:eastAsia="楷体_GB2312"/>
          <w:b/>
          <w:sz w:val="32"/>
        </w:rPr>
        <w:t>（一）机关运行经费及公用经费支出情况</w:t>
      </w:r>
    </w:p>
    <w:p w14:paraId="3614D853">
      <w:pPr>
        <w:spacing w:line="580" w:lineRule="exact"/>
        <w:ind w:firstLine="640"/>
        <w:jc w:val="both"/>
      </w:pPr>
      <w:r>
        <w:rPr>
          <w:rFonts w:ascii="仿宋_GB2312" w:hAnsi="仿宋_GB2312" w:eastAsia="仿宋_GB2312"/>
          <w:b w:val="0"/>
          <w:sz w:val="32"/>
        </w:rPr>
        <w:t>2024年度阿克陶县政务服务和公共资源交易中心（事业单位）公用经费支出2.40万元，比上年减少5.45万元，下降69.43%，主要原因是：本年减少办公费</w:t>
      </w:r>
      <w:r>
        <w:rPr>
          <w:rFonts w:hint="eastAsia" w:ascii="仿宋_GB2312" w:hAnsi="仿宋_GB2312" w:eastAsia="仿宋_GB2312"/>
          <w:b w:val="0"/>
          <w:sz w:val="32"/>
          <w:lang w:eastAsia="zh-CN"/>
        </w:rPr>
        <w:t>、</w:t>
      </w:r>
      <w:r>
        <w:rPr>
          <w:rFonts w:ascii="仿宋_GB2312" w:hAnsi="仿宋_GB2312" w:eastAsia="仿宋_GB2312"/>
          <w:b w:val="0"/>
          <w:sz w:val="32"/>
        </w:rPr>
        <w:t>邮电费</w:t>
      </w:r>
      <w:r>
        <w:rPr>
          <w:rFonts w:hint="eastAsia" w:ascii="仿宋_GB2312" w:hAnsi="仿宋_GB2312" w:eastAsia="仿宋_GB2312"/>
          <w:b w:val="0"/>
          <w:sz w:val="32"/>
          <w:lang w:eastAsia="zh-CN"/>
        </w:rPr>
        <w:t>、</w:t>
      </w:r>
      <w:r>
        <w:rPr>
          <w:rFonts w:ascii="仿宋_GB2312" w:hAnsi="仿宋_GB2312" w:eastAsia="仿宋_GB2312"/>
          <w:b w:val="0"/>
          <w:sz w:val="32"/>
        </w:rPr>
        <w:t>劳务费支出。</w:t>
      </w:r>
    </w:p>
    <w:p w14:paraId="32C8407C">
      <w:pPr>
        <w:spacing w:line="640" w:lineRule="exact"/>
        <w:ind w:firstLine="640"/>
        <w:jc w:val="both"/>
        <w:outlineLvl w:val="3"/>
      </w:pPr>
      <w:r>
        <w:rPr>
          <w:rFonts w:ascii="楷体_GB2312" w:hAnsi="楷体_GB2312" w:eastAsia="楷体_GB2312"/>
          <w:b/>
          <w:sz w:val="32"/>
        </w:rPr>
        <w:t>（二）政府采购情况</w:t>
      </w:r>
    </w:p>
    <w:p w14:paraId="42BB572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F3BF5D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739D066">
      <w:pPr>
        <w:spacing w:line="640" w:lineRule="exact"/>
        <w:ind w:firstLine="640"/>
        <w:jc w:val="both"/>
        <w:outlineLvl w:val="3"/>
      </w:pPr>
      <w:r>
        <w:rPr>
          <w:rFonts w:ascii="楷体_GB2312" w:hAnsi="楷体_GB2312" w:eastAsia="楷体_GB2312"/>
          <w:b/>
          <w:sz w:val="32"/>
        </w:rPr>
        <w:t>（三）国有资产占用情况说明</w:t>
      </w:r>
    </w:p>
    <w:p w14:paraId="074E9036">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28B7FE4">
      <w:pPr>
        <w:spacing w:line="640" w:lineRule="exact"/>
        <w:ind w:firstLine="640"/>
        <w:jc w:val="both"/>
        <w:outlineLvl w:val="2"/>
      </w:pPr>
      <w:r>
        <w:rPr>
          <w:rFonts w:ascii="黑体" w:hAnsi="黑体" w:eastAsia="黑体"/>
          <w:sz w:val="32"/>
        </w:rPr>
        <w:t>十一、预算绩效的情况说明</w:t>
      </w:r>
    </w:p>
    <w:p w14:paraId="29354D7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221.89万元，实际执行总额221.89万元；预算绩效评价项目3个，全年预算数6.81万元，全年执行数6.81万元。预算绩效管理取得的成效：一是本项目能够严格按照《项目实施方案》执行，项目执行情况较好。二是加强组织领导，本项目绩效评价工作，有县政府主要领导亲自挂帅，分管县领导具体负责，从项目到资金，均能</w:t>
      </w:r>
      <w:r>
        <w:rPr>
          <w:rFonts w:hint="eastAsia" w:ascii="仿宋_GB2312" w:hAnsi="仿宋_GB2312" w:eastAsia="仿宋_GB2312"/>
          <w:b w:val="0"/>
          <w:sz w:val="32"/>
          <w:lang w:eastAsia="zh-CN"/>
        </w:rPr>
        <w:t>有</w:t>
      </w:r>
      <w:r>
        <w:rPr>
          <w:rFonts w:ascii="仿宋_GB2312" w:hAnsi="仿宋_GB2312" w:eastAsia="仿宋_GB2312"/>
          <w:b w:val="0"/>
          <w:sz w:val="32"/>
        </w:rPr>
        <w:t>很好</w:t>
      </w:r>
      <w:r>
        <w:rPr>
          <w:rFonts w:hint="eastAsia" w:ascii="仿宋_GB2312" w:hAnsi="仿宋_GB2312" w:eastAsia="仿宋_GB2312"/>
          <w:b w:val="0"/>
          <w:sz w:val="32"/>
          <w:lang w:eastAsia="zh-CN"/>
        </w:rPr>
        <w:t>地</w:t>
      </w:r>
      <w:r>
        <w:rPr>
          <w:rFonts w:ascii="仿宋_GB2312" w:hAnsi="仿宋_GB2312" w:eastAsia="仿宋_GB2312"/>
          <w:b w:val="0"/>
          <w:sz w:val="32"/>
        </w:rPr>
        <w:t>执行。三是加强沟通协调，我单位及时向县领导汇报项目建设进度，加强与实施单位的沟通，确保项目按期完工。发现的问题及原因：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项目建设的程序进一步规范。项目前期做好工作计划，细化实施方案，严格执行资金管理办法和财政资金管理制度，严格按照项目工作计划及实施方案稳步推进工作，单位根据自己项目的特点进行总结。项目评价资料有待进一步完善。项目启动时同步做好档案的归纳与整理，及时整理、收集、汇总，健全档案资料。项目后续管理有待进一步加强和跟踪。通过绩效管理，发现实施中存在漏洞，以后加强管理，及时掌握与之相关的各类信息，减少成本，使资金效益最大化。具体附整体支出绩效自评表，项目支出绩效自评表和评价报告。</w:t>
      </w:r>
    </w:p>
    <w:p w14:paraId="7D24CEB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1621D16">
        <w:tblPrEx>
          <w:tblCellMar>
            <w:top w:w="0" w:type="dxa"/>
            <w:left w:w="108" w:type="dxa"/>
            <w:bottom w:w="0" w:type="dxa"/>
            <w:right w:w="108" w:type="dxa"/>
          </w:tblCellMar>
        </w:tblPrEx>
        <w:tc>
          <w:tcPr>
            <w:tcW w:w="8840" w:type="dxa"/>
            <w:gridSpan w:val="8"/>
            <w:vAlign w:val="center"/>
          </w:tcPr>
          <w:p w14:paraId="1A18412E">
            <w:pPr>
              <w:jc w:val="center"/>
            </w:pPr>
            <w:r>
              <w:rPr>
                <w:rFonts w:ascii="宋体" w:hAnsi="宋体" w:eastAsia="宋体"/>
                <w:sz w:val="24"/>
              </w:rPr>
              <w:t>单位整体支出绩效自评表</w:t>
            </w:r>
          </w:p>
        </w:tc>
      </w:tr>
      <w:tr w14:paraId="7365CA4C">
        <w:tblPrEx>
          <w:tblCellMar>
            <w:top w:w="0" w:type="dxa"/>
            <w:left w:w="108" w:type="dxa"/>
            <w:bottom w:w="0" w:type="dxa"/>
            <w:right w:w="108" w:type="dxa"/>
          </w:tblCellMar>
        </w:tblPrEx>
        <w:tc>
          <w:tcPr>
            <w:tcW w:w="8840" w:type="dxa"/>
            <w:gridSpan w:val="8"/>
            <w:vAlign w:val="center"/>
          </w:tcPr>
          <w:p w14:paraId="55263C0F">
            <w:pPr>
              <w:jc w:val="center"/>
            </w:pPr>
            <w:r>
              <w:rPr>
                <w:rFonts w:ascii="宋体" w:hAnsi="宋体" w:eastAsia="宋体"/>
                <w:sz w:val="24"/>
              </w:rPr>
              <w:t>（2024年度）</w:t>
            </w:r>
          </w:p>
        </w:tc>
      </w:tr>
      <w:tr w14:paraId="3BE587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3411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72486">
            <w:pPr>
              <w:jc w:val="center"/>
            </w:pPr>
            <w:r>
              <w:rPr>
                <w:rFonts w:ascii="宋体" w:hAnsi="宋体" w:eastAsia="宋体"/>
                <w:sz w:val="16"/>
              </w:rPr>
              <w:t>阿克陶县政务服务和公共资源交易中心</w:t>
            </w:r>
          </w:p>
        </w:tc>
      </w:tr>
      <w:tr w14:paraId="404D004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EA01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8F1A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0ABC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2640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5DCB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945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4BAB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90AA8">
            <w:pPr>
              <w:jc w:val="center"/>
            </w:pPr>
            <w:r>
              <w:rPr>
                <w:rFonts w:ascii="宋体" w:hAnsi="宋体" w:eastAsia="宋体"/>
                <w:sz w:val="16"/>
              </w:rPr>
              <w:t>得分</w:t>
            </w:r>
          </w:p>
        </w:tc>
      </w:tr>
      <w:tr w14:paraId="314FA0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F369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318B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95B66">
            <w:pPr>
              <w:jc w:val="center"/>
            </w:pPr>
            <w:r>
              <w:rPr>
                <w:rFonts w:ascii="宋体" w:hAnsi="宋体" w:eastAsia="宋体"/>
                <w:sz w:val="16"/>
              </w:rPr>
              <w:t>223.13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8FF35">
            <w:pPr>
              <w:jc w:val="center"/>
            </w:pPr>
            <w:r>
              <w:rPr>
                <w:rFonts w:ascii="宋体" w:hAnsi="宋体" w:eastAsia="宋体"/>
                <w:sz w:val="16"/>
              </w:rPr>
              <w:t>221.89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59924">
            <w:pPr>
              <w:jc w:val="center"/>
            </w:pPr>
            <w:r>
              <w:rPr>
                <w:rFonts w:ascii="宋体" w:hAnsi="宋体" w:eastAsia="宋体"/>
                <w:sz w:val="16"/>
              </w:rPr>
              <w:t>221.89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8DA9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ACBD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022B3">
            <w:pPr>
              <w:jc w:val="center"/>
            </w:pPr>
            <w:r>
              <w:rPr>
                <w:rFonts w:ascii="宋体" w:hAnsi="宋体" w:eastAsia="宋体"/>
                <w:sz w:val="16"/>
              </w:rPr>
              <w:t>10</w:t>
            </w:r>
          </w:p>
        </w:tc>
      </w:tr>
      <w:tr w14:paraId="7D0ED2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4A1E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59BC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5F9A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266A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4E6A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805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881A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92F9D">
            <w:pPr>
              <w:jc w:val="center"/>
            </w:pPr>
            <w:r>
              <w:rPr>
                <w:rFonts w:ascii="宋体" w:hAnsi="宋体" w:eastAsia="宋体"/>
                <w:sz w:val="16"/>
              </w:rPr>
              <w:t>—</w:t>
            </w:r>
          </w:p>
        </w:tc>
      </w:tr>
      <w:tr w14:paraId="4197D3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A0BF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6FBD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0C88F">
            <w:pPr>
              <w:jc w:val="center"/>
            </w:pPr>
            <w:r>
              <w:rPr>
                <w:rFonts w:ascii="宋体" w:hAnsi="宋体" w:eastAsia="宋体"/>
                <w:sz w:val="16"/>
              </w:rPr>
              <w:t>223.13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1CFBE">
            <w:pPr>
              <w:jc w:val="center"/>
            </w:pPr>
            <w:r>
              <w:rPr>
                <w:rFonts w:ascii="宋体" w:hAnsi="宋体" w:eastAsia="宋体"/>
                <w:sz w:val="16"/>
              </w:rPr>
              <w:t>221.89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05C1D">
            <w:pPr>
              <w:jc w:val="center"/>
            </w:pPr>
            <w:r>
              <w:rPr>
                <w:rFonts w:ascii="宋体" w:hAnsi="宋体" w:eastAsia="宋体"/>
                <w:sz w:val="16"/>
              </w:rPr>
              <w:t>221.89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2E2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D77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85177">
            <w:pPr>
              <w:jc w:val="center"/>
            </w:pPr>
            <w:r>
              <w:rPr>
                <w:rFonts w:ascii="宋体" w:hAnsi="宋体" w:eastAsia="宋体"/>
                <w:sz w:val="16"/>
              </w:rPr>
              <w:t>—</w:t>
            </w:r>
          </w:p>
        </w:tc>
      </w:tr>
      <w:tr w14:paraId="179CE9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DF9F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E98B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3233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F895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72D3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4D0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72E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17F9E">
            <w:pPr>
              <w:jc w:val="center"/>
            </w:pPr>
            <w:r>
              <w:rPr>
                <w:rFonts w:ascii="宋体" w:hAnsi="宋体" w:eastAsia="宋体"/>
                <w:sz w:val="16"/>
              </w:rPr>
              <w:t>—</w:t>
            </w:r>
          </w:p>
        </w:tc>
      </w:tr>
      <w:tr w14:paraId="37FA569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D549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E0C74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5D98F7">
            <w:pPr>
              <w:jc w:val="center"/>
            </w:pPr>
            <w:r>
              <w:rPr>
                <w:rFonts w:ascii="宋体" w:hAnsi="宋体" w:eastAsia="宋体"/>
                <w:sz w:val="16"/>
              </w:rPr>
              <w:t>实际完成情况</w:t>
            </w:r>
          </w:p>
        </w:tc>
      </w:tr>
      <w:tr w14:paraId="64DB0A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41D53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B057CD">
            <w:pPr>
              <w:jc w:val="both"/>
            </w:pPr>
            <w:r>
              <w:rPr>
                <w:rFonts w:ascii="宋体" w:hAnsi="宋体" w:eastAsia="宋体"/>
                <w:sz w:val="16"/>
              </w:rPr>
              <w:t>保障在职人员工资、津贴、补贴、社保、医保、住房公积金等以及单位长期临聘人员保障性经费能够依规、按时、足额发放，人员经费2112310.84元，公用经费50581.73元，项目经费68100元全年经费合计2231262.57元。提升部门工作人员积极性和服务质量，保障部门正常运行。确保本单位工作有序开展，进一步提升为民服务工作水平，以最小的</w:t>
            </w:r>
            <w:r>
              <w:rPr>
                <w:rFonts w:hint="eastAsia" w:ascii="宋体" w:hAnsi="宋体"/>
                <w:sz w:val="16"/>
                <w:lang w:eastAsia="zh-CN"/>
              </w:rPr>
              <w:t>成本</w:t>
            </w:r>
            <w:r>
              <w:rPr>
                <w:rFonts w:ascii="宋体" w:hAnsi="宋体" w:eastAsia="宋体"/>
                <w:sz w:val="16"/>
              </w:rPr>
              <w:t>最大满足广大人民的需求。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83F506">
            <w:pPr>
              <w:jc w:val="both"/>
            </w:pPr>
            <w:r>
              <w:rPr>
                <w:rFonts w:ascii="宋体" w:hAnsi="宋体" w:eastAsia="宋体"/>
                <w:sz w:val="16"/>
              </w:rPr>
              <w:t>2024年年底完成在职人员工资、津贴、补贴、社保、医保、住房公积金等以及单位长期临聘人员保障性经费能够依规、按时、足额发放，人员经费2218919元，公用经费40000元，项目经费67780元全年经费合计2286699元。执行率为100%。有效提升部门工作人员积极性和服务质量，保障部门正常运行。</w:t>
            </w:r>
          </w:p>
        </w:tc>
      </w:tr>
      <w:tr w14:paraId="33B65D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E118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3963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E2DB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CEDF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AC0C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F504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9DE8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EF96D">
            <w:pPr>
              <w:jc w:val="center"/>
            </w:pPr>
            <w:r>
              <w:rPr>
                <w:rFonts w:ascii="宋体" w:hAnsi="宋体" w:eastAsia="宋体"/>
                <w:sz w:val="16"/>
              </w:rPr>
              <w:t>得分</w:t>
            </w:r>
          </w:p>
        </w:tc>
      </w:tr>
      <w:tr w14:paraId="368FA4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0FF2E">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846A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38DA3">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2F093">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AD779">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36E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F671B">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EA8C9">
            <w:pPr>
              <w:jc w:val="center"/>
            </w:pPr>
            <w:r>
              <w:rPr>
                <w:rFonts w:ascii="宋体" w:hAnsi="宋体" w:eastAsia="宋体"/>
                <w:sz w:val="16"/>
              </w:rPr>
              <w:t>10</w:t>
            </w:r>
          </w:p>
        </w:tc>
      </w:tr>
      <w:tr w14:paraId="3FE901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D44E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0E10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0229B">
            <w:pPr>
              <w:jc w:val="center"/>
            </w:pPr>
            <w:r>
              <w:rPr>
                <w:rFonts w:ascii="宋体" w:hAnsi="宋体" w:eastAsia="宋体"/>
                <w:sz w:val="16"/>
              </w:rPr>
              <w:t>采购办公费次数（次）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FA528">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D6C4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8FB4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0EBFA">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6150A">
            <w:pPr>
              <w:jc w:val="center"/>
            </w:pPr>
            <w:r>
              <w:rPr>
                <w:rFonts w:ascii="宋体" w:hAnsi="宋体" w:eastAsia="宋体"/>
                <w:sz w:val="16"/>
              </w:rPr>
              <w:t>10</w:t>
            </w:r>
          </w:p>
        </w:tc>
      </w:tr>
      <w:tr w14:paraId="78CD48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3BD4C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ED0B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1BB7B">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7C58B">
            <w:pPr>
              <w:jc w:val="center"/>
            </w:pPr>
            <w:r>
              <w:rPr>
                <w:rFonts w:ascii="宋体" w:hAnsi="宋体" w:eastAsia="宋体"/>
                <w:sz w:val="16"/>
              </w:rPr>
              <w:t>&lt;=223.13万元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0604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ADCB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856B9">
            <w:pPr>
              <w:jc w:val="center"/>
            </w:pPr>
            <w:r>
              <w:rPr>
                <w:rFonts w:ascii="宋体" w:hAnsi="宋体" w:eastAsia="宋体"/>
                <w:sz w:val="16"/>
              </w:rPr>
              <w:t>221.89万元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71C66">
            <w:pPr>
              <w:jc w:val="center"/>
            </w:pPr>
            <w:r>
              <w:rPr>
                <w:rFonts w:ascii="宋体" w:hAnsi="宋体" w:eastAsia="宋体"/>
                <w:sz w:val="16"/>
              </w:rPr>
              <w:t>9.94</w:t>
            </w:r>
          </w:p>
        </w:tc>
      </w:tr>
      <w:tr w14:paraId="6331E1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6E70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06570">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C522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AFF8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8AC9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75D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B4CB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721B3">
            <w:pPr>
              <w:jc w:val="center"/>
            </w:pPr>
            <w:r>
              <w:rPr>
                <w:rFonts w:ascii="宋体" w:hAnsi="宋体" w:eastAsia="宋体"/>
                <w:sz w:val="16"/>
              </w:rPr>
              <w:t>10</w:t>
            </w:r>
          </w:p>
        </w:tc>
      </w:tr>
      <w:tr w14:paraId="6AA68C2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DE3B9">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AA7A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17260">
            <w:pPr>
              <w:jc w:val="center"/>
            </w:pPr>
            <w:r>
              <w:rPr>
                <w:rFonts w:ascii="宋体" w:hAnsi="宋体" w:eastAsia="宋体"/>
                <w:sz w:val="16"/>
              </w:rPr>
              <w:t>文化数字化服务管理平台投入使用率（%）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35E5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46564">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D441E">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AC27D">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E644F">
            <w:pPr>
              <w:jc w:val="center"/>
            </w:pPr>
            <w:r>
              <w:rPr>
                <w:rFonts w:ascii="宋体" w:hAnsi="宋体" w:eastAsia="宋体"/>
                <w:sz w:val="16"/>
              </w:rPr>
              <w:t>8</w:t>
            </w:r>
          </w:p>
        </w:tc>
      </w:tr>
      <w:tr w14:paraId="046B601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9BEA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3794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AAF5B">
            <w:pPr>
              <w:jc w:val="center"/>
            </w:pPr>
            <w:r>
              <w:rPr>
                <w:rFonts w:ascii="宋体" w:hAnsi="宋体" w:eastAsia="宋体"/>
                <w:sz w:val="16"/>
              </w:rPr>
              <w:t>为民办实事次数（次）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C0D46">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1381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01C7E">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95B64">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E4674">
            <w:pPr>
              <w:jc w:val="center"/>
            </w:pPr>
            <w:r>
              <w:rPr>
                <w:rFonts w:ascii="宋体" w:hAnsi="宋体" w:eastAsia="宋体"/>
                <w:sz w:val="16"/>
              </w:rPr>
              <w:t>9</w:t>
            </w:r>
          </w:p>
        </w:tc>
      </w:tr>
      <w:tr w14:paraId="6CC72E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E698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B377A">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0E532">
            <w:pPr>
              <w:jc w:val="center"/>
            </w:pPr>
            <w:r>
              <w:rPr>
                <w:rFonts w:ascii="宋体" w:hAnsi="宋体" w:eastAsia="宋体"/>
                <w:sz w:val="16"/>
              </w:rPr>
              <w:t>保障系统正常使用率（%）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8F7E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2000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00E12">
            <w:pPr>
              <w:jc w:val="center"/>
            </w:pPr>
            <w:r>
              <w:rPr>
                <w:rFonts w:ascii="宋体" w:hAnsi="宋体" w:eastAsia="宋体"/>
                <w:sz w:val="16"/>
              </w:rPr>
              <w:t>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59BF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0004B">
            <w:pPr>
              <w:jc w:val="center"/>
            </w:pPr>
            <w:r>
              <w:rPr>
                <w:rFonts w:ascii="宋体" w:hAnsi="宋体" w:eastAsia="宋体"/>
                <w:sz w:val="16"/>
              </w:rPr>
              <w:t>9</w:t>
            </w:r>
          </w:p>
        </w:tc>
      </w:tr>
      <w:tr w14:paraId="28312E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21E62">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E5716">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F7E16">
            <w:pPr>
              <w:jc w:val="center"/>
            </w:pPr>
            <w:r>
              <w:rPr>
                <w:rFonts w:ascii="宋体" w:hAnsi="宋体" w:eastAsia="宋体"/>
                <w:sz w:val="16"/>
              </w:rPr>
              <w:t>保障提供公共服务能力有效提高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17AC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701BE">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E962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C8AE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F9FC0">
            <w:pPr>
              <w:jc w:val="center"/>
            </w:pPr>
            <w:r>
              <w:rPr>
                <w:rFonts w:ascii="宋体" w:hAnsi="宋体" w:eastAsia="宋体"/>
                <w:sz w:val="16"/>
              </w:rPr>
              <w:t>8</w:t>
            </w:r>
          </w:p>
        </w:tc>
      </w:tr>
      <w:tr w14:paraId="6E5191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2B3BC">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487F8">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24E30">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EF1B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83599">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A94CC">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4C2C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BC4E5F">
            <w:pPr>
              <w:jc w:val="center"/>
            </w:pPr>
            <w:r>
              <w:rPr>
                <w:rFonts w:ascii="宋体" w:hAnsi="宋体" w:eastAsia="宋体"/>
                <w:sz w:val="16"/>
              </w:rPr>
              <w:t>8</w:t>
            </w:r>
          </w:p>
        </w:tc>
      </w:tr>
      <w:tr w14:paraId="6B0A15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F805E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B99B2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705EF">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5D74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7DFDC">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4A57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384C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82F35">
            <w:pPr>
              <w:jc w:val="center"/>
            </w:pPr>
            <w:r>
              <w:rPr>
                <w:rFonts w:ascii="宋体" w:hAnsi="宋体" w:eastAsia="宋体"/>
                <w:sz w:val="16"/>
              </w:rPr>
              <w:t>8</w:t>
            </w:r>
          </w:p>
        </w:tc>
      </w:tr>
    </w:tbl>
    <w:p w14:paraId="4CDDEA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98A881">
        <w:tblPrEx>
          <w:tblCellMar>
            <w:top w:w="0" w:type="dxa"/>
            <w:left w:w="108" w:type="dxa"/>
            <w:bottom w:w="0" w:type="dxa"/>
            <w:right w:w="108" w:type="dxa"/>
          </w:tblCellMar>
        </w:tblPrEx>
        <w:tc>
          <w:tcPr>
            <w:tcW w:w="8848" w:type="dxa"/>
            <w:gridSpan w:val="14"/>
            <w:vAlign w:val="center"/>
          </w:tcPr>
          <w:p w14:paraId="5F6CB271">
            <w:pPr>
              <w:jc w:val="center"/>
            </w:pPr>
            <w:r>
              <w:rPr>
                <w:rFonts w:ascii="宋体" w:hAnsi="宋体" w:eastAsia="宋体"/>
                <w:sz w:val="24"/>
              </w:rPr>
              <w:t>项目支出绩效自评表</w:t>
            </w:r>
          </w:p>
        </w:tc>
      </w:tr>
      <w:tr w14:paraId="3D3443D4">
        <w:tblPrEx>
          <w:tblCellMar>
            <w:top w:w="0" w:type="dxa"/>
            <w:left w:w="108" w:type="dxa"/>
            <w:bottom w:w="0" w:type="dxa"/>
            <w:right w:w="108" w:type="dxa"/>
          </w:tblCellMar>
        </w:tblPrEx>
        <w:tc>
          <w:tcPr>
            <w:tcW w:w="8848" w:type="dxa"/>
            <w:gridSpan w:val="14"/>
            <w:vAlign w:val="center"/>
          </w:tcPr>
          <w:p w14:paraId="4FF877CB">
            <w:pPr>
              <w:jc w:val="center"/>
            </w:pPr>
            <w:r>
              <w:rPr>
                <w:rFonts w:ascii="宋体" w:hAnsi="宋体" w:eastAsia="宋体"/>
                <w:sz w:val="24"/>
              </w:rPr>
              <w:t>(2024年度)</w:t>
            </w:r>
          </w:p>
        </w:tc>
      </w:tr>
      <w:tr w14:paraId="1729A8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8A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EE5AB3">
            <w:pPr>
              <w:jc w:val="center"/>
            </w:pPr>
            <w:r>
              <w:rPr>
                <w:rFonts w:ascii="宋体" w:hAnsi="宋体" w:eastAsia="宋体"/>
                <w:sz w:val="16"/>
              </w:rPr>
              <w:t>2024年县级工作队第一书记为民办实事经费</w:t>
            </w:r>
          </w:p>
        </w:tc>
      </w:tr>
      <w:tr w14:paraId="25EE7C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9B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6C394">
            <w:pPr>
              <w:jc w:val="center"/>
            </w:pPr>
            <w:r>
              <w:rPr>
                <w:rFonts w:ascii="宋体" w:hAnsi="宋体" w:eastAsia="宋体"/>
                <w:sz w:val="16"/>
              </w:rPr>
              <w:t>阿克陶县政务服务和公共资源交易中心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DC6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CF7997">
            <w:pPr>
              <w:jc w:val="center"/>
            </w:pPr>
            <w:r>
              <w:rPr>
                <w:rFonts w:ascii="宋体" w:hAnsi="宋体" w:eastAsia="宋体"/>
                <w:sz w:val="16"/>
              </w:rPr>
              <w:t>阿克陶县政务服务和公共资源交易中心</w:t>
            </w:r>
          </w:p>
        </w:tc>
      </w:tr>
      <w:tr w14:paraId="16C2F1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278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0DB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6BC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FDB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206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89D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B815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6F85">
            <w:pPr>
              <w:jc w:val="center"/>
            </w:pPr>
            <w:r>
              <w:rPr>
                <w:rFonts w:ascii="宋体" w:hAnsi="宋体" w:eastAsia="宋体"/>
                <w:sz w:val="16"/>
              </w:rPr>
              <w:t>得分</w:t>
            </w:r>
          </w:p>
        </w:tc>
      </w:tr>
      <w:tr w14:paraId="39C38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B38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B2F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74BC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D04F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4AE8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33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50F9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D86D">
            <w:pPr>
              <w:jc w:val="center"/>
            </w:pPr>
            <w:r>
              <w:rPr>
                <w:rFonts w:ascii="宋体" w:hAnsi="宋体" w:eastAsia="宋体"/>
                <w:sz w:val="16"/>
              </w:rPr>
              <w:t>10.00分</w:t>
            </w:r>
          </w:p>
        </w:tc>
      </w:tr>
      <w:tr w14:paraId="17BB4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9E5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1BD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32AC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8BF1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5EAB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FFD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E29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3B23">
            <w:pPr>
              <w:jc w:val="center"/>
            </w:pPr>
            <w:r>
              <w:rPr>
                <w:rFonts w:ascii="宋体" w:hAnsi="宋体" w:eastAsia="宋体"/>
                <w:sz w:val="16"/>
              </w:rPr>
              <w:t>—</w:t>
            </w:r>
          </w:p>
        </w:tc>
      </w:tr>
      <w:tr w14:paraId="34D78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6D7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C7D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5C2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D70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4BE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844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A9C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6874">
            <w:pPr>
              <w:jc w:val="center"/>
            </w:pPr>
            <w:r>
              <w:rPr>
                <w:rFonts w:ascii="宋体" w:hAnsi="宋体" w:eastAsia="宋体"/>
                <w:sz w:val="16"/>
              </w:rPr>
              <w:t>—</w:t>
            </w:r>
          </w:p>
        </w:tc>
      </w:tr>
      <w:tr w14:paraId="339704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674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B7C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3C2D46">
            <w:pPr>
              <w:jc w:val="center"/>
            </w:pPr>
            <w:r>
              <w:rPr>
                <w:rFonts w:ascii="宋体" w:hAnsi="宋体" w:eastAsia="宋体"/>
                <w:sz w:val="16"/>
              </w:rPr>
              <w:t>实际完成情况</w:t>
            </w:r>
          </w:p>
        </w:tc>
      </w:tr>
      <w:tr w14:paraId="26841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F3D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A9C3D">
            <w:pPr>
              <w:jc w:val="both"/>
            </w:pPr>
            <w:r>
              <w:rPr>
                <w:rFonts w:ascii="宋体" w:hAnsi="宋体" w:eastAsia="宋体"/>
                <w:sz w:val="16"/>
              </w:rPr>
              <w:t>2024年财政拨款驻村工作队第一书记为民办实事经费2万元。用于举办民族团结一家亲活动，为民办实事、办好事，通过该项目实施丰富群众业余生活，提高群众对工作队的认同感。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42237">
            <w:pPr>
              <w:jc w:val="both"/>
            </w:pPr>
            <w:r>
              <w:rPr>
                <w:rFonts w:ascii="宋体" w:hAnsi="宋体" w:eastAsia="宋体"/>
                <w:sz w:val="16"/>
              </w:rPr>
              <w:t>通过举办民族团结一家亲活动，为民办实事、办好事</w:t>
            </w:r>
            <w:r>
              <w:rPr>
                <w:rFonts w:hint="eastAsia" w:ascii="宋体" w:hAnsi="宋体"/>
                <w:sz w:val="16"/>
                <w:lang w:eastAsia="zh-CN"/>
              </w:rPr>
              <w:t>，丰</w:t>
            </w:r>
            <w:r>
              <w:rPr>
                <w:rFonts w:ascii="宋体" w:hAnsi="宋体" w:eastAsia="宋体"/>
                <w:sz w:val="16"/>
              </w:rPr>
              <w:t>富群众业余生活，提高群众对工作队的认同感，保障困难群众现实困难诉求。</w:t>
            </w:r>
          </w:p>
        </w:tc>
      </w:tr>
      <w:tr w14:paraId="53C595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C1BC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58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A6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5A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1D0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38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75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E7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E12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E3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C6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0A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973E">
            <w:pPr>
              <w:jc w:val="center"/>
            </w:pPr>
            <w:r>
              <w:rPr>
                <w:rFonts w:ascii="宋体" w:hAnsi="宋体" w:eastAsia="宋体"/>
                <w:sz w:val="16"/>
              </w:rPr>
              <w:t>偏差原因分析及改进措施</w:t>
            </w:r>
          </w:p>
        </w:tc>
      </w:tr>
      <w:tr w14:paraId="1C5F42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27F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2DC9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19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691B">
            <w:pPr>
              <w:jc w:val="center"/>
            </w:pPr>
            <w:r>
              <w:rPr>
                <w:rFonts w:ascii="宋体" w:hAnsi="宋体" w:eastAsia="宋体"/>
                <w:sz w:val="16"/>
              </w:rPr>
              <w:t>为民办实事次数（次)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3C15">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30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5FC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FEE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B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F3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9B32">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355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C6D20">
            <w:pPr>
              <w:jc w:val="center"/>
            </w:pPr>
          </w:p>
        </w:tc>
      </w:tr>
      <w:tr w14:paraId="14A3D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198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09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3C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4101">
            <w:pPr>
              <w:jc w:val="center"/>
            </w:pPr>
            <w:r>
              <w:rPr>
                <w:rFonts w:ascii="宋体" w:hAnsi="宋体" w:eastAsia="宋体"/>
                <w:sz w:val="16"/>
              </w:rPr>
              <w:t>按时保持完成率（%）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F5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09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8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743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DD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33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4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3F3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2D0AD">
            <w:pPr>
              <w:jc w:val="center"/>
            </w:pPr>
          </w:p>
        </w:tc>
      </w:tr>
      <w:tr w14:paraId="3B514F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223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8CA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BF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8390">
            <w:pPr>
              <w:jc w:val="center"/>
            </w:pPr>
            <w:r>
              <w:rPr>
                <w:rFonts w:ascii="宋体" w:hAnsi="宋体" w:eastAsia="宋体"/>
                <w:sz w:val="16"/>
              </w:rPr>
              <w:t>规范按时完成率（%）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9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30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F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73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7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E7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D7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24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F9DD">
            <w:pPr>
              <w:jc w:val="center"/>
            </w:pPr>
          </w:p>
        </w:tc>
      </w:tr>
      <w:tr w14:paraId="5B131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A7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07A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49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A301">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3C98">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A0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1523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76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0C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EC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B24C">
            <w:pPr>
              <w:jc w:val="center"/>
            </w:pPr>
            <w:r>
              <w:rPr>
                <w:rFonts w:ascii="宋体" w:hAnsi="宋体" w:eastAsia="宋体"/>
                <w:sz w:val="16"/>
              </w:rPr>
              <w:t>=2万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07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BAB9">
            <w:pPr>
              <w:jc w:val="center"/>
            </w:pPr>
          </w:p>
        </w:tc>
      </w:tr>
      <w:tr w14:paraId="2169FA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827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A4D5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E7E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343D">
            <w:pPr>
              <w:jc w:val="center"/>
            </w:pPr>
            <w:r>
              <w:rPr>
                <w:rFonts w:ascii="宋体" w:hAnsi="宋体" w:eastAsia="宋体"/>
                <w:sz w:val="16"/>
              </w:rPr>
              <w:t>持续提升</w:t>
            </w:r>
            <w:r>
              <w:rPr>
                <w:rFonts w:hint="eastAsia" w:ascii="宋体" w:hAnsi="宋体"/>
                <w:sz w:val="16"/>
                <w:lang w:eastAsia="zh-CN"/>
              </w:rPr>
              <w:t>为民办实事</w:t>
            </w:r>
            <w:r>
              <w:rPr>
                <w:rFonts w:ascii="宋体" w:hAnsi="宋体" w:eastAsia="宋体"/>
                <w:sz w:val="16"/>
              </w:rPr>
              <w:t>工作队整体工作质量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1AF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5E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17A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20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5F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0E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F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F4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B62A4">
            <w:pPr>
              <w:jc w:val="center"/>
            </w:pPr>
          </w:p>
        </w:tc>
      </w:tr>
      <w:tr w14:paraId="51D02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DF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82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B0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408B">
            <w:pPr>
              <w:jc w:val="center"/>
            </w:pPr>
            <w:r>
              <w:rPr>
                <w:rFonts w:ascii="宋体" w:hAnsi="宋体" w:eastAsia="宋体"/>
                <w:sz w:val="16"/>
              </w:rPr>
              <w:t>保障困难群众现实困难诉求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AC0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A6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4F32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4A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F0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CF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7AB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44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B5057">
            <w:pPr>
              <w:jc w:val="center"/>
            </w:pPr>
          </w:p>
        </w:tc>
      </w:tr>
      <w:tr w14:paraId="050AE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C4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79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37C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A9F1">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613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8FE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FDD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9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B9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4B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E5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0C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253B6">
            <w:pPr>
              <w:jc w:val="center"/>
            </w:pPr>
          </w:p>
        </w:tc>
      </w:tr>
      <w:tr w14:paraId="50E53C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292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52D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882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B8B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254BDA"/>
        </w:tc>
      </w:tr>
    </w:tbl>
    <w:p w14:paraId="349FAB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5FA23D1">
        <w:tblPrEx>
          <w:tblCellMar>
            <w:top w:w="0" w:type="dxa"/>
            <w:left w:w="108" w:type="dxa"/>
            <w:bottom w:w="0" w:type="dxa"/>
            <w:right w:w="108" w:type="dxa"/>
          </w:tblCellMar>
        </w:tblPrEx>
        <w:tc>
          <w:tcPr>
            <w:tcW w:w="8848" w:type="dxa"/>
            <w:gridSpan w:val="14"/>
            <w:vAlign w:val="center"/>
          </w:tcPr>
          <w:p w14:paraId="2A2DDD29">
            <w:pPr>
              <w:jc w:val="center"/>
            </w:pPr>
            <w:r>
              <w:rPr>
                <w:rFonts w:ascii="宋体" w:hAnsi="宋体" w:eastAsia="宋体"/>
                <w:sz w:val="24"/>
              </w:rPr>
              <w:t>项目支出绩效自评表</w:t>
            </w:r>
          </w:p>
        </w:tc>
      </w:tr>
      <w:tr w14:paraId="17392B6B">
        <w:tblPrEx>
          <w:tblCellMar>
            <w:top w:w="0" w:type="dxa"/>
            <w:left w:w="108" w:type="dxa"/>
            <w:bottom w:w="0" w:type="dxa"/>
            <w:right w:w="108" w:type="dxa"/>
          </w:tblCellMar>
        </w:tblPrEx>
        <w:tc>
          <w:tcPr>
            <w:tcW w:w="8848" w:type="dxa"/>
            <w:gridSpan w:val="14"/>
            <w:vAlign w:val="center"/>
          </w:tcPr>
          <w:p w14:paraId="7C01312D">
            <w:pPr>
              <w:jc w:val="center"/>
            </w:pPr>
            <w:r>
              <w:rPr>
                <w:rFonts w:ascii="宋体" w:hAnsi="宋体" w:eastAsia="宋体"/>
                <w:sz w:val="24"/>
              </w:rPr>
              <w:t>(2024年度)</w:t>
            </w:r>
          </w:p>
        </w:tc>
      </w:tr>
      <w:tr w14:paraId="4F0176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5E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0C3145">
            <w:pPr>
              <w:jc w:val="center"/>
            </w:pPr>
            <w:r>
              <w:rPr>
                <w:rFonts w:ascii="宋体" w:hAnsi="宋体" w:eastAsia="宋体"/>
                <w:sz w:val="16"/>
              </w:rPr>
              <w:t>办公耗材维修费</w:t>
            </w:r>
          </w:p>
        </w:tc>
      </w:tr>
      <w:tr w14:paraId="2F2169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73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9E84C2">
            <w:pPr>
              <w:jc w:val="center"/>
            </w:pPr>
            <w:r>
              <w:rPr>
                <w:rFonts w:ascii="宋体" w:hAnsi="宋体" w:eastAsia="宋体"/>
                <w:sz w:val="16"/>
              </w:rPr>
              <w:t>阿克陶县政务服务和公共资源交易中心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E1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0C0D73">
            <w:pPr>
              <w:jc w:val="center"/>
            </w:pPr>
            <w:r>
              <w:rPr>
                <w:rFonts w:ascii="宋体" w:hAnsi="宋体" w:eastAsia="宋体"/>
                <w:sz w:val="16"/>
              </w:rPr>
              <w:t>阿克陶县政务服务和公共资源交易中心</w:t>
            </w:r>
          </w:p>
        </w:tc>
      </w:tr>
      <w:tr w14:paraId="378165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59B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9A1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0D3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941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50F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3AD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525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F6AD">
            <w:pPr>
              <w:jc w:val="center"/>
            </w:pPr>
            <w:r>
              <w:rPr>
                <w:rFonts w:ascii="宋体" w:hAnsi="宋体" w:eastAsia="宋体"/>
                <w:sz w:val="16"/>
              </w:rPr>
              <w:t>得分</w:t>
            </w:r>
          </w:p>
        </w:tc>
      </w:tr>
      <w:tr w14:paraId="15D91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146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0C8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3A30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9A9B9">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ADC4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E93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8E1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37FD">
            <w:pPr>
              <w:jc w:val="center"/>
            </w:pPr>
            <w:r>
              <w:rPr>
                <w:rFonts w:ascii="宋体" w:hAnsi="宋体" w:eastAsia="宋体"/>
                <w:sz w:val="16"/>
              </w:rPr>
              <w:t>10.00分</w:t>
            </w:r>
          </w:p>
        </w:tc>
      </w:tr>
      <w:tr w14:paraId="722D1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7F5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C94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3638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357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0057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45D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844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C0DE">
            <w:pPr>
              <w:jc w:val="center"/>
            </w:pPr>
            <w:r>
              <w:rPr>
                <w:rFonts w:ascii="宋体" w:hAnsi="宋体" w:eastAsia="宋体"/>
                <w:sz w:val="16"/>
              </w:rPr>
              <w:t>—</w:t>
            </w:r>
          </w:p>
        </w:tc>
      </w:tr>
      <w:tr w14:paraId="0D2D3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5EA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8D0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C5A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E82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BA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2F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7CF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2D15">
            <w:pPr>
              <w:jc w:val="center"/>
            </w:pPr>
            <w:r>
              <w:rPr>
                <w:rFonts w:ascii="宋体" w:hAnsi="宋体" w:eastAsia="宋体"/>
                <w:sz w:val="16"/>
              </w:rPr>
              <w:t>—</w:t>
            </w:r>
          </w:p>
        </w:tc>
      </w:tr>
      <w:tr w14:paraId="317266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560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B3E4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858098">
            <w:pPr>
              <w:jc w:val="center"/>
            </w:pPr>
            <w:r>
              <w:rPr>
                <w:rFonts w:ascii="宋体" w:hAnsi="宋体" w:eastAsia="宋体"/>
                <w:sz w:val="16"/>
              </w:rPr>
              <w:t>实际完成情况</w:t>
            </w:r>
          </w:p>
        </w:tc>
      </w:tr>
      <w:tr w14:paraId="5764A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28F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14BE2">
            <w:pPr>
              <w:jc w:val="both"/>
            </w:pPr>
            <w:r>
              <w:rPr>
                <w:rFonts w:ascii="宋体" w:hAnsi="宋体" w:eastAsia="宋体"/>
                <w:sz w:val="16"/>
              </w:rPr>
              <w:t>公共资源交易市场和行政大厅2023年办公经费4万元，分三次采购完成。加强业务工作和为民</w:t>
            </w:r>
            <w:r>
              <w:rPr>
                <w:rFonts w:hint="eastAsia" w:ascii="宋体" w:hAnsi="宋体"/>
                <w:sz w:val="16"/>
                <w:lang w:eastAsia="zh-CN"/>
              </w:rPr>
              <w:t>服务</w:t>
            </w:r>
            <w:r>
              <w:rPr>
                <w:rFonts w:ascii="宋体" w:hAnsi="宋体" w:eastAsia="宋体"/>
                <w:sz w:val="16"/>
              </w:rPr>
              <w:t>做得更好，更便捷群众办理各类业务工作的正常运转。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C1D741">
            <w:pPr>
              <w:jc w:val="both"/>
            </w:pPr>
            <w:r>
              <w:rPr>
                <w:rFonts w:ascii="宋体" w:hAnsi="宋体" w:eastAsia="宋体"/>
                <w:sz w:val="16"/>
              </w:rPr>
              <w:t>公共资源交易市场和行政大厅2024年办公经费4万元，分三次采购完成。加强业务工作和为民服务做得更好，更便捷群众办理各类业务工作的正常运转。</w:t>
            </w:r>
          </w:p>
        </w:tc>
      </w:tr>
      <w:tr w14:paraId="5020BA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C30E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5B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1E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18E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43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8F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B2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6F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8E3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D0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A48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F4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6699">
            <w:pPr>
              <w:jc w:val="center"/>
            </w:pPr>
            <w:r>
              <w:rPr>
                <w:rFonts w:ascii="宋体" w:hAnsi="宋体" w:eastAsia="宋体"/>
                <w:sz w:val="16"/>
              </w:rPr>
              <w:t>偏差原因分析及改进措施</w:t>
            </w:r>
          </w:p>
        </w:tc>
      </w:tr>
      <w:tr w14:paraId="33D861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98F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760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16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AA1F">
            <w:pPr>
              <w:jc w:val="center"/>
            </w:pPr>
            <w:r>
              <w:rPr>
                <w:rFonts w:ascii="宋体" w:hAnsi="宋体" w:eastAsia="宋体"/>
                <w:sz w:val="16"/>
              </w:rPr>
              <w:t>办公用品采购次数（次）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7CE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49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2CB3">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67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3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7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A5AC">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FD0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25D6C">
            <w:pPr>
              <w:jc w:val="center"/>
            </w:pPr>
          </w:p>
        </w:tc>
      </w:tr>
      <w:tr w14:paraId="239C5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A3F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AD7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F4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C8E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B6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285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F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13F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3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54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9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4F1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EF332">
            <w:pPr>
              <w:jc w:val="center"/>
            </w:pPr>
          </w:p>
        </w:tc>
      </w:tr>
      <w:tr w14:paraId="74ADC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C7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24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DD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6641">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3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D7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E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0C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4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F2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B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49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F091E">
            <w:pPr>
              <w:jc w:val="center"/>
            </w:pPr>
          </w:p>
        </w:tc>
      </w:tr>
      <w:tr w14:paraId="57CB7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85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B0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F1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1B7E">
            <w:pPr>
              <w:jc w:val="center"/>
            </w:pPr>
            <w:r>
              <w:rPr>
                <w:rFonts w:ascii="宋体" w:hAnsi="宋体" w:eastAsia="宋体"/>
                <w:sz w:val="16"/>
              </w:rPr>
              <w:t>补贴标准（万元）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FCA3">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1C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0FCB">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14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F1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47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FF98">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C5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08C8D">
            <w:pPr>
              <w:jc w:val="center"/>
            </w:pPr>
          </w:p>
        </w:tc>
      </w:tr>
      <w:tr w14:paraId="0C875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F8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31E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032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560A">
            <w:pPr>
              <w:jc w:val="center"/>
            </w:pPr>
            <w:r>
              <w:rPr>
                <w:rFonts w:ascii="宋体" w:hAnsi="宋体" w:eastAsia="宋体"/>
                <w:sz w:val="16"/>
              </w:rPr>
              <w:t>提高为民工作效率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F32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5A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EF1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BB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73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9A8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719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99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E7F5D">
            <w:pPr>
              <w:jc w:val="center"/>
            </w:pPr>
          </w:p>
        </w:tc>
      </w:tr>
      <w:tr w14:paraId="2625A1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76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9D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87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4B11">
            <w:pPr>
              <w:jc w:val="center"/>
            </w:pPr>
            <w:r>
              <w:rPr>
                <w:rFonts w:ascii="宋体" w:hAnsi="宋体" w:eastAsia="宋体"/>
                <w:sz w:val="16"/>
              </w:rPr>
              <w:t>文化数字化服务管理平台投入使用率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E3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F9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58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A5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8A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BD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E99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0C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A9278">
            <w:pPr>
              <w:jc w:val="center"/>
            </w:pPr>
          </w:p>
        </w:tc>
      </w:tr>
      <w:tr w14:paraId="550E1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99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67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3C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873B">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5D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D9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D1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B5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D8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AB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22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B4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CBFA3">
            <w:pPr>
              <w:jc w:val="center"/>
            </w:pPr>
          </w:p>
        </w:tc>
      </w:tr>
      <w:tr w14:paraId="3393CF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7D88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9CB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415A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36A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128760"/>
        </w:tc>
      </w:tr>
    </w:tbl>
    <w:p w14:paraId="649C4F8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CD51907">
        <w:tblPrEx>
          <w:tblCellMar>
            <w:top w:w="0" w:type="dxa"/>
            <w:left w:w="108" w:type="dxa"/>
            <w:bottom w:w="0" w:type="dxa"/>
            <w:right w:w="108" w:type="dxa"/>
          </w:tblCellMar>
        </w:tblPrEx>
        <w:tc>
          <w:tcPr>
            <w:tcW w:w="8848" w:type="dxa"/>
            <w:gridSpan w:val="14"/>
            <w:vAlign w:val="center"/>
          </w:tcPr>
          <w:p w14:paraId="4C7EA86C">
            <w:pPr>
              <w:jc w:val="center"/>
            </w:pPr>
            <w:r>
              <w:rPr>
                <w:rFonts w:ascii="宋体" w:hAnsi="宋体" w:eastAsia="宋体"/>
                <w:sz w:val="24"/>
              </w:rPr>
              <w:t>项目支出绩效自评表</w:t>
            </w:r>
          </w:p>
        </w:tc>
      </w:tr>
      <w:tr w14:paraId="0329747D">
        <w:tblPrEx>
          <w:tblCellMar>
            <w:top w:w="0" w:type="dxa"/>
            <w:left w:w="108" w:type="dxa"/>
            <w:bottom w:w="0" w:type="dxa"/>
            <w:right w:w="108" w:type="dxa"/>
          </w:tblCellMar>
        </w:tblPrEx>
        <w:tc>
          <w:tcPr>
            <w:tcW w:w="8848" w:type="dxa"/>
            <w:gridSpan w:val="14"/>
            <w:vAlign w:val="center"/>
          </w:tcPr>
          <w:p w14:paraId="2A094E45">
            <w:pPr>
              <w:jc w:val="center"/>
            </w:pPr>
            <w:r>
              <w:rPr>
                <w:rFonts w:ascii="宋体" w:hAnsi="宋体" w:eastAsia="宋体"/>
                <w:sz w:val="24"/>
              </w:rPr>
              <w:t>(2024年度)</w:t>
            </w:r>
          </w:p>
        </w:tc>
      </w:tr>
      <w:tr w14:paraId="25E87A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F4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E0185D">
            <w:pPr>
              <w:jc w:val="center"/>
            </w:pPr>
            <w:r>
              <w:rPr>
                <w:rFonts w:ascii="宋体" w:hAnsi="宋体" w:eastAsia="宋体"/>
                <w:sz w:val="16"/>
              </w:rPr>
              <w:t>网络服务费</w:t>
            </w:r>
          </w:p>
        </w:tc>
      </w:tr>
      <w:tr w14:paraId="51F35E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4C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5192F">
            <w:pPr>
              <w:jc w:val="center"/>
            </w:pPr>
            <w:r>
              <w:rPr>
                <w:rFonts w:ascii="宋体" w:hAnsi="宋体" w:eastAsia="宋体"/>
                <w:sz w:val="16"/>
              </w:rPr>
              <w:t>阿克陶县政务服务和公共资源交易中心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FE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3F6B6F">
            <w:pPr>
              <w:jc w:val="center"/>
            </w:pPr>
            <w:r>
              <w:rPr>
                <w:rFonts w:ascii="宋体" w:hAnsi="宋体" w:eastAsia="宋体"/>
                <w:sz w:val="16"/>
              </w:rPr>
              <w:t>阿克陶县政务服务和公共资源交易中心</w:t>
            </w:r>
          </w:p>
        </w:tc>
      </w:tr>
      <w:tr w14:paraId="5012AD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98D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217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585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F2D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C65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471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8A1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5EB3">
            <w:pPr>
              <w:jc w:val="center"/>
            </w:pPr>
            <w:r>
              <w:rPr>
                <w:rFonts w:ascii="宋体" w:hAnsi="宋体" w:eastAsia="宋体"/>
                <w:sz w:val="16"/>
              </w:rPr>
              <w:t>得分</w:t>
            </w:r>
          </w:p>
        </w:tc>
      </w:tr>
      <w:tr w14:paraId="6E49F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393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FFD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F787">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6AC3F">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018B2">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9B8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D6C5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DBE5">
            <w:pPr>
              <w:jc w:val="center"/>
            </w:pPr>
            <w:r>
              <w:rPr>
                <w:rFonts w:ascii="宋体" w:hAnsi="宋体" w:eastAsia="宋体"/>
                <w:sz w:val="16"/>
              </w:rPr>
              <w:t>10.00分</w:t>
            </w:r>
          </w:p>
        </w:tc>
      </w:tr>
      <w:tr w14:paraId="5DAC6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51D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4A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733E2">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7FFE7">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50BDC">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C6F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A01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4F51">
            <w:pPr>
              <w:jc w:val="center"/>
            </w:pPr>
            <w:r>
              <w:rPr>
                <w:rFonts w:ascii="宋体" w:hAnsi="宋体" w:eastAsia="宋体"/>
                <w:sz w:val="16"/>
              </w:rPr>
              <w:t>—</w:t>
            </w:r>
          </w:p>
        </w:tc>
      </w:tr>
      <w:tr w14:paraId="646A2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1FC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CE3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D8E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FE1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C87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934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57F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B88DF">
            <w:pPr>
              <w:jc w:val="center"/>
            </w:pPr>
            <w:r>
              <w:rPr>
                <w:rFonts w:ascii="宋体" w:hAnsi="宋体" w:eastAsia="宋体"/>
                <w:sz w:val="16"/>
              </w:rPr>
              <w:t>—</w:t>
            </w:r>
          </w:p>
        </w:tc>
      </w:tr>
      <w:tr w14:paraId="453556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1B3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B63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C25665">
            <w:pPr>
              <w:jc w:val="center"/>
            </w:pPr>
            <w:r>
              <w:rPr>
                <w:rFonts w:ascii="宋体" w:hAnsi="宋体" w:eastAsia="宋体"/>
                <w:sz w:val="16"/>
              </w:rPr>
              <w:t>实际完成情况</w:t>
            </w:r>
          </w:p>
        </w:tc>
      </w:tr>
      <w:tr w14:paraId="003B2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426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753A2">
            <w:pPr>
              <w:jc w:val="both"/>
            </w:pPr>
            <w:r>
              <w:rPr>
                <w:rFonts w:ascii="宋体" w:hAnsi="宋体" w:eastAsia="宋体"/>
                <w:sz w:val="16"/>
              </w:rPr>
              <w:t>保障2023年阿克陶县政务服务和公共资源交易中心党旗映天山网和电子政务内网网络畅通、正常运行，各项职能正常发挥。（党旗映天山网180元/月，一年共2160元，电子政务内网300元/月，一年共3600元。机关事务业务内网服务费2340元合计8100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B1DB29">
            <w:pPr>
              <w:jc w:val="both"/>
            </w:pPr>
            <w:r>
              <w:rPr>
                <w:rFonts w:ascii="宋体" w:hAnsi="宋体" w:eastAsia="宋体"/>
                <w:sz w:val="16"/>
              </w:rPr>
              <w:t>通过党旗映天山网180元/月，一年共2160元，电子政务内网300元/月，一年共3600元，机关事务业务内网服务费2340元合计8100元，保障2024年阿克陶县政务服务和公共资源交易中心党旗映天山网和电子政务内网网络畅通、正常运行，各项职能正常发挥。</w:t>
            </w:r>
          </w:p>
        </w:tc>
      </w:tr>
      <w:tr w14:paraId="3A9B7E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E5EF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FE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68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E2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57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AF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26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42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37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6F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D79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B0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EDEE">
            <w:pPr>
              <w:jc w:val="center"/>
            </w:pPr>
            <w:r>
              <w:rPr>
                <w:rFonts w:ascii="宋体" w:hAnsi="宋体" w:eastAsia="宋体"/>
                <w:sz w:val="16"/>
              </w:rPr>
              <w:t>偏差原因分析及改进措施</w:t>
            </w:r>
          </w:p>
        </w:tc>
      </w:tr>
      <w:tr w14:paraId="7A5689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B0E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BC61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414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DFD9">
            <w:pPr>
              <w:jc w:val="center"/>
            </w:pPr>
            <w:r>
              <w:rPr>
                <w:rFonts w:ascii="宋体" w:hAnsi="宋体" w:eastAsia="宋体"/>
                <w:sz w:val="16"/>
              </w:rPr>
              <w:t>党旗映天山网网费标准（元/月）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0674">
            <w:pPr>
              <w:jc w:val="center"/>
            </w:pPr>
            <w:r>
              <w:rPr>
                <w:rFonts w:ascii="宋体" w:hAnsi="宋体" w:eastAsia="宋体"/>
                <w:sz w:val="16"/>
              </w:rPr>
              <w:t>=2160（元/月）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1F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7FEC">
            <w:pPr>
              <w:jc w:val="center"/>
            </w:pPr>
            <w:r>
              <w:rPr>
                <w:rFonts w:ascii="宋体" w:hAnsi="宋体" w:eastAsia="宋体"/>
                <w:sz w:val="16"/>
              </w:rPr>
              <w:t>2160（元/月）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9D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06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4C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3388">
            <w:pPr>
              <w:jc w:val="center"/>
            </w:pPr>
            <w:r>
              <w:rPr>
                <w:rFonts w:ascii="宋体" w:hAnsi="宋体" w:eastAsia="宋体"/>
                <w:sz w:val="16"/>
              </w:rPr>
              <w:t>=180（元/月）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63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BB2D2">
            <w:pPr>
              <w:jc w:val="center"/>
            </w:pPr>
            <w:r>
              <w:rPr>
                <w:rFonts w:ascii="宋体" w:hAnsi="宋体" w:eastAsia="宋体"/>
                <w:sz w:val="16"/>
              </w:rPr>
              <w:t>年初预算设置有误。</w:t>
            </w:r>
          </w:p>
        </w:tc>
      </w:tr>
      <w:tr w14:paraId="3A8E1B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D0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7F3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46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E471">
            <w:pPr>
              <w:jc w:val="center"/>
            </w:pPr>
            <w:r>
              <w:rPr>
                <w:rFonts w:ascii="宋体" w:hAnsi="宋体" w:eastAsia="宋体"/>
                <w:sz w:val="16"/>
              </w:rPr>
              <w:t>电子政务内网网费标准（元/月）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B354">
            <w:pPr>
              <w:jc w:val="center"/>
            </w:pPr>
            <w:r>
              <w:rPr>
                <w:rFonts w:ascii="宋体" w:hAnsi="宋体" w:eastAsia="宋体"/>
                <w:sz w:val="16"/>
              </w:rPr>
              <w:t>=3600（元/月）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77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0A72">
            <w:pPr>
              <w:jc w:val="center"/>
            </w:pPr>
            <w:r>
              <w:rPr>
                <w:rFonts w:ascii="宋体" w:hAnsi="宋体" w:eastAsia="宋体"/>
                <w:sz w:val="16"/>
              </w:rPr>
              <w:t>3600（元/月）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37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C5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3B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AE24">
            <w:pPr>
              <w:jc w:val="center"/>
            </w:pPr>
            <w:r>
              <w:rPr>
                <w:rFonts w:ascii="宋体" w:hAnsi="宋体" w:eastAsia="宋体"/>
                <w:sz w:val="16"/>
              </w:rPr>
              <w:t>=300（元/月）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C3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F45F0">
            <w:pPr>
              <w:jc w:val="center"/>
            </w:pPr>
            <w:r>
              <w:rPr>
                <w:rFonts w:ascii="宋体" w:hAnsi="宋体" w:eastAsia="宋体"/>
                <w:sz w:val="16"/>
              </w:rPr>
              <w:t>年初预算设置有误。</w:t>
            </w:r>
          </w:p>
        </w:tc>
      </w:tr>
      <w:tr w14:paraId="479B2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422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E22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1A4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E245">
            <w:pPr>
              <w:jc w:val="center"/>
            </w:pPr>
            <w:r>
              <w:rPr>
                <w:rFonts w:ascii="宋体" w:hAnsi="宋体" w:eastAsia="宋体"/>
                <w:sz w:val="16"/>
              </w:rPr>
              <w:t>业务内网网费标准（元/月）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78D2">
            <w:pPr>
              <w:jc w:val="center"/>
            </w:pPr>
            <w:r>
              <w:rPr>
                <w:rFonts w:ascii="宋体" w:hAnsi="宋体" w:eastAsia="宋体"/>
                <w:sz w:val="16"/>
              </w:rPr>
              <w:t>=2340（元/月）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C8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CE71">
            <w:pPr>
              <w:jc w:val="center"/>
            </w:pPr>
            <w:r>
              <w:rPr>
                <w:rFonts w:ascii="宋体" w:hAnsi="宋体" w:eastAsia="宋体"/>
                <w:sz w:val="16"/>
              </w:rPr>
              <w:t>2340（元/月）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5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13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7B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5428">
            <w:pPr>
              <w:jc w:val="center"/>
            </w:pPr>
            <w:r>
              <w:rPr>
                <w:rFonts w:ascii="宋体" w:hAnsi="宋体" w:eastAsia="宋体"/>
                <w:sz w:val="16"/>
              </w:rPr>
              <w:t>=195（元/月）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A11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4C9D4">
            <w:pPr>
              <w:jc w:val="center"/>
            </w:pPr>
            <w:r>
              <w:rPr>
                <w:rFonts w:ascii="宋体" w:hAnsi="宋体" w:eastAsia="宋体"/>
                <w:sz w:val="16"/>
              </w:rPr>
              <w:t>年初预算设置有误。</w:t>
            </w:r>
          </w:p>
        </w:tc>
      </w:tr>
      <w:tr w14:paraId="6E293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0C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83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9D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BC2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1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BB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A9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39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B5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87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0A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86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5510">
            <w:pPr>
              <w:jc w:val="center"/>
            </w:pPr>
          </w:p>
        </w:tc>
      </w:tr>
      <w:tr w14:paraId="3B881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4D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A5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B8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D394">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27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10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F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FA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01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D6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08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937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FC879">
            <w:pPr>
              <w:jc w:val="center"/>
            </w:pPr>
          </w:p>
        </w:tc>
      </w:tr>
      <w:tr w14:paraId="74EBC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18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F4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60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5BB5">
            <w:pPr>
              <w:jc w:val="center"/>
            </w:pPr>
            <w:r>
              <w:rPr>
                <w:rFonts w:ascii="宋体" w:hAnsi="宋体" w:eastAsia="宋体"/>
                <w:sz w:val="16"/>
              </w:rPr>
              <w:t>补贴标准（万元）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F70A">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3D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DE30">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DF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A6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FC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D1DA">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E8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ED62F">
            <w:pPr>
              <w:jc w:val="center"/>
            </w:pPr>
          </w:p>
        </w:tc>
      </w:tr>
      <w:tr w14:paraId="6C86B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B94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211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914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82E7">
            <w:pPr>
              <w:jc w:val="center"/>
            </w:pPr>
            <w:r>
              <w:rPr>
                <w:rFonts w:ascii="宋体" w:hAnsi="宋体" w:eastAsia="宋体"/>
                <w:sz w:val="16"/>
              </w:rPr>
              <w:t>提升为民工作效率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0B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D4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E9C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E0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90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20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192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B7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7E4A8">
            <w:pPr>
              <w:jc w:val="center"/>
            </w:pPr>
          </w:p>
        </w:tc>
      </w:tr>
      <w:tr w14:paraId="1CE36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6E6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22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066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6406">
            <w:pPr>
              <w:jc w:val="center"/>
            </w:pPr>
            <w:r>
              <w:rPr>
                <w:rFonts w:ascii="宋体" w:hAnsi="宋体" w:eastAsia="宋体"/>
                <w:sz w:val="16"/>
              </w:rPr>
              <w:t>保障系统正常使用率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DD7E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F7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247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23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EF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1B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DFC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A1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A220C">
            <w:pPr>
              <w:jc w:val="center"/>
            </w:pPr>
          </w:p>
        </w:tc>
      </w:tr>
      <w:tr w14:paraId="5354CF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64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F0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F6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37713">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52A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8F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216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19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55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8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983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40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AE8F6">
            <w:pPr>
              <w:jc w:val="center"/>
            </w:pPr>
          </w:p>
        </w:tc>
      </w:tr>
      <w:tr w14:paraId="347E35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120B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11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7D3F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97FF">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8CA43A"/>
        </w:tc>
      </w:tr>
    </w:tbl>
    <w:p w14:paraId="128A403C">
      <w:r>
        <w:br w:type="page"/>
      </w:r>
    </w:p>
    <w:p w14:paraId="377C54E9">
      <w:pPr>
        <w:spacing w:line="640" w:lineRule="exact"/>
        <w:ind w:firstLine="640"/>
        <w:jc w:val="both"/>
        <w:outlineLvl w:val="2"/>
      </w:pPr>
      <w:r>
        <w:rPr>
          <w:rFonts w:ascii="黑体" w:hAnsi="黑体" w:eastAsia="黑体"/>
          <w:sz w:val="32"/>
        </w:rPr>
        <w:t>十二、其他需说明的事项</w:t>
      </w:r>
    </w:p>
    <w:p w14:paraId="3808CC37">
      <w:pPr>
        <w:ind w:firstLine="640" w:firstLineChars="200"/>
      </w:pPr>
      <w:r>
        <w:rPr>
          <w:rFonts w:ascii="仿宋_GB2312" w:hAnsi="仿宋_GB2312" w:eastAsia="仿宋_GB2312"/>
          <w:b w:val="0"/>
          <w:sz w:val="32"/>
        </w:rPr>
        <w:t>本单位2024年度无政府采购支出，授予中小企业合同金额0.00万元。</w:t>
      </w:r>
      <w:r>
        <w:br w:type="page"/>
      </w:r>
      <w:bookmarkStart w:id="0" w:name="_GoBack"/>
      <w:bookmarkEnd w:id="0"/>
    </w:p>
    <w:p w14:paraId="5B5F126F">
      <w:pPr>
        <w:spacing w:line="240" w:lineRule="auto"/>
        <w:jc w:val="center"/>
        <w:outlineLvl w:val="1"/>
      </w:pPr>
      <w:r>
        <w:rPr>
          <w:rFonts w:ascii="黑体" w:hAnsi="黑体" w:eastAsia="黑体"/>
          <w:sz w:val="32"/>
        </w:rPr>
        <w:t>第三部分 专业名词解释</w:t>
      </w:r>
    </w:p>
    <w:p w14:paraId="5D285FE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B36CB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9FDB57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8823DF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6470A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8FF9E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B046A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B6CC25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E57BC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34F65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90B73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8E7043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FEC2F6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173DB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7A0D75">
      <w:r>
        <w:br w:type="page"/>
      </w:r>
    </w:p>
    <w:p w14:paraId="68C42024">
      <w:pPr>
        <w:spacing w:line="240" w:lineRule="auto"/>
        <w:jc w:val="center"/>
        <w:outlineLvl w:val="1"/>
      </w:pPr>
      <w:r>
        <w:rPr>
          <w:rFonts w:ascii="黑体" w:hAnsi="黑体" w:eastAsia="黑体"/>
          <w:sz w:val="32"/>
        </w:rPr>
        <w:t>第四部分 部门决算报表（见附表）</w:t>
      </w:r>
    </w:p>
    <w:p w14:paraId="369A0C12">
      <w:pPr>
        <w:spacing w:line="240" w:lineRule="auto"/>
        <w:ind w:firstLine="640"/>
        <w:jc w:val="both"/>
      </w:pPr>
      <w:r>
        <w:rPr>
          <w:rFonts w:ascii="仿宋_GB2312" w:hAnsi="仿宋_GB2312" w:eastAsia="仿宋_GB2312"/>
          <w:b w:val="0"/>
          <w:sz w:val="32"/>
        </w:rPr>
        <w:t>一、《收入支出决算总表》</w:t>
      </w:r>
    </w:p>
    <w:p w14:paraId="3D0A4B12">
      <w:pPr>
        <w:spacing w:line="240" w:lineRule="auto"/>
        <w:ind w:firstLine="640"/>
        <w:jc w:val="both"/>
      </w:pPr>
      <w:r>
        <w:rPr>
          <w:rFonts w:ascii="仿宋_GB2312" w:hAnsi="仿宋_GB2312" w:eastAsia="仿宋_GB2312"/>
          <w:b w:val="0"/>
          <w:sz w:val="32"/>
        </w:rPr>
        <w:t>二、《收入决算表》</w:t>
      </w:r>
    </w:p>
    <w:p w14:paraId="104B3A37">
      <w:pPr>
        <w:spacing w:line="240" w:lineRule="auto"/>
        <w:ind w:firstLine="640"/>
        <w:jc w:val="both"/>
      </w:pPr>
      <w:r>
        <w:rPr>
          <w:rFonts w:ascii="仿宋_GB2312" w:hAnsi="仿宋_GB2312" w:eastAsia="仿宋_GB2312"/>
          <w:b w:val="0"/>
          <w:sz w:val="32"/>
        </w:rPr>
        <w:t>三、《支出决算表》</w:t>
      </w:r>
    </w:p>
    <w:p w14:paraId="189B98D3">
      <w:pPr>
        <w:spacing w:line="240" w:lineRule="auto"/>
        <w:ind w:firstLine="640"/>
        <w:jc w:val="both"/>
      </w:pPr>
      <w:r>
        <w:rPr>
          <w:rFonts w:ascii="仿宋_GB2312" w:hAnsi="仿宋_GB2312" w:eastAsia="仿宋_GB2312"/>
          <w:b w:val="0"/>
          <w:sz w:val="32"/>
        </w:rPr>
        <w:t>四、《财政拨款收入支出决算总表》</w:t>
      </w:r>
    </w:p>
    <w:p w14:paraId="183208C8">
      <w:pPr>
        <w:spacing w:line="240" w:lineRule="auto"/>
        <w:ind w:firstLine="640"/>
        <w:jc w:val="both"/>
      </w:pPr>
      <w:r>
        <w:rPr>
          <w:rFonts w:ascii="仿宋_GB2312" w:hAnsi="仿宋_GB2312" w:eastAsia="仿宋_GB2312"/>
          <w:b w:val="0"/>
          <w:sz w:val="32"/>
        </w:rPr>
        <w:t>五、《一般公共预算财政拨款支出决算表》</w:t>
      </w:r>
    </w:p>
    <w:p w14:paraId="1CDF182E">
      <w:pPr>
        <w:spacing w:line="240" w:lineRule="auto"/>
        <w:ind w:firstLine="640"/>
        <w:jc w:val="both"/>
      </w:pPr>
      <w:r>
        <w:rPr>
          <w:rFonts w:ascii="仿宋_GB2312" w:hAnsi="仿宋_GB2312" w:eastAsia="仿宋_GB2312"/>
          <w:b w:val="0"/>
          <w:sz w:val="32"/>
        </w:rPr>
        <w:t>六、《一般公共预算财政拨款基本支出决算表》</w:t>
      </w:r>
    </w:p>
    <w:p w14:paraId="4AB5FF3C">
      <w:pPr>
        <w:spacing w:line="240" w:lineRule="auto"/>
        <w:ind w:firstLine="640"/>
        <w:jc w:val="both"/>
      </w:pPr>
      <w:r>
        <w:rPr>
          <w:rFonts w:ascii="仿宋_GB2312" w:hAnsi="仿宋_GB2312" w:eastAsia="仿宋_GB2312"/>
          <w:b w:val="0"/>
          <w:sz w:val="32"/>
        </w:rPr>
        <w:t>七、《政府性基金预算财政拨款收入支出决算表》</w:t>
      </w:r>
    </w:p>
    <w:p w14:paraId="17FA422D">
      <w:pPr>
        <w:spacing w:line="240" w:lineRule="auto"/>
        <w:ind w:firstLine="640"/>
        <w:jc w:val="both"/>
      </w:pPr>
      <w:r>
        <w:rPr>
          <w:rFonts w:ascii="仿宋_GB2312" w:hAnsi="仿宋_GB2312" w:eastAsia="仿宋_GB2312"/>
          <w:b w:val="0"/>
          <w:sz w:val="32"/>
        </w:rPr>
        <w:t>八、《国有资本经营预算财政拨款收入支出决算表》</w:t>
      </w:r>
    </w:p>
    <w:p w14:paraId="07C4EAF7">
      <w:pPr>
        <w:spacing w:line="240" w:lineRule="auto"/>
        <w:ind w:firstLine="640"/>
        <w:jc w:val="both"/>
      </w:pPr>
      <w:r>
        <w:rPr>
          <w:rFonts w:ascii="仿宋_GB2312" w:hAnsi="仿宋_GB2312" w:eastAsia="仿宋_GB2312"/>
          <w:b w:val="0"/>
          <w:sz w:val="32"/>
        </w:rPr>
        <w:t>九、《财政拨款“三公”经费支出决算表》</w:t>
      </w:r>
    </w:p>
    <w:p w14:paraId="2B13350B">
      <w:pPr>
        <w:spacing w:line="240" w:lineRule="auto"/>
        <w:ind w:firstLine="640"/>
        <w:jc w:val="both"/>
      </w:pPr>
    </w:p>
    <w:p w14:paraId="70EFCAE9">
      <w:pPr>
        <w:spacing w:line="240" w:lineRule="auto"/>
        <w:ind w:firstLine="640"/>
        <w:jc w:val="both"/>
      </w:pPr>
    </w:p>
    <w:p w14:paraId="20A9CBC1">
      <w:pPr>
        <w:spacing w:line="240" w:lineRule="auto"/>
        <w:ind w:firstLine="640"/>
        <w:jc w:val="both"/>
      </w:pPr>
    </w:p>
    <w:p w14:paraId="1422ADB0">
      <w:pPr>
        <w:spacing w:line="240" w:lineRule="auto"/>
        <w:ind w:firstLine="640"/>
        <w:jc w:val="both"/>
      </w:pPr>
    </w:p>
    <w:p w14:paraId="0E695D9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3E44A04"/>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AA514F"/>
    <w:rsid w:val="3D5275AC"/>
    <w:rsid w:val="3EA7725F"/>
    <w:rsid w:val="3EC014A1"/>
    <w:rsid w:val="40834692"/>
    <w:rsid w:val="41192269"/>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6011</Words>
  <Characters>6820</Characters>
  <Lines>0</Lines>
  <Paragraphs>0</Paragraphs>
  <TotalTime>0</TotalTime>
  <ScaleCrop>false</ScaleCrop>
  <LinksUpToDate>false</LinksUpToDate>
  <CharactersWithSpaces>6828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2025-09-15T10:07:09Z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